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2398F" w14:textId="11DD9950" w:rsidR="00CE786C" w:rsidRDefault="00896B82" w:rsidP="00CE786C">
      <w:pPr>
        <w:jc w:val="right"/>
      </w:pPr>
      <w:bookmarkStart w:id="0" w:name="_Hlk155614121"/>
      <w:r>
        <w:rPr>
          <w:noProof/>
        </w:rPr>
        <w:drawing>
          <wp:anchor distT="0" distB="0" distL="114300" distR="114300" simplePos="0" relativeHeight="251658240" behindDoc="1" locked="0" layoutInCell="1" allowOverlap="1" wp14:anchorId="7D4F484F" wp14:editId="56A5D383">
            <wp:simplePos x="0" y="0"/>
            <wp:positionH relativeFrom="margin">
              <wp:align>left</wp:align>
            </wp:positionH>
            <wp:positionV relativeFrom="paragraph">
              <wp:posOffset>0</wp:posOffset>
            </wp:positionV>
            <wp:extent cx="901700" cy="933450"/>
            <wp:effectExtent l="0" t="0" r="0" b="0"/>
            <wp:wrapTight wrapText="bothSides">
              <wp:wrapPolygon edited="0">
                <wp:start x="0" y="0"/>
                <wp:lineTo x="0" y="21159"/>
                <wp:lineTo x="20992" y="21159"/>
                <wp:lineTo x="20992"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1700" cy="933450"/>
                    </a:xfrm>
                    <a:prstGeom prst="rect">
                      <a:avLst/>
                    </a:prstGeom>
                  </pic:spPr>
                </pic:pic>
              </a:graphicData>
            </a:graphic>
            <wp14:sizeRelH relativeFrom="margin">
              <wp14:pctWidth>0</wp14:pctWidth>
            </wp14:sizeRelH>
            <wp14:sizeRelV relativeFrom="margin">
              <wp14:pctHeight>0</wp14:pctHeight>
            </wp14:sizeRelV>
          </wp:anchor>
        </w:drawing>
      </w:r>
      <w:r w:rsidR="00CE786C">
        <w:t xml:space="preserve">FMI: </w:t>
      </w:r>
      <w:r w:rsidR="00CE786C">
        <w:br/>
        <w:t xml:space="preserve">Susan </w:t>
      </w:r>
      <w:proofErr w:type="spellStart"/>
      <w:r w:rsidR="00CE786C">
        <w:t>Licate</w:t>
      </w:r>
      <w:proofErr w:type="spellEnd"/>
      <w:r w:rsidR="00CE786C">
        <w:br/>
        <w:t xml:space="preserve">Public Affairs Officer </w:t>
      </w:r>
      <w:r w:rsidR="00CE786C">
        <w:br/>
        <w:t xml:space="preserve">FBI Cleveland </w:t>
      </w:r>
      <w:r w:rsidR="00CE786C">
        <w:br/>
      </w:r>
      <w:r w:rsidR="00CE786C">
        <w:br/>
      </w:r>
      <w:r w:rsidR="00CE786C" w:rsidRPr="00CE786C">
        <w:rPr>
          <w:b/>
          <w:bCs/>
        </w:rPr>
        <w:t xml:space="preserve">Jan. </w:t>
      </w:r>
      <w:r w:rsidR="00C4691F">
        <w:rPr>
          <w:b/>
          <w:bCs/>
        </w:rPr>
        <w:t>8</w:t>
      </w:r>
      <w:r w:rsidR="00CE786C" w:rsidRPr="00CE786C">
        <w:rPr>
          <w:b/>
          <w:bCs/>
        </w:rPr>
        <w:t xml:space="preserve">, </w:t>
      </w:r>
      <w:proofErr w:type="gramStart"/>
      <w:r w:rsidR="00CE786C" w:rsidRPr="00CE786C">
        <w:rPr>
          <w:b/>
          <w:bCs/>
        </w:rPr>
        <w:t>2024</w:t>
      </w:r>
      <w:proofErr w:type="gramEnd"/>
      <w:r w:rsidR="00CE786C" w:rsidRPr="00CE786C">
        <w:rPr>
          <w:b/>
          <w:bCs/>
        </w:rPr>
        <w:t xml:space="preserve"> </w:t>
      </w:r>
      <w:r w:rsidR="00CE786C" w:rsidRPr="00CE786C">
        <w:rPr>
          <w:b/>
          <w:bCs/>
        </w:rPr>
        <w:br/>
        <w:t>FOR IMMEDIATE RELEASE</w:t>
      </w:r>
      <w:r w:rsidR="00CE786C" w:rsidRPr="00CE786C">
        <w:t xml:space="preserve"> </w:t>
      </w:r>
    </w:p>
    <w:p w14:paraId="5AC43262" w14:textId="7A554381" w:rsidR="00550E57" w:rsidRDefault="00CE786C" w:rsidP="00CE786C">
      <w:r>
        <w:rPr>
          <w:b/>
          <w:bCs/>
          <w:sz w:val="32"/>
          <w:szCs w:val="32"/>
        </w:rPr>
        <w:br/>
      </w:r>
      <w:r w:rsidR="00550593" w:rsidRPr="00550593">
        <w:rPr>
          <w:b/>
          <w:bCs/>
          <w:sz w:val="32"/>
          <w:szCs w:val="32"/>
        </w:rPr>
        <w:t xml:space="preserve">FBI Canton </w:t>
      </w:r>
      <w:r w:rsidR="00550593">
        <w:rPr>
          <w:b/>
          <w:bCs/>
          <w:sz w:val="32"/>
          <w:szCs w:val="32"/>
        </w:rPr>
        <w:t xml:space="preserve">and </w:t>
      </w:r>
      <w:r w:rsidR="003E206F">
        <w:rPr>
          <w:b/>
          <w:bCs/>
          <w:sz w:val="32"/>
          <w:szCs w:val="32"/>
        </w:rPr>
        <w:t>the Bureau of Alcohol, Tobacco, Firearms and Explosives</w:t>
      </w:r>
      <w:r w:rsidR="004E1163">
        <w:rPr>
          <w:b/>
          <w:bCs/>
          <w:sz w:val="32"/>
          <w:szCs w:val="32"/>
        </w:rPr>
        <w:t>,</w:t>
      </w:r>
      <w:r w:rsidR="00550593">
        <w:rPr>
          <w:b/>
          <w:bCs/>
          <w:sz w:val="32"/>
          <w:szCs w:val="32"/>
        </w:rPr>
        <w:t xml:space="preserve"> </w:t>
      </w:r>
      <w:r w:rsidR="003E206F">
        <w:rPr>
          <w:b/>
          <w:bCs/>
          <w:sz w:val="32"/>
          <w:szCs w:val="32"/>
        </w:rPr>
        <w:t>Together w</w:t>
      </w:r>
      <w:r w:rsidR="00E974CF">
        <w:rPr>
          <w:b/>
          <w:bCs/>
          <w:sz w:val="32"/>
          <w:szCs w:val="32"/>
        </w:rPr>
        <w:t>ith</w:t>
      </w:r>
      <w:r w:rsidR="00550593">
        <w:rPr>
          <w:b/>
          <w:bCs/>
          <w:sz w:val="32"/>
          <w:szCs w:val="32"/>
        </w:rPr>
        <w:t xml:space="preserve"> </w:t>
      </w:r>
      <w:r w:rsidR="00140E9B">
        <w:rPr>
          <w:b/>
          <w:bCs/>
          <w:sz w:val="32"/>
          <w:szCs w:val="32"/>
        </w:rPr>
        <w:t xml:space="preserve">State and </w:t>
      </w:r>
      <w:r w:rsidR="00550593">
        <w:rPr>
          <w:b/>
          <w:bCs/>
          <w:sz w:val="32"/>
          <w:szCs w:val="32"/>
        </w:rPr>
        <w:t xml:space="preserve">Local Law Enforcement </w:t>
      </w:r>
      <w:r w:rsidR="00C27EA4">
        <w:rPr>
          <w:b/>
          <w:bCs/>
          <w:sz w:val="32"/>
          <w:szCs w:val="32"/>
        </w:rPr>
        <w:t>Agencies</w:t>
      </w:r>
      <w:r w:rsidR="00F96D77">
        <w:rPr>
          <w:b/>
          <w:bCs/>
          <w:sz w:val="32"/>
          <w:szCs w:val="32"/>
        </w:rPr>
        <w:t>,</w:t>
      </w:r>
      <w:r w:rsidR="00C27EA4">
        <w:rPr>
          <w:b/>
          <w:bCs/>
          <w:sz w:val="32"/>
          <w:szCs w:val="32"/>
        </w:rPr>
        <w:t xml:space="preserve"> </w:t>
      </w:r>
      <w:r w:rsidR="00550593" w:rsidRPr="00550593">
        <w:rPr>
          <w:b/>
          <w:bCs/>
          <w:sz w:val="32"/>
          <w:szCs w:val="32"/>
        </w:rPr>
        <w:t>Announce Arrest of North Canton Man for Weapons Violations</w:t>
      </w:r>
      <w:r w:rsidR="00550593" w:rsidRPr="00550593">
        <w:rPr>
          <w:b/>
          <w:bCs/>
          <w:sz w:val="32"/>
          <w:szCs w:val="32"/>
        </w:rPr>
        <w:br/>
      </w:r>
      <w:r w:rsidR="00550593">
        <w:br/>
      </w:r>
      <w:r w:rsidR="00791124">
        <w:t>[</w:t>
      </w:r>
      <w:r w:rsidR="00273B86">
        <w:t xml:space="preserve">Jan. 8, 2024 - </w:t>
      </w:r>
      <w:r w:rsidR="001C7A82">
        <w:t>Canton, OH</w:t>
      </w:r>
      <w:r w:rsidR="00791124">
        <w:t>]</w:t>
      </w:r>
      <w:r w:rsidR="001C7A82">
        <w:t xml:space="preserve"> - </w:t>
      </w:r>
      <w:r w:rsidR="00D560C9">
        <w:t>The FBI Cleveland Division</w:t>
      </w:r>
      <w:r>
        <w:t xml:space="preserve"> -</w:t>
      </w:r>
      <w:r w:rsidR="00D560C9" w:rsidRPr="00D560C9">
        <w:t xml:space="preserve"> Canton </w:t>
      </w:r>
      <w:r w:rsidR="00D560C9">
        <w:t>Resident Agency</w:t>
      </w:r>
      <w:r w:rsidR="00D560C9" w:rsidRPr="00D560C9">
        <w:t xml:space="preserve">, </w:t>
      </w:r>
      <w:r>
        <w:t xml:space="preserve">the </w:t>
      </w:r>
      <w:r w:rsidR="00550593">
        <w:t>Bureau of Alcohol, Tobacco</w:t>
      </w:r>
      <w:r>
        <w:t xml:space="preserve">, </w:t>
      </w:r>
      <w:r w:rsidR="00550593">
        <w:t>Firearms</w:t>
      </w:r>
      <w:r>
        <w:t xml:space="preserve"> and Explosives,</w:t>
      </w:r>
      <w:r w:rsidR="00550593">
        <w:t xml:space="preserve"> the</w:t>
      </w:r>
      <w:r w:rsidR="00D560C9" w:rsidRPr="00D560C9">
        <w:t xml:space="preserve"> Stark County Safe Streets Task Force and its state and local partners, the MEDWAY Drug Enforcement Agency and the Ohio State Highway Patrol</w:t>
      </w:r>
      <w:r w:rsidR="00D560C9">
        <w:t xml:space="preserve"> announce the arrest of </w:t>
      </w:r>
      <w:r w:rsidR="004D61A5">
        <w:t>Christopher Machamer</w:t>
      </w:r>
      <w:r w:rsidR="00D560C9">
        <w:t xml:space="preserve">, </w:t>
      </w:r>
      <w:r w:rsidR="004D61A5">
        <w:t>26</w:t>
      </w:r>
      <w:r w:rsidR="00D560C9">
        <w:t xml:space="preserve">, of </w:t>
      </w:r>
      <w:r w:rsidR="004D61A5">
        <w:t>North Canton, Ohio</w:t>
      </w:r>
      <w:r w:rsidR="00D560C9">
        <w:t xml:space="preserve">. </w:t>
      </w:r>
    </w:p>
    <w:p w14:paraId="60EA8ED3" w14:textId="77777777" w:rsidR="00550593" w:rsidRDefault="004D61A5" w:rsidP="00CE786C">
      <w:r>
        <w:t>Following a search warrant and a</w:t>
      </w:r>
      <w:r w:rsidR="00D560C9">
        <w:t xml:space="preserve">ccording to a federal complaint, </w:t>
      </w:r>
      <w:r>
        <w:t>o</w:t>
      </w:r>
      <w:r w:rsidRPr="004D61A5">
        <w:t xml:space="preserve">n or about January 4, 2024, Christopher </w:t>
      </w:r>
      <w:r>
        <w:t>Machamer</w:t>
      </w:r>
      <w:r w:rsidRPr="004D61A5">
        <w:t xml:space="preserve"> violate</w:t>
      </w:r>
      <w:r>
        <w:t>d</w:t>
      </w:r>
      <w:r w:rsidRPr="004D61A5">
        <w:t xml:space="preserve"> Title 18, United States Code, Section 922(k), Possession of a Firearm with an Obliterated Serial Number, Title 26, United States Code, Section 5861(d), Receiving or Possessing an NFA Firearm not Registered to the Possessor in the NFRTR, and Title 26, United States Code, Section 5861(f), Manufacturing a Firearm in Violation of NFA.</w:t>
      </w:r>
      <w:r w:rsidR="00550593">
        <w:br/>
      </w:r>
      <w:r w:rsidR="00550593">
        <w:br/>
        <w:t>During the search warrant, Agents found the following items of evidentiary value:</w:t>
      </w:r>
    </w:p>
    <w:p w14:paraId="21762785" w14:textId="77777777" w:rsidR="00550593" w:rsidRDefault="00550593" w:rsidP="00550593">
      <w:r>
        <w:t>•</w:t>
      </w:r>
      <w:r>
        <w:tab/>
        <w:t>1 (one) fully assembled AR-15 style rifle with a barrel measuring approximately 9 ¼ inches, with an obliterated serial number</w:t>
      </w:r>
    </w:p>
    <w:p w14:paraId="4CD6DE40" w14:textId="77777777" w:rsidR="00550593" w:rsidRDefault="00550593" w:rsidP="00550593">
      <w:r>
        <w:t>•</w:t>
      </w:r>
      <w:r>
        <w:tab/>
        <w:t>1 (one) AR-15 style lower receiver with an obliterated serial number</w:t>
      </w:r>
    </w:p>
    <w:p w14:paraId="6A191B48" w14:textId="77777777" w:rsidR="00550593" w:rsidRDefault="00550593" w:rsidP="00550593">
      <w:r>
        <w:t>•</w:t>
      </w:r>
      <w:r>
        <w:tab/>
        <w:t>10 (ten) fully assembled AR-15 style rifles with barrels measuring approximately 9 ¼ inches, bearing no serial numbers</w:t>
      </w:r>
    </w:p>
    <w:p w14:paraId="603897C9" w14:textId="77777777" w:rsidR="00550593" w:rsidRDefault="00550593" w:rsidP="00550593">
      <w:r>
        <w:t>•</w:t>
      </w:r>
      <w:r>
        <w:tab/>
        <w:t>9 (nine) AR-15 style lower receivers, bearing no serial numbers</w:t>
      </w:r>
    </w:p>
    <w:p w14:paraId="7623D2CE" w14:textId="77777777" w:rsidR="00550593" w:rsidRDefault="00550593" w:rsidP="00550593">
      <w:r>
        <w:t>•</w:t>
      </w:r>
      <w:r>
        <w:tab/>
        <w:t xml:space="preserve">1 (one) drill press (covered and surrounded in aluminum shavings) </w:t>
      </w:r>
    </w:p>
    <w:p w14:paraId="575B3267" w14:textId="77777777" w:rsidR="00550593" w:rsidRDefault="00550593" w:rsidP="00550593">
      <w:r>
        <w:t>•</w:t>
      </w:r>
      <w:r>
        <w:tab/>
        <w:t xml:space="preserve">2 (two) “Ghost Gunner” brand CNC mills (both containing aluminum shavings)   </w:t>
      </w:r>
    </w:p>
    <w:p w14:paraId="60A98623" w14:textId="77777777" w:rsidR="00550593" w:rsidRDefault="00550593" w:rsidP="00550593">
      <w:r>
        <w:t>•</w:t>
      </w:r>
      <w:r>
        <w:tab/>
        <w:t>25 (twenty-five) serialized AR-15 style lower receivers</w:t>
      </w:r>
    </w:p>
    <w:p w14:paraId="628BDC0E" w14:textId="3EA70D29" w:rsidR="00550593" w:rsidRDefault="00550593" w:rsidP="00550593">
      <w:r>
        <w:t>A federal search warrant was also executed at Machamer’s parents’ residence. During the search warrant, a safe was identified to be owned and utilized by Machamer. In the safe identified as belonging to Machamer, Agents found the following items:</w:t>
      </w:r>
    </w:p>
    <w:p w14:paraId="2A860225" w14:textId="77777777" w:rsidR="00550593" w:rsidRDefault="00550593" w:rsidP="00550593">
      <w:r>
        <w:t>•</w:t>
      </w:r>
      <w:r>
        <w:tab/>
        <w:t>5 (five) AR-15 style rifles</w:t>
      </w:r>
    </w:p>
    <w:p w14:paraId="720CFEFC" w14:textId="77777777" w:rsidR="00550593" w:rsidRDefault="00550593" w:rsidP="00550593">
      <w:r>
        <w:lastRenderedPageBreak/>
        <w:t>•</w:t>
      </w:r>
      <w:r>
        <w:tab/>
        <w:t>2 (two) short barrel shotguns</w:t>
      </w:r>
    </w:p>
    <w:p w14:paraId="779EF691" w14:textId="77777777" w:rsidR="00550593" w:rsidRDefault="00550593" w:rsidP="00550593">
      <w:r>
        <w:t>•</w:t>
      </w:r>
      <w:r>
        <w:tab/>
        <w:t>6 (six) handguns</w:t>
      </w:r>
    </w:p>
    <w:p w14:paraId="2865FD9B" w14:textId="77777777" w:rsidR="00550593" w:rsidRDefault="00550593" w:rsidP="00550593">
      <w:r>
        <w:t>•</w:t>
      </w:r>
      <w:r>
        <w:tab/>
        <w:t>8 (eight) suppressors</w:t>
      </w:r>
    </w:p>
    <w:p w14:paraId="6BBEF08F" w14:textId="77777777" w:rsidR="00550593" w:rsidRDefault="00550593" w:rsidP="00550593">
      <w:r>
        <w:t>•</w:t>
      </w:r>
      <w:r>
        <w:tab/>
        <w:t>1 AK-47 style lower receiver</w:t>
      </w:r>
    </w:p>
    <w:p w14:paraId="63998CCF" w14:textId="399C8ED3" w:rsidR="00550E57" w:rsidRDefault="00550593">
      <w:r>
        <w:t>•</w:t>
      </w:r>
      <w:r>
        <w:tab/>
        <w:t>$3,000 in United States Currency</w:t>
      </w:r>
    </w:p>
    <w:p w14:paraId="008A4D22" w14:textId="739863AF" w:rsidR="00550E57" w:rsidRDefault="004D61A5">
      <w:r>
        <w:t>Machamer</w:t>
      </w:r>
      <w:r w:rsidR="00550E57">
        <w:t xml:space="preserve"> </w:t>
      </w:r>
      <w:r w:rsidR="009B7A76">
        <w:t>had his</w:t>
      </w:r>
      <w:r w:rsidR="00550E57">
        <w:t xml:space="preserve"> initial appearance in the US </w:t>
      </w:r>
      <w:r w:rsidR="008C1379">
        <w:t>Attorney’s</w:t>
      </w:r>
      <w:r w:rsidR="00550E57">
        <w:t xml:space="preserve"> Office, Northern District of Ohio </w:t>
      </w:r>
      <w:r w:rsidR="009B7A76" w:rsidRPr="00096477">
        <w:t>January 8</w:t>
      </w:r>
      <w:r w:rsidR="00096477" w:rsidRPr="00096477">
        <w:t>, 2024</w:t>
      </w:r>
      <w:r w:rsidR="008C1379" w:rsidRPr="00096477">
        <w:t xml:space="preserve">. </w:t>
      </w:r>
      <w:r w:rsidR="008C1379" w:rsidRPr="008C1379">
        <w:t>This is considered an ongoing investigation and additional details cannot be provided.</w:t>
      </w:r>
    </w:p>
    <w:p w14:paraId="0D3521B6" w14:textId="1CB843C2" w:rsidR="00550E57" w:rsidRDefault="00550E57">
      <w:r w:rsidRPr="00550E57">
        <w:t>A complaint is only a charge and is not evidence of guilt. A defendant is entitled to a fair trial in which it will be the government’s burden to prove guilt beyond a reasonable doubt.</w:t>
      </w:r>
      <w:r w:rsidR="00550593">
        <w:br/>
      </w:r>
      <w:r w:rsidR="00550593">
        <w:br/>
        <w:t>-30-</w:t>
      </w:r>
      <w:r w:rsidR="00D560C9">
        <w:br/>
      </w:r>
      <w:r w:rsidR="00D560C9">
        <w:br/>
      </w:r>
      <w:r w:rsidR="00E052EF">
        <w:rPr>
          <w:b/>
          <w:bCs/>
        </w:rPr>
        <w:t xml:space="preserve">Editor’s Note - </w:t>
      </w:r>
      <w:r w:rsidR="00D560C9" w:rsidRPr="00D560C9">
        <w:rPr>
          <w:b/>
          <w:bCs/>
        </w:rPr>
        <w:t>For background</w:t>
      </w:r>
      <w:r w:rsidR="006C748E">
        <w:rPr>
          <w:b/>
          <w:bCs/>
        </w:rPr>
        <w:br/>
      </w:r>
    </w:p>
    <w:p w14:paraId="18FE82AC" w14:textId="2C3ACBAF" w:rsidR="00D560C9" w:rsidRDefault="00D560C9" w:rsidP="00D560C9">
      <w:r>
        <w:t xml:space="preserve">In June 2023, Attorney General Merrick B. Garland together with the FBI Criminal Division, ATF, DEA, the US Marshals Service and all 93 U.S. Attorneys met to discuss ongoing efforts to reduce violent crime and combat the gun violence that fuels it. During that meeting, AG Garland reiterated his February 2022 direction to U.S Attorneys’ Offices to prioritize combating gun violence. Among other actions, the Attorney General directed U.S. Attorneys to increase prosecutorial resources devoted to cracking down on illegal firearm trafficking pipelines, to hold accountable those who possess unlawful “ghost guns,” and to pursue investigations against unlawful gun dealing. </w:t>
      </w:r>
      <w:r>
        <w:br/>
      </w:r>
      <w:r>
        <w:br/>
      </w:r>
      <w:hyperlink r:id="rId7" w:history="1">
        <w:r>
          <w:rPr>
            <w:rStyle w:val="Hyperlink"/>
          </w:rPr>
          <w:t>Office of Public Affairs | FACT SHEET: Update on Justice Department ’s Ongoing Efforts to Tackle Gun Violence | United States Department of Justice</w:t>
        </w:r>
      </w:hyperlink>
    </w:p>
    <w:bookmarkEnd w:id="0"/>
    <w:p w14:paraId="42D0A385" w14:textId="77777777" w:rsidR="00D560C9" w:rsidRDefault="00D560C9"/>
    <w:sectPr w:rsidR="00D560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1461" w14:textId="77777777" w:rsidR="005D62C4" w:rsidRDefault="005D62C4" w:rsidP="00CE786C">
      <w:pPr>
        <w:spacing w:after="0" w:line="240" w:lineRule="auto"/>
      </w:pPr>
      <w:r>
        <w:separator/>
      </w:r>
    </w:p>
  </w:endnote>
  <w:endnote w:type="continuationSeparator" w:id="0">
    <w:p w14:paraId="324FDC45" w14:textId="77777777" w:rsidR="005D62C4" w:rsidRDefault="005D62C4" w:rsidP="00CE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EADD" w14:textId="77777777" w:rsidR="00CE786C" w:rsidRDefault="00CE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737F" w14:textId="77777777" w:rsidR="00CE786C" w:rsidRDefault="00CE7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85B7" w14:textId="77777777" w:rsidR="00CE786C" w:rsidRDefault="00CE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F87F" w14:textId="77777777" w:rsidR="005D62C4" w:rsidRDefault="005D62C4" w:rsidP="00CE786C">
      <w:pPr>
        <w:spacing w:after="0" w:line="240" w:lineRule="auto"/>
      </w:pPr>
      <w:r>
        <w:separator/>
      </w:r>
    </w:p>
  </w:footnote>
  <w:footnote w:type="continuationSeparator" w:id="0">
    <w:p w14:paraId="445C7918" w14:textId="77777777" w:rsidR="005D62C4" w:rsidRDefault="005D62C4" w:rsidP="00CE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579" w14:textId="77777777" w:rsidR="00CE786C" w:rsidRDefault="00CE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1D78" w14:textId="05A0EAA3" w:rsidR="00CE786C" w:rsidRDefault="00CE7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59B2" w14:textId="77777777" w:rsidR="00CE786C" w:rsidRDefault="00CE78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57"/>
    <w:rsid w:val="00091AF4"/>
    <w:rsid w:val="00096477"/>
    <w:rsid w:val="000B63FF"/>
    <w:rsid w:val="001143A7"/>
    <w:rsid w:val="00140E9B"/>
    <w:rsid w:val="001C7A82"/>
    <w:rsid w:val="00273B86"/>
    <w:rsid w:val="003E206F"/>
    <w:rsid w:val="004D61A5"/>
    <w:rsid w:val="004E1163"/>
    <w:rsid w:val="00550593"/>
    <w:rsid w:val="00550E57"/>
    <w:rsid w:val="005D62C4"/>
    <w:rsid w:val="006C748E"/>
    <w:rsid w:val="00791124"/>
    <w:rsid w:val="00896B82"/>
    <w:rsid w:val="00897325"/>
    <w:rsid w:val="008C1379"/>
    <w:rsid w:val="009B7A76"/>
    <w:rsid w:val="00BF550A"/>
    <w:rsid w:val="00C27EA4"/>
    <w:rsid w:val="00C33CEB"/>
    <w:rsid w:val="00C4691F"/>
    <w:rsid w:val="00CA082E"/>
    <w:rsid w:val="00CE786C"/>
    <w:rsid w:val="00D560C9"/>
    <w:rsid w:val="00DB0176"/>
    <w:rsid w:val="00E052EF"/>
    <w:rsid w:val="00E974CF"/>
    <w:rsid w:val="00EC62EE"/>
    <w:rsid w:val="00EF08A9"/>
    <w:rsid w:val="00F437D5"/>
    <w:rsid w:val="00F9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742D"/>
  <w15:chartTrackingRefBased/>
  <w15:docId w15:val="{E4CB163C-ACB4-4E8C-929D-52A60C84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60C9"/>
    <w:rPr>
      <w:color w:val="0000FF"/>
      <w:u w:val="single"/>
    </w:rPr>
  </w:style>
  <w:style w:type="paragraph" w:styleId="Header">
    <w:name w:val="header"/>
    <w:basedOn w:val="Normal"/>
    <w:link w:val="HeaderChar"/>
    <w:uiPriority w:val="99"/>
    <w:unhideWhenUsed/>
    <w:rsid w:val="00CE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86C"/>
  </w:style>
  <w:style w:type="paragraph" w:styleId="Footer">
    <w:name w:val="footer"/>
    <w:basedOn w:val="Normal"/>
    <w:link w:val="FooterChar"/>
    <w:uiPriority w:val="99"/>
    <w:unhideWhenUsed/>
    <w:rsid w:val="00CE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12142">
      <w:bodyDiv w:val="1"/>
      <w:marLeft w:val="0"/>
      <w:marRight w:val="0"/>
      <w:marTop w:val="0"/>
      <w:marBottom w:val="0"/>
      <w:divBdr>
        <w:top w:val="none" w:sz="0" w:space="0" w:color="auto"/>
        <w:left w:val="none" w:sz="0" w:space="0" w:color="auto"/>
        <w:bottom w:val="none" w:sz="0" w:space="0" w:color="auto"/>
        <w:right w:val="none" w:sz="0" w:space="0" w:color="auto"/>
      </w:divBdr>
    </w:div>
    <w:div w:id="1603874086">
      <w:bodyDiv w:val="1"/>
      <w:marLeft w:val="0"/>
      <w:marRight w:val="0"/>
      <w:marTop w:val="0"/>
      <w:marBottom w:val="0"/>
      <w:divBdr>
        <w:top w:val="none" w:sz="0" w:space="0" w:color="auto"/>
        <w:left w:val="none" w:sz="0" w:space="0" w:color="auto"/>
        <w:bottom w:val="none" w:sz="0" w:space="0" w:color="auto"/>
        <w:right w:val="none" w:sz="0" w:space="0" w:color="auto"/>
      </w:divBdr>
    </w:div>
    <w:div w:id="2051954459">
      <w:bodyDiv w:val="1"/>
      <w:marLeft w:val="0"/>
      <w:marRight w:val="0"/>
      <w:marTop w:val="0"/>
      <w:marBottom w:val="0"/>
      <w:divBdr>
        <w:top w:val="none" w:sz="0" w:space="0" w:color="auto"/>
        <w:left w:val="none" w:sz="0" w:space="0" w:color="auto"/>
        <w:bottom w:val="none" w:sz="0" w:space="0" w:color="auto"/>
        <w:right w:val="none" w:sz="0" w:space="0" w:color="auto"/>
      </w:divBdr>
      <w:divsChild>
        <w:div w:id="749035527">
          <w:marLeft w:val="0"/>
          <w:marRight w:val="0"/>
          <w:marTop w:val="0"/>
          <w:marBottom w:val="0"/>
          <w:divBdr>
            <w:top w:val="none" w:sz="0" w:space="0" w:color="auto"/>
            <w:left w:val="none" w:sz="0" w:space="0" w:color="auto"/>
            <w:bottom w:val="none" w:sz="0" w:space="0" w:color="auto"/>
            <w:right w:val="none" w:sz="0" w:space="0" w:color="auto"/>
          </w:divBdr>
          <w:divsChild>
            <w:div w:id="2059743250">
              <w:marLeft w:val="0"/>
              <w:marRight w:val="0"/>
              <w:marTop w:val="0"/>
              <w:marBottom w:val="0"/>
              <w:divBdr>
                <w:top w:val="none" w:sz="0" w:space="0" w:color="auto"/>
                <w:left w:val="none" w:sz="0" w:space="0" w:color="auto"/>
                <w:bottom w:val="none" w:sz="0" w:space="0" w:color="auto"/>
                <w:right w:val="none" w:sz="0" w:space="0" w:color="auto"/>
              </w:divBdr>
              <w:divsChild>
                <w:div w:id="568156323">
                  <w:marLeft w:val="0"/>
                  <w:marRight w:val="0"/>
                  <w:marTop w:val="0"/>
                  <w:marBottom w:val="0"/>
                  <w:divBdr>
                    <w:top w:val="none" w:sz="0" w:space="0" w:color="auto"/>
                    <w:left w:val="none" w:sz="0" w:space="0" w:color="auto"/>
                    <w:bottom w:val="none" w:sz="0" w:space="0" w:color="auto"/>
                    <w:right w:val="none" w:sz="0" w:space="0" w:color="auto"/>
                  </w:divBdr>
                  <w:divsChild>
                    <w:div w:id="1319307535">
                      <w:marLeft w:val="0"/>
                      <w:marRight w:val="0"/>
                      <w:marTop w:val="0"/>
                      <w:marBottom w:val="0"/>
                      <w:divBdr>
                        <w:top w:val="none" w:sz="0" w:space="0" w:color="auto"/>
                        <w:left w:val="none" w:sz="0" w:space="0" w:color="auto"/>
                        <w:bottom w:val="none" w:sz="0" w:space="0" w:color="auto"/>
                        <w:right w:val="none" w:sz="0" w:space="0" w:color="auto"/>
                      </w:divBdr>
                      <w:divsChild>
                        <w:div w:id="294920086">
                          <w:marLeft w:val="0"/>
                          <w:marRight w:val="0"/>
                          <w:marTop w:val="0"/>
                          <w:marBottom w:val="0"/>
                          <w:divBdr>
                            <w:top w:val="none" w:sz="0" w:space="0" w:color="auto"/>
                            <w:left w:val="none" w:sz="0" w:space="0" w:color="auto"/>
                            <w:bottom w:val="none" w:sz="0" w:space="0" w:color="auto"/>
                            <w:right w:val="none" w:sz="0" w:space="0" w:color="auto"/>
                          </w:divBdr>
                          <w:divsChild>
                            <w:div w:id="2063668626">
                              <w:marLeft w:val="0"/>
                              <w:marRight w:val="0"/>
                              <w:marTop w:val="0"/>
                              <w:marBottom w:val="0"/>
                              <w:divBdr>
                                <w:top w:val="none" w:sz="0" w:space="0" w:color="auto"/>
                                <w:left w:val="none" w:sz="0" w:space="0" w:color="auto"/>
                                <w:bottom w:val="none" w:sz="0" w:space="0" w:color="auto"/>
                                <w:right w:val="none" w:sz="0" w:space="0" w:color="auto"/>
                              </w:divBdr>
                              <w:divsChild>
                                <w:div w:id="1483886357">
                                  <w:marLeft w:val="0"/>
                                  <w:marRight w:val="0"/>
                                  <w:marTop w:val="0"/>
                                  <w:marBottom w:val="0"/>
                                  <w:divBdr>
                                    <w:top w:val="none" w:sz="0" w:space="0" w:color="auto"/>
                                    <w:left w:val="none" w:sz="0" w:space="0" w:color="auto"/>
                                    <w:bottom w:val="none" w:sz="0" w:space="0" w:color="auto"/>
                                    <w:right w:val="none" w:sz="0" w:space="0" w:color="auto"/>
                                  </w:divBdr>
                                  <w:divsChild>
                                    <w:div w:id="4345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882558">
          <w:marLeft w:val="0"/>
          <w:marRight w:val="0"/>
          <w:marTop w:val="900"/>
          <w:marBottom w:val="0"/>
          <w:divBdr>
            <w:top w:val="none" w:sz="0" w:space="0" w:color="auto"/>
            <w:left w:val="none" w:sz="0" w:space="0" w:color="auto"/>
            <w:bottom w:val="none" w:sz="0" w:space="0" w:color="auto"/>
            <w:right w:val="none" w:sz="0" w:space="0" w:color="auto"/>
          </w:divBdr>
          <w:divsChild>
            <w:div w:id="819808628">
              <w:marLeft w:val="0"/>
              <w:marRight w:val="0"/>
              <w:marTop w:val="0"/>
              <w:marBottom w:val="0"/>
              <w:divBdr>
                <w:top w:val="none" w:sz="0" w:space="0" w:color="auto"/>
                <w:left w:val="none" w:sz="0" w:space="0" w:color="auto"/>
                <w:bottom w:val="none" w:sz="0" w:space="0" w:color="auto"/>
                <w:right w:val="none" w:sz="0" w:space="0" w:color="auto"/>
              </w:divBdr>
              <w:divsChild>
                <w:div w:id="1348479217">
                  <w:marLeft w:val="0"/>
                  <w:marRight w:val="0"/>
                  <w:marTop w:val="0"/>
                  <w:marBottom w:val="0"/>
                  <w:divBdr>
                    <w:top w:val="none" w:sz="0" w:space="0" w:color="auto"/>
                    <w:left w:val="none" w:sz="0" w:space="0" w:color="auto"/>
                    <w:bottom w:val="none" w:sz="0" w:space="0" w:color="auto"/>
                    <w:right w:val="none" w:sz="0" w:space="0" w:color="auto"/>
                  </w:divBdr>
                  <w:divsChild>
                    <w:div w:id="318464753">
                      <w:marLeft w:val="0"/>
                      <w:marRight w:val="0"/>
                      <w:marTop w:val="0"/>
                      <w:marBottom w:val="0"/>
                      <w:divBdr>
                        <w:top w:val="none" w:sz="0" w:space="0" w:color="auto"/>
                        <w:left w:val="none" w:sz="0" w:space="0" w:color="auto"/>
                        <w:bottom w:val="none" w:sz="0" w:space="0" w:color="auto"/>
                        <w:right w:val="none" w:sz="0" w:space="0" w:color="auto"/>
                      </w:divBdr>
                      <w:divsChild>
                        <w:div w:id="647830795">
                          <w:marLeft w:val="0"/>
                          <w:marRight w:val="1650"/>
                          <w:marTop w:val="0"/>
                          <w:marBottom w:val="0"/>
                          <w:divBdr>
                            <w:top w:val="none" w:sz="0" w:space="0" w:color="auto"/>
                            <w:left w:val="none" w:sz="0" w:space="0" w:color="auto"/>
                            <w:bottom w:val="none" w:sz="0" w:space="0" w:color="auto"/>
                            <w:right w:val="none" w:sz="0" w:space="0" w:color="auto"/>
                          </w:divBdr>
                        </w:div>
                        <w:div w:id="264272071">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justice.gov/opa/pr/fact-sheet-update-justice-department-s-ongoing-efforts-tackle-gun-violenc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Licate, Susan L. (CV) (FBI)</dc:creator>
  <cp:keywords/>
  <dc:description/>
  <cp:lastModifiedBy>Evans, Brandt H. (ATF)</cp:lastModifiedBy>
  <cp:revision>2</cp:revision>
  <dcterms:created xsi:type="dcterms:W3CDTF">2024-01-09T16:30:00Z</dcterms:created>
  <dcterms:modified xsi:type="dcterms:W3CDTF">2024-01-09T16:30:00Z</dcterms:modified>
</cp:coreProperties>
</file>