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AB" w:rsidRPr="00762F09" w:rsidRDefault="0031306B" w:rsidP="00471021">
      <w:pPr>
        <w:pStyle w:val="Title"/>
        <w:spacing w:before="100" w:beforeAutospacing="1" w:after="100" w:afterAutospacing="1"/>
        <w:rPr>
          <w:rFonts w:ascii="Times New Roman" w:hAnsi="Times New Roman"/>
          <w:b/>
          <w:szCs w:val="52"/>
        </w:rPr>
      </w:pPr>
      <w:r>
        <w:rPr>
          <w:rFonts w:ascii="Times New Roman" w:hAnsi="Times New Roman"/>
          <w:b/>
          <w:szCs w:val="52"/>
        </w:rPr>
        <w:t>C</w:t>
      </w:r>
      <w:r w:rsidR="00260AD4">
        <w:rPr>
          <w:rFonts w:ascii="Times New Roman" w:hAnsi="Times New Roman"/>
          <w:b/>
          <w:szCs w:val="52"/>
        </w:rPr>
        <w:t>ongressiona</w:t>
      </w:r>
      <w:r w:rsidR="0003010E">
        <w:rPr>
          <w:rFonts w:ascii="Times New Roman" w:hAnsi="Times New Roman"/>
          <w:b/>
          <w:szCs w:val="52"/>
        </w:rPr>
        <w:t>l</w:t>
      </w:r>
      <w:r w:rsidR="00223F32">
        <w:rPr>
          <w:rFonts w:ascii="Times New Roman" w:hAnsi="Times New Roman"/>
          <w:b/>
          <w:szCs w:val="52"/>
        </w:rPr>
        <w:t xml:space="preserve"> </w:t>
      </w:r>
      <w:r w:rsidR="000E2874">
        <w:rPr>
          <w:rFonts w:ascii="Times New Roman" w:hAnsi="Times New Roman"/>
          <w:b/>
          <w:szCs w:val="52"/>
        </w:rPr>
        <w:t>Budget</w:t>
      </w:r>
      <w:r w:rsidR="002578CD">
        <w:rPr>
          <w:rFonts w:ascii="Times New Roman" w:hAnsi="Times New Roman"/>
          <w:b/>
          <w:szCs w:val="52"/>
        </w:rPr>
        <w:t xml:space="preserve"> Submission</w:t>
      </w:r>
    </w:p>
    <w:p w:rsidR="000E2874" w:rsidRPr="008216C3" w:rsidRDefault="000E2874" w:rsidP="000E2874">
      <w:pPr>
        <w:pStyle w:val="Title"/>
        <w:spacing w:before="100" w:beforeAutospacing="1" w:after="100" w:afterAutospacing="1"/>
        <w:rPr>
          <w:rFonts w:ascii="Times New Roman" w:hAnsi="Times New Roman"/>
          <w:szCs w:val="52"/>
        </w:rPr>
      </w:pPr>
      <w:r w:rsidRPr="008216C3">
        <w:rPr>
          <w:rFonts w:ascii="Times New Roman" w:hAnsi="Times New Roman"/>
          <w:szCs w:val="52"/>
        </w:rPr>
        <w:t>Fiscal Year 201</w:t>
      </w:r>
      <w:r w:rsidR="00C049B3">
        <w:rPr>
          <w:rFonts w:ascii="Times New Roman" w:hAnsi="Times New Roman"/>
          <w:szCs w:val="52"/>
        </w:rPr>
        <w:t>3</w:t>
      </w:r>
      <w:r w:rsidRPr="008216C3">
        <w:rPr>
          <w:rFonts w:ascii="Times New Roman" w:hAnsi="Times New Roman"/>
          <w:szCs w:val="52"/>
        </w:rPr>
        <w:t xml:space="preserve"> </w:t>
      </w:r>
    </w:p>
    <w:p w:rsidR="00FA2AAB" w:rsidRPr="004A69B2" w:rsidRDefault="008216C3" w:rsidP="005027FD">
      <w:pPr>
        <w:pStyle w:val="Subtitle"/>
        <w:spacing w:before="100" w:beforeAutospacing="1" w:after="100" w:afterAutospacing="1"/>
        <w:rPr>
          <w:rFonts w:ascii="Times New Roman" w:hAnsi="Times New Roman"/>
          <w:b/>
          <w:sz w:val="48"/>
          <w:szCs w:val="48"/>
        </w:rPr>
      </w:pPr>
      <w:r>
        <w:rPr>
          <w:b/>
          <w:noProof/>
        </w:rPr>
        <w:drawing>
          <wp:anchor distT="0" distB="0" distL="114300" distR="114300" simplePos="0" relativeHeight="251657216" behindDoc="1" locked="0" layoutInCell="1" allowOverlap="1">
            <wp:simplePos x="0" y="0"/>
            <wp:positionH relativeFrom="column">
              <wp:posOffset>885324</wp:posOffset>
            </wp:positionH>
            <wp:positionV relativeFrom="paragraph">
              <wp:posOffset>374026</wp:posOffset>
            </wp:positionV>
            <wp:extent cx="4167939" cy="3108960"/>
            <wp:effectExtent l="19050" t="0" r="4011" b="0"/>
            <wp:wrapNone/>
            <wp:docPr id="4" name="Picture 28" descr="This is the official seal of the Bureau of Alcohol, Tobacco, Firearms and Explos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his is the official seal of the Bureau of Alcohol, Tobacco, Firearms and Explosives."/>
                    <pic:cNvPicPr>
                      <a:picLocks noChangeAspect="1" noChangeArrowheads="1"/>
                    </pic:cNvPicPr>
                  </pic:nvPicPr>
                  <pic:blipFill>
                    <a:blip r:embed="rId8" cstate="print"/>
                    <a:srcRect/>
                    <a:stretch>
                      <a:fillRect/>
                    </a:stretch>
                  </pic:blipFill>
                  <pic:spPr bwMode="auto">
                    <a:xfrm>
                      <a:off x="0" y="0"/>
                      <a:ext cx="4167939" cy="3108960"/>
                    </a:xfrm>
                    <a:prstGeom prst="rect">
                      <a:avLst/>
                    </a:prstGeom>
                    <a:noFill/>
                    <a:ln w="9525">
                      <a:noFill/>
                      <a:miter lim="800000"/>
                      <a:headEnd/>
                      <a:tailEnd/>
                    </a:ln>
                  </pic:spPr>
                </pic:pic>
              </a:graphicData>
            </a:graphic>
          </wp:anchor>
        </w:drawing>
      </w:r>
    </w:p>
    <w:p w:rsidR="00FA2AAB" w:rsidRPr="00DA74D0" w:rsidRDefault="00FA2AAB" w:rsidP="005027FD">
      <w:pPr>
        <w:pStyle w:val="Subtitle"/>
        <w:spacing w:before="100" w:beforeAutospacing="1" w:after="100" w:afterAutospacing="1"/>
        <w:rPr>
          <w:rFonts w:ascii="Times New Roman" w:hAnsi="Times New Roman"/>
          <w:sz w:val="48"/>
          <w:szCs w:val="48"/>
        </w:rPr>
      </w:pPr>
    </w:p>
    <w:p w:rsidR="00FA2AAB" w:rsidRDefault="00FA2AAB" w:rsidP="005027FD">
      <w:pPr>
        <w:pStyle w:val="Subtitle"/>
        <w:tabs>
          <w:tab w:val="left" w:pos="6480"/>
          <w:tab w:val="left" w:pos="6660"/>
        </w:tabs>
        <w:spacing w:before="100" w:beforeAutospacing="1" w:after="100" w:afterAutospacing="1"/>
        <w:rPr>
          <w:rFonts w:ascii="Arial Black" w:hAnsi="Arial Black"/>
          <w:outline/>
          <w:szCs w:val="40"/>
        </w:rPr>
      </w:pPr>
    </w:p>
    <w:p w:rsidR="00FA2AAB" w:rsidRDefault="00FA2AAB" w:rsidP="005027FD">
      <w:pPr>
        <w:pStyle w:val="Subtitle"/>
        <w:tabs>
          <w:tab w:val="left" w:pos="6480"/>
          <w:tab w:val="left" w:pos="6660"/>
        </w:tabs>
        <w:spacing w:before="100" w:beforeAutospacing="1" w:after="100" w:afterAutospacing="1"/>
        <w:rPr>
          <w:rFonts w:ascii="Arial Black" w:hAnsi="Arial Black"/>
          <w:outline/>
          <w:szCs w:val="40"/>
        </w:rPr>
      </w:pPr>
    </w:p>
    <w:p w:rsidR="00FA2AAB" w:rsidRDefault="00FA2AAB" w:rsidP="005027FD">
      <w:pPr>
        <w:pStyle w:val="Subtitle"/>
        <w:tabs>
          <w:tab w:val="left" w:pos="6480"/>
          <w:tab w:val="left" w:pos="6660"/>
        </w:tabs>
        <w:spacing w:before="100" w:beforeAutospacing="1" w:after="100" w:afterAutospacing="1"/>
        <w:rPr>
          <w:rFonts w:ascii="Arial Black" w:hAnsi="Arial Black"/>
          <w:outline/>
          <w:szCs w:val="40"/>
        </w:rPr>
      </w:pPr>
    </w:p>
    <w:p w:rsidR="00FA2AAB" w:rsidRPr="00DA74D0" w:rsidRDefault="00FA2AAB" w:rsidP="005027FD">
      <w:pPr>
        <w:pStyle w:val="Subtitle"/>
        <w:tabs>
          <w:tab w:val="left" w:pos="6480"/>
          <w:tab w:val="left" w:pos="6660"/>
        </w:tabs>
        <w:spacing w:before="100" w:beforeAutospacing="1" w:after="100" w:afterAutospacing="1"/>
        <w:rPr>
          <w:rFonts w:ascii="Arial Black" w:hAnsi="Arial Black"/>
          <w:outline/>
          <w:szCs w:val="40"/>
        </w:rPr>
      </w:pPr>
    </w:p>
    <w:p w:rsidR="00FA2AAB" w:rsidRPr="00707739" w:rsidRDefault="006C7F18" w:rsidP="005027FD">
      <w:pPr>
        <w:pStyle w:val="Subtitle"/>
        <w:tabs>
          <w:tab w:val="left" w:pos="6480"/>
          <w:tab w:val="left" w:pos="6660"/>
        </w:tabs>
        <w:spacing w:before="100" w:beforeAutospacing="1" w:after="100" w:afterAutospacing="1"/>
        <w:rPr>
          <w:rFonts w:ascii="Times New Roman" w:hAnsi="Times New Roman"/>
          <w:i/>
          <w:sz w:val="340"/>
          <w:szCs w:val="340"/>
        </w:rPr>
      </w:pPr>
      <w:r w:rsidRPr="006C7F18">
        <w:rPr>
          <w:noProof/>
          <w:sz w:val="340"/>
          <w:szCs w:val="340"/>
        </w:rPr>
        <w:pict>
          <v:shapetype id="_x0000_t202" coordsize="21600,21600" o:spt="202" path="m,l,21600r21600,l21600,xe">
            <v:stroke joinstyle="miter"/>
            <v:path gradientshapeok="t" o:connecttype="rect"/>
          </v:shapetype>
          <v:shape id="_x0000_s1054" type="#_x0000_t202" style="position:absolute;left:0;text-align:left;margin-left:6.75pt;margin-top:244.1pt;width:459pt;height:90.75pt;z-index:-251658240" wrapcoords="-35 -138 -35 21462 21635 21462 21635 -138 -35 -138">
            <v:textbox style="mso-next-textbox:#_x0000_s1054">
              <w:txbxContent>
                <w:p w:rsidR="0091746E" w:rsidRDefault="0091746E" w:rsidP="00707739">
                  <w:pPr>
                    <w:pStyle w:val="Subtitle"/>
                    <w:rPr>
                      <w:rFonts w:ascii="Times New Roman" w:hAnsi="Times New Roman"/>
                      <w:b/>
                      <w:bCs/>
                      <w:sz w:val="24"/>
                    </w:rPr>
                  </w:pPr>
                  <w:r>
                    <w:rPr>
                      <w:rFonts w:ascii="Times New Roman" w:hAnsi="Times New Roman"/>
                      <w:b/>
                      <w:sz w:val="24"/>
                    </w:rPr>
                    <w:t xml:space="preserve">UNITED STATES </w:t>
                  </w:r>
                  <w:r w:rsidRPr="00245DA2">
                    <w:rPr>
                      <w:rFonts w:ascii="Times New Roman" w:hAnsi="Times New Roman"/>
                      <w:b/>
                      <w:sz w:val="24"/>
                    </w:rPr>
                    <w:t>DEPARTMENT OF JUSTICE</w:t>
                  </w:r>
                  <w:r w:rsidRPr="00245DA2">
                    <w:rPr>
                      <w:rFonts w:ascii="Times New Roman" w:hAnsi="Times New Roman"/>
                      <w:b/>
                      <w:sz w:val="24"/>
                    </w:rPr>
                    <w:br/>
                  </w:r>
                  <w:r w:rsidRPr="00245DA2">
                    <w:rPr>
                      <w:rFonts w:ascii="Times New Roman" w:hAnsi="Times New Roman"/>
                      <w:b/>
                      <w:bCs/>
                      <w:sz w:val="24"/>
                    </w:rPr>
                    <w:t>BUREAU OF ALCOHOL, TOBACCO, FIREARMS AND EXPLOSIVES</w:t>
                  </w:r>
                </w:p>
                <w:p w:rsidR="0091746E" w:rsidRPr="0011657D" w:rsidRDefault="0091746E" w:rsidP="00707739">
                  <w:pPr>
                    <w:pStyle w:val="Subtitle"/>
                    <w:rPr>
                      <w:rFonts w:ascii="Times New Roman" w:hAnsi="Times New Roman"/>
                      <w:b/>
                      <w:i/>
                      <w:shadow/>
                      <w:szCs w:val="40"/>
                    </w:rPr>
                  </w:pPr>
                  <w:r w:rsidRPr="0011657D">
                    <w:rPr>
                      <w:rFonts w:ascii="Times New Roman" w:hAnsi="Times New Roman"/>
                      <w:b/>
                      <w:i/>
                      <w:emboss/>
                      <w:color w:val="0000FF"/>
                      <w:szCs w:val="40"/>
                    </w:rPr>
                    <w:t>A</w:t>
                  </w:r>
                  <w:r w:rsidRPr="0011657D">
                    <w:rPr>
                      <w:rFonts w:ascii="Times New Roman" w:hAnsi="Times New Roman"/>
                      <w:b/>
                      <w:i/>
                      <w:shadow/>
                      <w:szCs w:val="40"/>
                    </w:rPr>
                    <w:t xml:space="preserve">t </w:t>
                  </w:r>
                  <w:r w:rsidRPr="0011657D">
                    <w:rPr>
                      <w:rFonts w:ascii="Times New Roman" w:hAnsi="Times New Roman"/>
                      <w:b/>
                      <w:i/>
                      <w:emboss/>
                      <w:color w:val="0000FF"/>
                      <w:szCs w:val="40"/>
                    </w:rPr>
                    <w:t>T</w:t>
                  </w:r>
                  <w:r w:rsidRPr="0011657D">
                    <w:rPr>
                      <w:rFonts w:ascii="Times New Roman" w:hAnsi="Times New Roman"/>
                      <w:b/>
                      <w:i/>
                      <w:shadow/>
                      <w:szCs w:val="40"/>
                    </w:rPr>
                    <w:t xml:space="preserve">he </w:t>
                  </w:r>
                  <w:r w:rsidRPr="0011657D">
                    <w:rPr>
                      <w:rFonts w:ascii="Times New Roman" w:hAnsi="Times New Roman"/>
                      <w:b/>
                      <w:i/>
                      <w:emboss/>
                      <w:color w:val="0000FF"/>
                      <w:szCs w:val="40"/>
                    </w:rPr>
                    <w:t>F</w:t>
                  </w:r>
                  <w:r w:rsidRPr="0011657D">
                    <w:rPr>
                      <w:rFonts w:ascii="Times New Roman" w:hAnsi="Times New Roman"/>
                      <w:b/>
                      <w:i/>
                      <w:shadow/>
                      <w:szCs w:val="40"/>
                    </w:rPr>
                    <w:t>rontline - Against Violent Crime</w:t>
                  </w:r>
                </w:p>
                <w:p w:rsidR="0091746E" w:rsidRPr="00245DA2" w:rsidRDefault="0091746E" w:rsidP="005027FD">
                  <w:pPr>
                    <w:pStyle w:val="Subtitle"/>
                    <w:spacing w:before="120" w:after="120"/>
                    <w:rPr>
                      <w:rFonts w:ascii="Times New Roman" w:hAnsi="Times New Roman"/>
                      <w:b/>
                      <w:bCs/>
                      <w:sz w:val="24"/>
                    </w:rPr>
                  </w:pPr>
                  <w:r>
                    <w:rPr>
                      <w:rFonts w:ascii="Times New Roman" w:hAnsi="Times New Roman"/>
                      <w:b/>
                      <w:sz w:val="24"/>
                    </w:rPr>
                    <w:t xml:space="preserve">February 2012 </w:t>
                  </w:r>
                </w:p>
              </w:txbxContent>
            </v:textbox>
            <w10:wrap type="tight"/>
          </v:shape>
        </w:pict>
      </w:r>
      <w:r w:rsidR="00FA2AAB" w:rsidRPr="00707739">
        <w:rPr>
          <w:rFonts w:ascii="Arial Black" w:hAnsi="Arial Black"/>
          <w:outline/>
          <w:color w:val="000080"/>
          <w:sz w:val="340"/>
          <w:szCs w:val="340"/>
        </w:rPr>
        <w:t>ATF</w:t>
      </w:r>
    </w:p>
    <w:p w:rsidR="00C63B4A" w:rsidRDefault="00C63B4A" w:rsidP="0085074C">
      <w:pPr>
        <w:pStyle w:val="xl19"/>
        <w:tabs>
          <w:tab w:val="right" w:pos="8730"/>
        </w:tabs>
        <w:spacing w:before="100" w:beforeAutospacing="1" w:after="100" w:afterAutospacing="1"/>
        <w:outlineLvl w:val="0"/>
        <w:rPr>
          <w:b/>
        </w:rPr>
      </w:pPr>
      <w:bookmarkStart w:id="0" w:name="_Toc224026857"/>
      <w:bookmarkStart w:id="1" w:name="_Toc224026858"/>
    </w:p>
    <w:p w:rsidR="00FA2AAB" w:rsidRPr="001241FF" w:rsidRDefault="00C63B4A" w:rsidP="00C63B4A">
      <w:pPr>
        <w:pStyle w:val="xl19"/>
        <w:tabs>
          <w:tab w:val="right" w:pos="8730"/>
        </w:tabs>
        <w:spacing w:before="100" w:beforeAutospacing="1" w:after="100" w:afterAutospacing="1"/>
        <w:jc w:val="center"/>
        <w:outlineLvl w:val="0"/>
        <w:rPr>
          <w:b/>
          <w:color w:val="FF0000"/>
        </w:rPr>
      </w:pPr>
      <w:r w:rsidRPr="00C63B4A">
        <w:rPr>
          <w:b/>
          <w:sz w:val="40"/>
          <w:szCs w:val="40"/>
        </w:rPr>
        <w:t>This page intentionally</w:t>
      </w:r>
      <w:r w:rsidR="00B376C4">
        <w:rPr>
          <w:b/>
          <w:sz w:val="40"/>
          <w:szCs w:val="40"/>
        </w:rPr>
        <w:t xml:space="preserve"> left</w:t>
      </w:r>
      <w:r w:rsidRPr="00C63B4A">
        <w:rPr>
          <w:b/>
          <w:sz w:val="40"/>
          <w:szCs w:val="40"/>
        </w:rPr>
        <w:t xml:space="preserve"> blank</w:t>
      </w:r>
      <w:r>
        <w:rPr>
          <w:b/>
        </w:rPr>
        <w:br w:type="page"/>
      </w:r>
      <w:r w:rsidR="00FA2AAB" w:rsidRPr="00F569AD">
        <w:rPr>
          <w:b/>
        </w:rPr>
        <w:lastRenderedPageBreak/>
        <w:t>Table of Contents</w:t>
      </w:r>
      <w:bookmarkEnd w:id="0"/>
      <w:r w:rsidR="001241FF">
        <w:rPr>
          <w:b/>
        </w:rPr>
        <w:t xml:space="preserve"> </w:t>
      </w:r>
    </w:p>
    <w:p w:rsidR="00FA2AAB" w:rsidRPr="00762F09" w:rsidRDefault="00FA2AAB" w:rsidP="005027FD">
      <w:pPr>
        <w:pStyle w:val="xl19"/>
        <w:tabs>
          <w:tab w:val="left" w:pos="7740"/>
          <w:tab w:val="right" w:pos="8730"/>
        </w:tabs>
        <w:spacing w:before="100" w:beforeAutospacing="1" w:after="100" w:afterAutospacing="1"/>
        <w:jc w:val="center"/>
        <w:outlineLvl w:val="0"/>
        <w:rPr>
          <w:bCs/>
        </w:rPr>
      </w:pPr>
      <w:r>
        <w:rPr>
          <w:bCs/>
        </w:rPr>
        <w:tab/>
      </w:r>
      <w:r w:rsidRPr="00762F09">
        <w:rPr>
          <w:bCs/>
        </w:rPr>
        <w:t>Page No.</w:t>
      </w:r>
      <w:bookmarkEnd w:id="1"/>
    </w:p>
    <w:p w:rsidR="00FA2AAB" w:rsidRPr="00762F09" w:rsidRDefault="00FA2AAB" w:rsidP="005027FD">
      <w:pPr>
        <w:pStyle w:val="xl19"/>
        <w:tabs>
          <w:tab w:val="left" w:leader="dot" w:pos="8100"/>
          <w:tab w:val="right" w:pos="8640"/>
        </w:tabs>
        <w:spacing w:before="100" w:beforeAutospacing="1" w:after="100" w:afterAutospacing="1"/>
      </w:pPr>
      <w:r w:rsidRPr="00762F09">
        <w:rPr>
          <w:b/>
          <w:bCs/>
        </w:rPr>
        <w:t xml:space="preserve">I.     Overview </w:t>
      </w:r>
      <w:r w:rsidRPr="00762F09">
        <w:tab/>
      </w:r>
      <w:r>
        <w:rPr>
          <w:bCs/>
        </w:rPr>
        <w:t>1</w:t>
      </w:r>
      <w:r w:rsidRPr="00762F09">
        <w:rPr>
          <w:b/>
          <w:bCs/>
        </w:rPr>
        <w:t xml:space="preserve"> </w:t>
      </w:r>
    </w:p>
    <w:p w:rsidR="00FA2AAB" w:rsidRDefault="00FA2AAB" w:rsidP="006B1557">
      <w:pPr>
        <w:pStyle w:val="xl19"/>
        <w:tabs>
          <w:tab w:val="center" w:pos="360"/>
          <w:tab w:val="left" w:leader="dot" w:pos="8100"/>
          <w:tab w:val="right" w:pos="8640"/>
        </w:tabs>
        <w:spacing w:before="100" w:beforeAutospacing="1" w:after="100" w:afterAutospacing="1"/>
        <w:rPr>
          <w:bCs/>
        </w:rPr>
      </w:pPr>
      <w:r w:rsidRPr="00762F09">
        <w:rPr>
          <w:b/>
          <w:bCs/>
        </w:rPr>
        <w:t xml:space="preserve">II.    Summary of </w:t>
      </w:r>
      <w:r w:rsidRPr="00762F09">
        <w:rPr>
          <w:b/>
        </w:rPr>
        <w:t xml:space="preserve">Program </w:t>
      </w:r>
      <w:r w:rsidRPr="00762F09">
        <w:rPr>
          <w:b/>
          <w:bCs/>
        </w:rPr>
        <w:t xml:space="preserve">Changes </w:t>
      </w:r>
      <w:r w:rsidRPr="00762F09">
        <w:rPr>
          <w:bCs/>
        </w:rPr>
        <w:tab/>
      </w:r>
      <w:r w:rsidR="000714C4">
        <w:rPr>
          <w:bCs/>
        </w:rPr>
        <w:t>10</w:t>
      </w:r>
    </w:p>
    <w:p w:rsidR="00C05920" w:rsidRDefault="00C05920" w:rsidP="006B1557">
      <w:pPr>
        <w:pStyle w:val="xl19"/>
        <w:tabs>
          <w:tab w:val="center" w:pos="360"/>
          <w:tab w:val="left" w:leader="dot" w:pos="8100"/>
          <w:tab w:val="right" w:pos="8640"/>
        </w:tabs>
        <w:spacing w:before="100" w:beforeAutospacing="1" w:after="100" w:afterAutospacing="1"/>
        <w:rPr>
          <w:bCs/>
        </w:rPr>
      </w:pPr>
      <w:r w:rsidRPr="00C05920">
        <w:rPr>
          <w:b/>
          <w:bCs/>
        </w:rPr>
        <w:t>III.</w:t>
      </w:r>
      <w:r>
        <w:rPr>
          <w:bCs/>
        </w:rPr>
        <w:t xml:space="preserve">   </w:t>
      </w:r>
      <w:r w:rsidR="006F5FDF">
        <w:rPr>
          <w:b/>
          <w:bCs/>
        </w:rPr>
        <w:t>Appropriations Language and Analysis of Appropriations Language</w:t>
      </w:r>
      <w:r w:rsidRPr="00762F09">
        <w:rPr>
          <w:b/>
          <w:bCs/>
        </w:rPr>
        <w:t xml:space="preserve"> </w:t>
      </w:r>
      <w:r w:rsidRPr="00762F09">
        <w:rPr>
          <w:bCs/>
        </w:rPr>
        <w:tab/>
      </w:r>
      <w:r w:rsidR="000714C4">
        <w:rPr>
          <w:bCs/>
        </w:rPr>
        <w:t>11</w:t>
      </w:r>
    </w:p>
    <w:p w:rsidR="00FA2AAB" w:rsidRPr="006B1557" w:rsidRDefault="00FA2AAB" w:rsidP="006B1557">
      <w:pPr>
        <w:pStyle w:val="xl19"/>
        <w:tabs>
          <w:tab w:val="left" w:leader="dot" w:pos="8100"/>
          <w:tab w:val="right" w:pos="8640"/>
        </w:tabs>
        <w:spacing w:before="100" w:beforeAutospacing="1" w:after="100" w:afterAutospacing="1"/>
      </w:pPr>
      <w:r w:rsidRPr="00762F09">
        <w:rPr>
          <w:b/>
          <w:bCs/>
        </w:rPr>
        <w:t>I</w:t>
      </w:r>
      <w:r w:rsidR="00C05920">
        <w:rPr>
          <w:b/>
          <w:bCs/>
        </w:rPr>
        <w:t>V</w:t>
      </w:r>
      <w:r w:rsidRPr="00762F09">
        <w:rPr>
          <w:b/>
          <w:bCs/>
        </w:rPr>
        <w:t>.</w:t>
      </w:r>
      <w:r>
        <w:rPr>
          <w:b/>
          <w:bCs/>
        </w:rPr>
        <w:t xml:space="preserve">   </w:t>
      </w:r>
      <w:r w:rsidR="006F5FDF">
        <w:rPr>
          <w:b/>
          <w:bCs/>
        </w:rPr>
        <w:t>Decision Unit Justification</w:t>
      </w:r>
      <w:r w:rsidR="006F5FDF">
        <w:rPr>
          <w:b/>
          <w:bCs/>
        </w:rPr>
        <w:tab/>
      </w:r>
      <w:r w:rsidR="0048323C">
        <w:rPr>
          <w:bCs/>
        </w:rPr>
        <w:t>1</w:t>
      </w:r>
      <w:r w:rsidR="000714C4">
        <w:rPr>
          <w:bCs/>
        </w:rPr>
        <w:t>4</w:t>
      </w:r>
    </w:p>
    <w:p w:rsidR="00FA2AAB" w:rsidRPr="00762F09" w:rsidRDefault="00FA2AAB" w:rsidP="005027FD">
      <w:pPr>
        <w:pStyle w:val="xl19"/>
        <w:tabs>
          <w:tab w:val="left" w:leader="dot" w:pos="7920"/>
          <w:tab w:val="right" w:pos="8640"/>
        </w:tabs>
        <w:spacing w:before="100" w:beforeAutospacing="1" w:after="100" w:afterAutospacing="1"/>
        <w:rPr>
          <w:bCs/>
        </w:rPr>
      </w:pPr>
      <w:r w:rsidRPr="00762F09">
        <w:rPr>
          <w:bCs/>
        </w:rPr>
        <w:t xml:space="preserve">     A.   Firearms </w:t>
      </w:r>
    </w:p>
    <w:p w:rsidR="00FA2AAB" w:rsidRPr="00762F09" w:rsidRDefault="00FA2AAB" w:rsidP="005027FD">
      <w:pPr>
        <w:pStyle w:val="xl19"/>
        <w:numPr>
          <w:ilvl w:val="0"/>
          <w:numId w:val="1"/>
        </w:numPr>
        <w:tabs>
          <w:tab w:val="left" w:leader="dot" w:pos="8010"/>
        </w:tabs>
        <w:spacing w:before="100" w:beforeAutospacing="1" w:after="100" w:afterAutospacing="1"/>
        <w:rPr>
          <w:bCs/>
        </w:rPr>
      </w:pPr>
      <w:r w:rsidRPr="00762F09">
        <w:rPr>
          <w:bCs/>
        </w:rPr>
        <w:t>Program Description</w:t>
      </w:r>
      <w:r w:rsidRPr="00762F09">
        <w:rPr>
          <w:bCs/>
        </w:rPr>
        <w:tab/>
        <w:t xml:space="preserve"> </w:t>
      </w:r>
      <w:r w:rsidR="00BE7BE1">
        <w:rPr>
          <w:bCs/>
        </w:rPr>
        <w:t>1</w:t>
      </w:r>
      <w:r w:rsidR="000714C4">
        <w:rPr>
          <w:bCs/>
        </w:rPr>
        <w:t>4</w:t>
      </w:r>
    </w:p>
    <w:p w:rsidR="00FA2AAB" w:rsidRPr="00762F09" w:rsidRDefault="00FA2AAB" w:rsidP="005027FD">
      <w:pPr>
        <w:pStyle w:val="xl19"/>
        <w:numPr>
          <w:ilvl w:val="0"/>
          <w:numId w:val="1"/>
        </w:numPr>
        <w:tabs>
          <w:tab w:val="left" w:leader="dot" w:pos="8010"/>
          <w:tab w:val="right" w:pos="8640"/>
        </w:tabs>
        <w:spacing w:before="100" w:beforeAutospacing="1" w:after="100" w:afterAutospacing="1"/>
        <w:rPr>
          <w:bCs/>
        </w:rPr>
      </w:pPr>
      <w:r w:rsidRPr="00762F09">
        <w:rPr>
          <w:bCs/>
        </w:rPr>
        <w:t>Performance Table</w:t>
      </w:r>
      <w:r w:rsidR="005501B3">
        <w:rPr>
          <w:bCs/>
        </w:rPr>
        <w:t xml:space="preserve"> – Firearms</w:t>
      </w:r>
      <w:r w:rsidRPr="00762F09">
        <w:rPr>
          <w:bCs/>
        </w:rPr>
        <w:tab/>
        <w:t xml:space="preserve"> </w:t>
      </w:r>
      <w:r w:rsidR="00BE7BE1">
        <w:rPr>
          <w:bCs/>
        </w:rPr>
        <w:t>2</w:t>
      </w:r>
      <w:r w:rsidR="000714C4">
        <w:rPr>
          <w:bCs/>
        </w:rPr>
        <w:t>9</w:t>
      </w:r>
    </w:p>
    <w:p w:rsidR="00FA2AAB" w:rsidRDefault="00FA2AAB" w:rsidP="005027FD">
      <w:pPr>
        <w:pStyle w:val="xl19"/>
        <w:numPr>
          <w:ilvl w:val="0"/>
          <w:numId w:val="1"/>
        </w:numPr>
        <w:tabs>
          <w:tab w:val="left" w:leader="dot" w:pos="8010"/>
          <w:tab w:val="right" w:pos="8640"/>
        </w:tabs>
        <w:spacing w:before="100" w:beforeAutospacing="1" w:after="100" w:afterAutospacing="1"/>
        <w:rPr>
          <w:bCs/>
        </w:rPr>
      </w:pPr>
      <w:r w:rsidRPr="00762F09">
        <w:rPr>
          <w:bCs/>
        </w:rPr>
        <w:t>Performance, Resources, and Strategies</w:t>
      </w:r>
      <w:r w:rsidR="005501B3">
        <w:rPr>
          <w:bCs/>
        </w:rPr>
        <w:t xml:space="preserve"> (Firearms)</w:t>
      </w:r>
      <w:r w:rsidRPr="00762F09">
        <w:rPr>
          <w:bCs/>
        </w:rPr>
        <w:tab/>
        <w:t xml:space="preserve"> </w:t>
      </w:r>
      <w:r w:rsidR="000714C4">
        <w:rPr>
          <w:bCs/>
        </w:rPr>
        <w:t>31</w:t>
      </w:r>
    </w:p>
    <w:p w:rsidR="00FA2AAB" w:rsidRPr="00762F09" w:rsidRDefault="00FA2AAB" w:rsidP="005027FD">
      <w:pPr>
        <w:pStyle w:val="xl19"/>
        <w:tabs>
          <w:tab w:val="center" w:pos="360"/>
          <w:tab w:val="left" w:leader="dot" w:pos="7920"/>
          <w:tab w:val="left" w:pos="8280"/>
          <w:tab w:val="right" w:pos="8640"/>
        </w:tabs>
        <w:spacing w:before="100" w:beforeAutospacing="1" w:after="100" w:afterAutospacing="1"/>
        <w:rPr>
          <w:bCs/>
        </w:rPr>
      </w:pPr>
      <w:r w:rsidRPr="00762F09">
        <w:rPr>
          <w:bCs/>
        </w:rPr>
        <w:t xml:space="preserve">     B.   Arson and Explosives</w:t>
      </w:r>
    </w:p>
    <w:p w:rsidR="00FA2AAB" w:rsidRPr="00762F09" w:rsidRDefault="00FA2AAB" w:rsidP="005027FD">
      <w:pPr>
        <w:pStyle w:val="xl19"/>
        <w:numPr>
          <w:ilvl w:val="0"/>
          <w:numId w:val="2"/>
        </w:numPr>
        <w:tabs>
          <w:tab w:val="left" w:leader="dot" w:pos="7920"/>
          <w:tab w:val="right" w:pos="8640"/>
        </w:tabs>
        <w:spacing w:before="100" w:beforeAutospacing="1" w:after="100" w:afterAutospacing="1"/>
        <w:rPr>
          <w:bCs/>
        </w:rPr>
      </w:pPr>
      <w:r w:rsidRPr="00762F09">
        <w:rPr>
          <w:bCs/>
        </w:rPr>
        <w:t>Program Description</w:t>
      </w:r>
      <w:r w:rsidRPr="00762F09">
        <w:rPr>
          <w:bCs/>
        </w:rPr>
        <w:tab/>
        <w:t xml:space="preserve">   </w:t>
      </w:r>
      <w:r w:rsidR="00081B48">
        <w:rPr>
          <w:bCs/>
        </w:rPr>
        <w:t>3</w:t>
      </w:r>
      <w:r w:rsidR="005501B3">
        <w:rPr>
          <w:bCs/>
        </w:rPr>
        <w:t>6</w:t>
      </w:r>
    </w:p>
    <w:p w:rsidR="00FA2AAB" w:rsidRPr="00762F09" w:rsidRDefault="00FA2AAB" w:rsidP="005027FD">
      <w:pPr>
        <w:pStyle w:val="xl19"/>
        <w:numPr>
          <w:ilvl w:val="0"/>
          <w:numId w:val="2"/>
        </w:numPr>
        <w:tabs>
          <w:tab w:val="left" w:leader="dot" w:pos="7920"/>
          <w:tab w:val="right" w:pos="8640"/>
        </w:tabs>
        <w:spacing w:before="100" w:beforeAutospacing="1" w:after="100" w:afterAutospacing="1"/>
        <w:rPr>
          <w:bCs/>
        </w:rPr>
      </w:pPr>
      <w:r w:rsidRPr="00762F09">
        <w:rPr>
          <w:bCs/>
        </w:rPr>
        <w:t>Performance Table</w:t>
      </w:r>
      <w:r w:rsidR="005501B3">
        <w:rPr>
          <w:bCs/>
        </w:rPr>
        <w:t xml:space="preserve"> – Arson and Explosives</w:t>
      </w:r>
      <w:r w:rsidRPr="00762F09">
        <w:rPr>
          <w:bCs/>
        </w:rPr>
        <w:tab/>
        <w:t xml:space="preserve">   </w:t>
      </w:r>
      <w:r w:rsidR="00BE7BE1">
        <w:rPr>
          <w:bCs/>
        </w:rPr>
        <w:t>4</w:t>
      </w:r>
      <w:r w:rsidR="005501B3">
        <w:rPr>
          <w:bCs/>
        </w:rPr>
        <w:t>9</w:t>
      </w:r>
    </w:p>
    <w:p w:rsidR="00FA2AAB" w:rsidRPr="00762F09" w:rsidRDefault="00FA2AAB" w:rsidP="005027FD">
      <w:pPr>
        <w:pStyle w:val="xl19"/>
        <w:numPr>
          <w:ilvl w:val="0"/>
          <w:numId w:val="2"/>
        </w:numPr>
        <w:tabs>
          <w:tab w:val="left" w:leader="dot" w:pos="7920"/>
          <w:tab w:val="right" w:pos="8640"/>
        </w:tabs>
        <w:spacing w:before="100" w:beforeAutospacing="1" w:after="100" w:afterAutospacing="1"/>
        <w:rPr>
          <w:bCs/>
        </w:rPr>
      </w:pPr>
      <w:r w:rsidRPr="00762F09">
        <w:rPr>
          <w:bCs/>
        </w:rPr>
        <w:t>Performance, Resources, and Strategies</w:t>
      </w:r>
      <w:r w:rsidR="005501B3">
        <w:rPr>
          <w:bCs/>
        </w:rPr>
        <w:t xml:space="preserve"> (Arson and Explosives)</w:t>
      </w:r>
      <w:r w:rsidRPr="00762F09">
        <w:rPr>
          <w:bCs/>
        </w:rPr>
        <w:tab/>
        <w:t xml:space="preserve">   </w:t>
      </w:r>
      <w:r w:rsidR="005501B3">
        <w:rPr>
          <w:bCs/>
        </w:rPr>
        <w:t>51</w:t>
      </w:r>
    </w:p>
    <w:p w:rsidR="00FA2AAB" w:rsidRPr="00762F09" w:rsidRDefault="00FA2AAB" w:rsidP="005027FD">
      <w:pPr>
        <w:pStyle w:val="xl19"/>
        <w:tabs>
          <w:tab w:val="left" w:leader="dot" w:pos="7920"/>
          <w:tab w:val="right" w:pos="8640"/>
        </w:tabs>
        <w:spacing w:before="100" w:beforeAutospacing="1" w:after="100" w:afterAutospacing="1"/>
      </w:pPr>
      <w:r w:rsidRPr="00762F09">
        <w:t xml:space="preserve">     C.   Alcohol and Tobacco </w:t>
      </w:r>
    </w:p>
    <w:p w:rsidR="00FA2AAB" w:rsidRPr="00762F09" w:rsidRDefault="00FA2AAB" w:rsidP="005027FD">
      <w:pPr>
        <w:numPr>
          <w:ilvl w:val="0"/>
          <w:numId w:val="3"/>
        </w:numPr>
        <w:tabs>
          <w:tab w:val="left" w:leader="dot" w:pos="7920"/>
          <w:tab w:val="right" w:pos="8640"/>
        </w:tabs>
        <w:spacing w:before="100" w:beforeAutospacing="1" w:after="100" w:afterAutospacing="1"/>
        <w:rPr>
          <w:bCs/>
        </w:rPr>
      </w:pPr>
      <w:r w:rsidRPr="00762F09">
        <w:rPr>
          <w:bCs/>
        </w:rPr>
        <w:t>Program Description</w:t>
      </w:r>
      <w:r w:rsidRPr="00762F09">
        <w:rPr>
          <w:bCs/>
        </w:rPr>
        <w:tab/>
        <w:t xml:space="preserve">   </w:t>
      </w:r>
      <w:r w:rsidR="005501B3">
        <w:rPr>
          <w:bCs/>
        </w:rPr>
        <w:t>53</w:t>
      </w:r>
    </w:p>
    <w:p w:rsidR="00FA2AAB" w:rsidRPr="00762F09" w:rsidRDefault="00FA2AAB" w:rsidP="005027FD">
      <w:pPr>
        <w:numPr>
          <w:ilvl w:val="0"/>
          <w:numId w:val="3"/>
        </w:numPr>
        <w:tabs>
          <w:tab w:val="left" w:leader="dot" w:pos="7920"/>
          <w:tab w:val="right" w:pos="8640"/>
        </w:tabs>
        <w:spacing w:before="100" w:beforeAutospacing="1" w:after="100" w:afterAutospacing="1"/>
        <w:rPr>
          <w:bCs/>
        </w:rPr>
      </w:pPr>
      <w:r w:rsidRPr="00762F09">
        <w:rPr>
          <w:bCs/>
        </w:rPr>
        <w:t>Performance Table</w:t>
      </w:r>
      <w:r w:rsidR="005501B3">
        <w:rPr>
          <w:bCs/>
        </w:rPr>
        <w:t xml:space="preserve"> – Alcohol and Tobacco</w:t>
      </w:r>
      <w:r w:rsidRPr="00762F09">
        <w:rPr>
          <w:bCs/>
        </w:rPr>
        <w:tab/>
        <w:t xml:space="preserve">   </w:t>
      </w:r>
      <w:r w:rsidR="005501B3">
        <w:rPr>
          <w:bCs/>
        </w:rPr>
        <w:t>59</w:t>
      </w:r>
    </w:p>
    <w:p w:rsidR="00FA2AAB" w:rsidRDefault="00FA2AAB" w:rsidP="005027FD">
      <w:pPr>
        <w:numPr>
          <w:ilvl w:val="0"/>
          <w:numId w:val="3"/>
        </w:numPr>
        <w:tabs>
          <w:tab w:val="left" w:leader="dot" w:pos="7920"/>
          <w:tab w:val="right" w:pos="8640"/>
        </w:tabs>
        <w:spacing w:before="100" w:beforeAutospacing="1" w:after="100" w:afterAutospacing="1"/>
      </w:pPr>
      <w:r w:rsidRPr="00762F09">
        <w:t>Performance, Resources, and Strategies</w:t>
      </w:r>
      <w:r w:rsidR="005501B3">
        <w:t xml:space="preserve"> (Alcohol and Tobacco</w:t>
      </w:r>
      <w:r w:rsidR="00AC75A3">
        <w:t>)</w:t>
      </w:r>
      <w:r w:rsidRPr="00762F09">
        <w:tab/>
        <w:t xml:space="preserve">   </w:t>
      </w:r>
      <w:r w:rsidR="005501B3">
        <w:t>60</w:t>
      </w:r>
    </w:p>
    <w:p w:rsidR="00781D49" w:rsidRDefault="00781D49" w:rsidP="00781D49">
      <w:pPr>
        <w:tabs>
          <w:tab w:val="left" w:leader="dot" w:pos="7920"/>
          <w:tab w:val="right" w:pos="8640"/>
        </w:tabs>
        <w:spacing w:before="100" w:beforeAutospacing="1" w:after="100" w:afterAutospacing="1"/>
        <w:rPr>
          <w:b/>
        </w:rPr>
      </w:pPr>
      <w:r w:rsidRPr="00781D49">
        <w:rPr>
          <w:b/>
        </w:rPr>
        <w:t>V.</w:t>
      </w:r>
      <w:r>
        <w:t xml:space="preserve">  </w:t>
      </w:r>
      <w:r w:rsidRPr="00781D49">
        <w:rPr>
          <w:b/>
        </w:rPr>
        <w:t>Program Offsets by Item</w:t>
      </w:r>
    </w:p>
    <w:p w:rsidR="00781D49" w:rsidRDefault="00AC75A3" w:rsidP="00AC75A3">
      <w:pPr>
        <w:pStyle w:val="ListParagraph"/>
        <w:numPr>
          <w:ilvl w:val="1"/>
          <w:numId w:val="2"/>
        </w:numPr>
        <w:tabs>
          <w:tab w:val="left" w:leader="dot" w:pos="7920"/>
          <w:tab w:val="right" w:pos="8640"/>
        </w:tabs>
        <w:spacing w:before="100" w:beforeAutospacing="1" w:after="100" w:afterAutospacing="1"/>
      </w:pPr>
      <w:r>
        <w:t>Information Technology (IT Savings)</w:t>
      </w:r>
    </w:p>
    <w:p w:rsidR="00AC75A3" w:rsidRPr="00753A86" w:rsidRDefault="00753A86" w:rsidP="00AC75A3">
      <w:pPr>
        <w:pStyle w:val="ListParagraph"/>
        <w:numPr>
          <w:ilvl w:val="1"/>
          <w:numId w:val="2"/>
        </w:numPr>
        <w:tabs>
          <w:tab w:val="left" w:leader="dot" w:pos="7920"/>
          <w:tab w:val="right" w:pos="8640"/>
        </w:tabs>
        <w:spacing w:before="100" w:beforeAutospacing="1" w:after="100" w:afterAutospacing="1"/>
      </w:pPr>
      <w:r w:rsidRPr="00753A86">
        <w:rPr>
          <w:bCs/>
        </w:rPr>
        <w:t>Staffing, Administrative and Programmatic Efficiencies</w:t>
      </w:r>
    </w:p>
    <w:p w:rsidR="00686324" w:rsidRDefault="00686324" w:rsidP="00686324">
      <w:pPr>
        <w:tabs>
          <w:tab w:val="left" w:leader="dot" w:pos="7920"/>
          <w:tab w:val="right" w:pos="8640"/>
        </w:tabs>
        <w:spacing w:before="100" w:beforeAutospacing="1" w:after="100" w:afterAutospacing="1"/>
        <w:rPr>
          <w:b/>
        </w:rPr>
      </w:pPr>
      <w:r w:rsidRPr="00686324">
        <w:rPr>
          <w:b/>
        </w:rPr>
        <w:t xml:space="preserve">VI.  </w:t>
      </w:r>
      <w:r>
        <w:rPr>
          <w:b/>
        </w:rPr>
        <w:t xml:space="preserve"> </w:t>
      </w:r>
      <w:r w:rsidRPr="00686324">
        <w:rPr>
          <w:b/>
        </w:rPr>
        <w:t>Exhibits</w:t>
      </w:r>
    </w:p>
    <w:p w:rsidR="00686324" w:rsidRPr="00A57396" w:rsidRDefault="00686324"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t>Organizational Chart</w:t>
      </w:r>
      <w:r w:rsidR="00A57396">
        <w:t xml:space="preserve">  </w:t>
      </w:r>
    </w:p>
    <w:p w:rsidR="00686324" w:rsidRDefault="00686324"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t>Summary of Requirements</w:t>
      </w:r>
    </w:p>
    <w:p w:rsidR="00686324" w:rsidRDefault="00686324"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t>Program Increases/Offsets by Decision Unit</w:t>
      </w:r>
    </w:p>
    <w:p w:rsidR="00686324" w:rsidRDefault="00686324"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t>Resources by DOJ Strategic Goal and Strategic Objective</w:t>
      </w:r>
    </w:p>
    <w:p w:rsidR="00686324" w:rsidRDefault="00686324"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t>Justification for Base Adjustments</w:t>
      </w:r>
    </w:p>
    <w:p w:rsidR="00686324" w:rsidRDefault="00686324"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t>Crosswalk of 2011 Availability</w:t>
      </w:r>
    </w:p>
    <w:p w:rsidR="00686324" w:rsidRDefault="00686324"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t>Crosswalk of 2012 Availability</w:t>
      </w:r>
    </w:p>
    <w:p w:rsidR="00686324" w:rsidRDefault="00686324"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t>Summary of Reimbursable Resources</w:t>
      </w:r>
    </w:p>
    <w:p w:rsidR="00686324" w:rsidRDefault="00686324"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t>Detail of Permanent Positions by Category</w:t>
      </w:r>
    </w:p>
    <w:p w:rsidR="00686324" w:rsidRDefault="00686324"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lastRenderedPageBreak/>
        <w:t>Financial Analysis of Program Changes</w:t>
      </w:r>
    </w:p>
    <w:p w:rsidR="00686324" w:rsidRDefault="00686324"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t>Summary of Requirements by Grade</w:t>
      </w:r>
    </w:p>
    <w:p w:rsidR="00686324" w:rsidRDefault="00686324"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t>Sum</w:t>
      </w:r>
      <w:r w:rsidR="00F34B82">
        <w:t>mary of Requirements by Object C</w:t>
      </w:r>
      <w:r>
        <w:t>lass</w:t>
      </w:r>
    </w:p>
    <w:p w:rsidR="00686324" w:rsidRPr="00686324" w:rsidRDefault="00F34B82" w:rsidP="00A14D37">
      <w:pPr>
        <w:pStyle w:val="ListParagraph"/>
        <w:numPr>
          <w:ilvl w:val="0"/>
          <w:numId w:val="75"/>
        </w:numPr>
        <w:tabs>
          <w:tab w:val="left" w:pos="630"/>
          <w:tab w:val="left" w:leader="dot" w:pos="7920"/>
          <w:tab w:val="right" w:pos="8640"/>
        </w:tabs>
        <w:spacing w:before="100" w:beforeAutospacing="1" w:after="100" w:afterAutospacing="1"/>
        <w:ind w:left="720" w:hanging="450"/>
      </w:pPr>
      <w:r>
        <w:t>Status of C</w:t>
      </w:r>
      <w:r w:rsidR="00686324">
        <w:t>ongressionally Requested Studies, Reports, and Evaluations</w:t>
      </w:r>
    </w:p>
    <w:p w:rsidR="00781D49" w:rsidRPr="00781D49" w:rsidRDefault="00781D49" w:rsidP="00781D49">
      <w:pPr>
        <w:tabs>
          <w:tab w:val="left" w:leader="dot" w:pos="7920"/>
          <w:tab w:val="right" w:pos="8640"/>
        </w:tabs>
        <w:spacing w:before="100" w:beforeAutospacing="1" w:after="100" w:afterAutospacing="1"/>
        <w:rPr>
          <w:b/>
        </w:rPr>
      </w:pPr>
      <w:r>
        <w:t xml:space="preserve"> </w:t>
      </w:r>
    </w:p>
    <w:p w:rsidR="00781D49" w:rsidRPr="00781D49" w:rsidRDefault="00781D49" w:rsidP="00781D49">
      <w:pPr>
        <w:tabs>
          <w:tab w:val="left" w:leader="dot" w:pos="7920"/>
          <w:tab w:val="right" w:pos="8640"/>
        </w:tabs>
        <w:spacing w:before="100" w:beforeAutospacing="1" w:after="100" w:afterAutospacing="1"/>
        <w:ind w:left="270"/>
      </w:pPr>
    </w:p>
    <w:p w:rsidR="00781D49" w:rsidRPr="00781D49" w:rsidRDefault="00781D49" w:rsidP="00781D49">
      <w:pPr>
        <w:tabs>
          <w:tab w:val="left" w:leader="dot" w:pos="7920"/>
          <w:tab w:val="right" w:pos="8640"/>
        </w:tabs>
        <w:spacing w:before="100" w:beforeAutospacing="1" w:after="100" w:afterAutospacing="1"/>
        <w:ind w:left="270"/>
        <w:rPr>
          <w:b/>
        </w:rPr>
      </w:pPr>
    </w:p>
    <w:p w:rsidR="00781D49" w:rsidRDefault="00781D49" w:rsidP="00781D49">
      <w:pPr>
        <w:tabs>
          <w:tab w:val="left" w:leader="dot" w:pos="7920"/>
          <w:tab w:val="right" w:pos="8640"/>
        </w:tabs>
        <w:spacing w:before="100" w:beforeAutospacing="1" w:after="100" w:afterAutospacing="1"/>
        <w:ind w:left="720"/>
      </w:pPr>
    </w:p>
    <w:p w:rsidR="00F86262" w:rsidRDefault="00F86262">
      <w:pPr>
        <w:pStyle w:val="xl19"/>
        <w:tabs>
          <w:tab w:val="left" w:leader="dot" w:pos="8100"/>
          <w:tab w:val="right" w:pos="8640"/>
        </w:tabs>
        <w:spacing w:before="100" w:beforeAutospacing="1" w:after="100" w:afterAutospacing="1"/>
      </w:pPr>
    </w:p>
    <w:p w:rsidR="008216C3" w:rsidRDefault="008216C3">
      <w:pPr>
        <w:tabs>
          <w:tab w:val="left" w:leader="dot" w:pos="7920"/>
          <w:tab w:val="right" w:pos="8640"/>
        </w:tabs>
        <w:spacing w:before="100" w:beforeAutospacing="1" w:after="100" w:afterAutospacing="1"/>
        <w:rPr>
          <w:bCs/>
        </w:rPr>
      </w:pPr>
    </w:p>
    <w:p w:rsidR="00AA0056" w:rsidRPr="00762F09" w:rsidRDefault="00AA0056" w:rsidP="003927C0">
      <w:pPr>
        <w:tabs>
          <w:tab w:val="left" w:leader="dot" w:pos="7920"/>
          <w:tab w:val="right" w:pos="8640"/>
        </w:tabs>
        <w:spacing w:before="100" w:beforeAutospacing="1" w:after="100" w:afterAutospacing="1"/>
        <w:ind w:left="360"/>
        <w:rPr>
          <w:bCs/>
        </w:rPr>
      </w:pPr>
    </w:p>
    <w:p w:rsidR="00FA2AAB" w:rsidRPr="007B4320" w:rsidRDefault="00FA2AAB" w:rsidP="007B4320">
      <w:pPr>
        <w:tabs>
          <w:tab w:val="left" w:leader="dot" w:pos="7920"/>
          <w:tab w:val="right" w:pos="8640"/>
        </w:tabs>
        <w:spacing w:before="100" w:beforeAutospacing="1" w:after="100" w:afterAutospacing="1"/>
        <w:ind w:left="720"/>
        <w:rPr>
          <w:bCs/>
        </w:rPr>
      </w:pPr>
    </w:p>
    <w:p w:rsidR="00FA2AAB" w:rsidRPr="00762F09" w:rsidRDefault="00FA2AAB" w:rsidP="005027FD">
      <w:pPr>
        <w:tabs>
          <w:tab w:val="left" w:pos="900"/>
          <w:tab w:val="left" w:leader="dot" w:pos="7920"/>
          <w:tab w:val="right" w:pos="8640"/>
        </w:tabs>
        <w:spacing w:before="100" w:beforeAutospacing="1" w:after="100" w:afterAutospacing="1"/>
        <w:ind w:left="360"/>
        <w:rPr>
          <w:bCs/>
        </w:rPr>
      </w:pPr>
      <w:r w:rsidRPr="00762F09">
        <w:rPr>
          <w:bCs/>
        </w:rPr>
        <w:t xml:space="preserve">      </w:t>
      </w:r>
      <w:r w:rsidRPr="00762F09">
        <w:rPr>
          <w:bCs/>
        </w:rPr>
        <w:tab/>
        <w:t xml:space="preserve">        </w:t>
      </w:r>
    </w:p>
    <w:p w:rsidR="00FA2AAB" w:rsidRPr="00762F09" w:rsidRDefault="00FA2AAB" w:rsidP="005027FD">
      <w:pPr>
        <w:tabs>
          <w:tab w:val="left" w:pos="900"/>
          <w:tab w:val="left" w:leader="dot" w:pos="7920"/>
          <w:tab w:val="right" w:pos="8640"/>
        </w:tabs>
        <w:spacing w:before="100" w:beforeAutospacing="1" w:after="100" w:afterAutospacing="1"/>
        <w:rPr>
          <w:bCs/>
        </w:rPr>
        <w:sectPr w:rsidR="00FA2AAB" w:rsidRPr="00762F09" w:rsidSect="005027FD">
          <w:headerReference w:type="even" r:id="rId9"/>
          <w:headerReference w:type="default" r:id="rId10"/>
          <w:footerReference w:type="even" r:id="rId11"/>
          <w:footerReference w:type="default" r:id="rId12"/>
          <w:footnotePr>
            <w:numStart w:val="8"/>
          </w:footnotePr>
          <w:pgSz w:w="12240" w:h="15840" w:code="1"/>
          <w:pgMar w:top="1440" w:right="1440" w:bottom="1440" w:left="1440" w:header="720" w:footer="720" w:gutter="0"/>
          <w:pgNumType w:start="1"/>
          <w:cols w:space="720"/>
          <w:noEndnote/>
          <w:docGrid w:linePitch="272"/>
        </w:sectPr>
      </w:pPr>
    </w:p>
    <w:p w:rsidR="00FA2AAB" w:rsidRPr="00762F09" w:rsidRDefault="00FA2AAB" w:rsidP="005027FD">
      <w:pPr>
        <w:tabs>
          <w:tab w:val="left" w:pos="900"/>
          <w:tab w:val="left" w:leader="dot" w:pos="7920"/>
          <w:tab w:val="right" w:pos="8640"/>
        </w:tabs>
        <w:spacing w:before="100" w:beforeAutospacing="1" w:after="100" w:afterAutospacing="1"/>
        <w:rPr>
          <w:bCs/>
        </w:rPr>
      </w:pPr>
      <w:r w:rsidRPr="00762F09">
        <w:rPr>
          <w:b/>
          <w:bCs/>
        </w:rPr>
        <w:lastRenderedPageBreak/>
        <w:t xml:space="preserve">I.  Overview for the Bureau of Alcohol, Tobacco, Firearms and Explosives </w:t>
      </w:r>
    </w:p>
    <w:p w:rsidR="00FA2AAB" w:rsidRDefault="0069335F" w:rsidP="005027FD">
      <w:pPr>
        <w:pStyle w:val="Heading8"/>
        <w:tabs>
          <w:tab w:val="left" w:pos="540"/>
        </w:tabs>
        <w:spacing w:before="100" w:beforeAutospacing="1" w:after="100" w:afterAutospacing="1"/>
        <w:rPr>
          <w:bCs/>
          <w:szCs w:val="24"/>
        </w:rPr>
      </w:pPr>
      <w:r>
        <w:rPr>
          <w:bCs/>
          <w:szCs w:val="24"/>
        </w:rPr>
        <w:t xml:space="preserve">A.  </w:t>
      </w:r>
      <w:r w:rsidR="00FA2AAB" w:rsidRPr="00762F09">
        <w:rPr>
          <w:bCs/>
          <w:szCs w:val="24"/>
        </w:rPr>
        <w:t>Summary of Budget Request</w:t>
      </w:r>
      <w:r w:rsidR="00FA2AAB">
        <w:rPr>
          <w:bCs/>
          <w:szCs w:val="24"/>
        </w:rPr>
        <w:t xml:space="preserve"> </w:t>
      </w:r>
    </w:p>
    <w:p w:rsidR="00126F07" w:rsidRDefault="00B376C4" w:rsidP="00E05510">
      <w:pPr>
        <w:pStyle w:val="Heading8"/>
        <w:tabs>
          <w:tab w:val="left" w:pos="540"/>
        </w:tabs>
        <w:spacing w:before="100" w:beforeAutospacing="1" w:after="100" w:afterAutospacing="1"/>
      </w:pPr>
      <w:r>
        <w:rPr>
          <w:b w:val="0"/>
        </w:rPr>
        <w:t xml:space="preserve">The Bureau of Alcohol, Tobacco, Firearms and Explosives (ATF) </w:t>
      </w:r>
      <w:r w:rsidR="00FA2AAB" w:rsidRPr="009F6734">
        <w:rPr>
          <w:b w:val="0"/>
        </w:rPr>
        <w:t xml:space="preserve">requests </w:t>
      </w:r>
      <w:r w:rsidR="009F4E80" w:rsidRPr="00E05510">
        <w:rPr>
          <w:b w:val="0"/>
        </w:rPr>
        <w:t>$</w:t>
      </w:r>
      <w:r w:rsidR="008E5BF4">
        <w:rPr>
          <w:b w:val="0"/>
        </w:rPr>
        <w:t>1,153,345</w:t>
      </w:r>
      <w:r w:rsidR="00CF0F3A" w:rsidRPr="00E05510">
        <w:rPr>
          <w:b w:val="0"/>
        </w:rPr>
        <w:t xml:space="preserve">,000 </w:t>
      </w:r>
      <w:r w:rsidR="009F4E80" w:rsidRPr="00E05510">
        <w:rPr>
          <w:b w:val="0"/>
        </w:rPr>
        <w:t xml:space="preserve">for FY 2013, including </w:t>
      </w:r>
      <w:r w:rsidR="00E05510">
        <w:rPr>
          <w:b w:val="0"/>
        </w:rPr>
        <w:t>4</w:t>
      </w:r>
      <w:r w:rsidR="009F4E80" w:rsidRPr="00E05510">
        <w:rPr>
          <w:b w:val="0"/>
        </w:rPr>
        <w:t>,</w:t>
      </w:r>
      <w:r w:rsidR="00E05510">
        <w:rPr>
          <w:b w:val="0"/>
        </w:rPr>
        <w:t>937</w:t>
      </w:r>
      <w:r w:rsidR="009F4E80" w:rsidRPr="00E05510">
        <w:rPr>
          <w:b w:val="0"/>
        </w:rPr>
        <w:t xml:space="preserve"> positions and </w:t>
      </w:r>
      <w:r w:rsidR="00E05510" w:rsidRPr="00E05510">
        <w:rPr>
          <w:b w:val="0"/>
        </w:rPr>
        <w:t>4</w:t>
      </w:r>
      <w:r w:rsidR="009F4E80" w:rsidRPr="00E05510">
        <w:rPr>
          <w:b w:val="0"/>
        </w:rPr>
        <w:t>,</w:t>
      </w:r>
      <w:r w:rsidR="00E05510">
        <w:rPr>
          <w:b w:val="0"/>
        </w:rPr>
        <w:t>861</w:t>
      </w:r>
      <w:r w:rsidR="009F4E80" w:rsidRPr="00E05510">
        <w:rPr>
          <w:b w:val="0"/>
        </w:rPr>
        <w:t xml:space="preserve"> full</w:t>
      </w:r>
      <w:r w:rsidR="00FA2AAB" w:rsidRPr="00E05510">
        <w:rPr>
          <w:b w:val="0"/>
        </w:rPr>
        <w:t xml:space="preserve"> </w:t>
      </w:r>
      <w:r w:rsidR="009F4E80" w:rsidRPr="00E05510">
        <w:rPr>
          <w:b w:val="0"/>
        </w:rPr>
        <w:t>time equivalents (FTE).  This request includes $28,</w:t>
      </w:r>
      <w:r w:rsidR="008E5BF4">
        <w:rPr>
          <w:b w:val="0"/>
        </w:rPr>
        <w:t>239</w:t>
      </w:r>
      <w:r w:rsidR="009F4E80" w:rsidRPr="00E05510">
        <w:rPr>
          <w:b w:val="0"/>
        </w:rPr>
        <w:t>,000 in adjustments</w:t>
      </w:r>
      <w:r w:rsidR="00E05510" w:rsidRPr="00E05510">
        <w:rPr>
          <w:b w:val="0"/>
        </w:rPr>
        <w:t>-</w:t>
      </w:r>
      <w:r w:rsidR="009F4E80" w:rsidRPr="00E05510">
        <w:rPr>
          <w:b w:val="0"/>
        </w:rPr>
        <w:t>to</w:t>
      </w:r>
      <w:r w:rsidR="00E05510" w:rsidRPr="00E05510">
        <w:rPr>
          <w:b w:val="0"/>
        </w:rPr>
        <w:t>-</w:t>
      </w:r>
      <w:r w:rsidR="009F4E80" w:rsidRPr="00E05510">
        <w:rPr>
          <w:b w:val="0"/>
        </w:rPr>
        <w:t>base, and program offsets of $</w:t>
      </w:r>
      <w:r w:rsidR="00CF0F3A" w:rsidRPr="00E05510">
        <w:rPr>
          <w:b w:val="0"/>
        </w:rPr>
        <w:t>26,894,000</w:t>
      </w:r>
      <w:r w:rsidR="009F4E80" w:rsidRPr="00E05510">
        <w:rPr>
          <w:b w:val="0"/>
        </w:rPr>
        <w:t>.</w:t>
      </w:r>
      <w:r w:rsidR="007C3DAD" w:rsidRPr="00E05510">
        <w:rPr>
          <w:b w:val="0"/>
        </w:rPr>
        <w:t xml:space="preserve"> </w:t>
      </w:r>
      <w:r w:rsidR="006E79E2" w:rsidRPr="00E05510">
        <w:rPr>
          <w:b w:val="0"/>
        </w:rPr>
        <w:t xml:space="preserve"> </w:t>
      </w:r>
      <w:r w:rsidR="00987591" w:rsidRPr="00391AC8">
        <w:rPr>
          <w:b w:val="0"/>
        </w:rPr>
        <w:t>The FY 2013 request also proposes a rescission of $12,400,000 in expired balances and $1,028,000 in unobligated Violent Crime Reduction Program balances.</w:t>
      </w:r>
      <w:r w:rsidR="00987591">
        <w:rPr>
          <w:b w:val="0"/>
        </w:rPr>
        <w:t xml:space="preserve">  </w:t>
      </w:r>
      <w:r w:rsidR="00FA2AAB" w:rsidRPr="00E05510">
        <w:rPr>
          <w:b w:val="0"/>
        </w:rPr>
        <w:t>The</w:t>
      </w:r>
      <w:r w:rsidR="00FA2AAB" w:rsidRPr="009F6734">
        <w:rPr>
          <w:b w:val="0"/>
        </w:rPr>
        <w:t xml:space="preserve"> FY </w:t>
      </w:r>
      <w:r w:rsidRPr="009F6734">
        <w:rPr>
          <w:b w:val="0"/>
        </w:rPr>
        <w:t>201</w:t>
      </w:r>
      <w:r w:rsidR="00F810E2">
        <w:rPr>
          <w:b w:val="0"/>
        </w:rPr>
        <w:t>3</w:t>
      </w:r>
      <w:r w:rsidRPr="009F6734">
        <w:rPr>
          <w:b w:val="0"/>
        </w:rPr>
        <w:t xml:space="preserve"> </w:t>
      </w:r>
      <w:r w:rsidR="00FA2AAB" w:rsidRPr="009F6734">
        <w:rPr>
          <w:b w:val="0"/>
        </w:rPr>
        <w:t xml:space="preserve">request supports ATF and Department of Justice </w:t>
      </w:r>
      <w:r w:rsidR="00240FEA">
        <w:rPr>
          <w:b w:val="0"/>
        </w:rPr>
        <w:t xml:space="preserve">(DOJ) </w:t>
      </w:r>
      <w:r w:rsidR="00FA2AAB" w:rsidRPr="009F6734">
        <w:rPr>
          <w:b w:val="0"/>
        </w:rPr>
        <w:t xml:space="preserve">priorities </w:t>
      </w:r>
      <w:r>
        <w:rPr>
          <w:b w:val="0"/>
        </w:rPr>
        <w:t>for</w:t>
      </w:r>
      <w:r w:rsidRPr="009F6734">
        <w:rPr>
          <w:b w:val="0"/>
        </w:rPr>
        <w:t xml:space="preserve"> reduc</w:t>
      </w:r>
      <w:r>
        <w:rPr>
          <w:b w:val="0"/>
        </w:rPr>
        <w:t>ing</w:t>
      </w:r>
      <w:r w:rsidRPr="009F6734">
        <w:rPr>
          <w:b w:val="0"/>
        </w:rPr>
        <w:t xml:space="preserve"> </w:t>
      </w:r>
      <w:r w:rsidR="00FA2AAB" w:rsidRPr="009F6734">
        <w:rPr>
          <w:b w:val="0"/>
        </w:rPr>
        <w:t>violent crime</w:t>
      </w:r>
      <w:r w:rsidR="00FA2AAB">
        <w:rPr>
          <w:b w:val="0"/>
        </w:rPr>
        <w:t>,</w:t>
      </w:r>
      <w:r w:rsidR="00FA2AAB" w:rsidRPr="009F6734">
        <w:rPr>
          <w:b w:val="0"/>
        </w:rPr>
        <w:t xml:space="preserve"> detect</w:t>
      </w:r>
      <w:r>
        <w:rPr>
          <w:b w:val="0"/>
        </w:rPr>
        <w:t>ing</w:t>
      </w:r>
      <w:r w:rsidR="00FA2AAB" w:rsidRPr="009F6734">
        <w:rPr>
          <w:b w:val="0"/>
        </w:rPr>
        <w:t xml:space="preserve"> and prevent</w:t>
      </w:r>
      <w:r>
        <w:rPr>
          <w:b w:val="0"/>
        </w:rPr>
        <w:t>ing</w:t>
      </w:r>
      <w:r w:rsidR="00FA2AAB" w:rsidRPr="009F6734">
        <w:rPr>
          <w:b w:val="0"/>
        </w:rPr>
        <w:t xml:space="preserve"> terrorism</w:t>
      </w:r>
      <w:r>
        <w:rPr>
          <w:b w:val="0"/>
        </w:rPr>
        <w:t>,</w:t>
      </w:r>
      <w:r w:rsidR="00FA2AAB" w:rsidRPr="009F6734">
        <w:rPr>
          <w:b w:val="0"/>
        </w:rPr>
        <w:t xml:space="preserve"> and </w:t>
      </w:r>
      <w:r w:rsidRPr="009F6734">
        <w:rPr>
          <w:b w:val="0"/>
        </w:rPr>
        <w:t>enforc</w:t>
      </w:r>
      <w:r>
        <w:rPr>
          <w:b w:val="0"/>
        </w:rPr>
        <w:t>ing</w:t>
      </w:r>
      <w:r w:rsidRPr="009F6734">
        <w:rPr>
          <w:b w:val="0"/>
        </w:rPr>
        <w:t xml:space="preserve"> </w:t>
      </w:r>
      <w:r w:rsidR="00D31D89">
        <w:rPr>
          <w:b w:val="0"/>
        </w:rPr>
        <w:t>Federal</w:t>
      </w:r>
      <w:r w:rsidRPr="009F6734">
        <w:rPr>
          <w:b w:val="0"/>
        </w:rPr>
        <w:t xml:space="preserve"> </w:t>
      </w:r>
      <w:r w:rsidR="00613352" w:rsidRPr="004713CA">
        <w:rPr>
          <w:b w:val="0"/>
        </w:rPr>
        <w:t>firearms</w:t>
      </w:r>
      <w:r w:rsidR="0069335F">
        <w:rPr>
          <w:b w:val="0"/>
        </w:rPr>
        <w:t>,</w:t>
      </w:r>
      <w:r w:rsidR="004713CA" w:rsidRPr="004713CA">
        <w:rPr>
          <w:b w:val="0"/>
        </w:rPr>
        <w:t xml:space="preserve"> arson, </w:t>
      </w:r>
      <w:r w:rsidR="00613352" w:rsidRPr="004713CA">
        <w:rPr>
          <w:b w:val="0"/>
        </w:rPr>
        <w:t>explosives</w:t>
      </w:r>
      <w:r w:rsidR="004107B1">
        <w:rPr>
          <w:b w:val="0"/>
        </w:rPr>
        <w:t>,</w:t>
      </w:r>
      <w:r w:rsidR="00FA2AAB" w:rsidRPr="004713CA">
        <w:rPr>
          <w:b w:val="0"/>
        </w:rPr>
        <w:t xml:space="preserve"> </w:t>
      </w:r>
      <w:r w:rsidR="004713CA" w:rsidRPr="004713CA">
        <w:rPr>
          <w:b w:val="0"/>
        </w:rPr>
        <w:t>and</w:t>
      </w:r>
      <w:r w:rsidR="004713CA" w:rsidRPr="009F6734">
        <w:rPr>
          <w:b w:val="0"/>
        </w:rPr>
        <w:t xml:space="preserve"> </w:t>
      </w:r>
      <w:r w:rsidR="004713CA">
        <w:rPr>
          <w:b w:val="0"/>
        </w:rPr>
        <w:t xml:space="preserve">contraband tobacco </w:t>
      </w:r>
      <w:r w:rsidR="00FA2AAB" w:rsidRPr="009F6734">
        <w:rPr>
          <w:b w:val="0"/>
        </w:rPr>
        <w:t>laws</w:t>
      </w:r>
      <w:r w:rsidR="00FA2AAB" w:rsidRPr="00B376C4">
        <w:rPr>
          <w:b w:val="0"/>
        </w:rPr>
        <w:t>.</w:t>
      </w:r>
      <w:r w:rsidRPr="00B376C4">
        <w:rPr>
          <w:b w:val="0"/>
        </w:rPr>
        <w:t xml:space="preserve">  </w:t>
      </w:r>
      <w:r w:rsidR="00AF3424">
        <w:rPr>
          <w:b w:val="0"/>
          <w:szCs w:val="24"/>
        </w:rPr>
        <w:t>These resources will allow ATF to maintain a</w:t>
      </w:r>
      <w:r w:rsidR="0092591F">
        <w:rPr>
          <w:b w:val="0"/>
          <w:szCs w:val="24"/>
        </w:rPr>
        <w:t xml:space="preserve"> focused</w:t>
      </w:r>
      <w:r w:rsidR="00AF3424">
        <w:rPr>
          <w:b w:val="0"/>
          <w:szCs w:val="24"/>
        </w:rPr>
        <w:t xml:space="preserve"> operational capacity</w:t>
      </w:r>
      <w:r w:rsidR="00391AC8">
        <w:rPr>
          <w:b w:val="0"/>
          <w:szCs w:val="24"/>
        </w:rPr>
        <w:t>.</w:t>
      </w:r>
      <w:r w:rsidR="00AF3424">
        <w:rPr>
          <w:b w:val="0"/>
          <w:szCs w:val="24"/>
        </w:rPr>
        <w:t xml:space="preserve"> </w:t>
      </w:r>
    </w:p>
    <w:p w:rsidR="00FA2AAB" w:rsidRPr="008E6D87" w:rsidRDefault="004958BE" w:rsidP="00126F07">
      <w:pPr>
        <w:rPr>
          <w:color w:val="548DD4" w:themeColor="text2" w:themeTint="99"/>
        </w:rPr>
      </w:pPr>
      <w:r w:rsidRPr="005F43BC">
        <w:t>This budget request supports ATF’s capacity to</w:t>
      </w:r>
      <w:r w:rsidR="00FA2AAB" w:rsidRPr="00762F09">
        <w:t>:</w:t>
      </w:r>
      <w:r w:rsidR="008E6D87">
        <w:t xml:space="preserve"> </w:t>
      </w:r>
    </w:p>
    <w:p w:rsidR="00FA2AAB" w:rsidRPr="00762F09" w:rsidRDefault="00FA2AAB" w:rsidP="00F92506">
      <w:pPr>
        <w:numPr>
          <w:ilvl w:val="0"/>
          <w:numId w:val="7"/>
        </w:numPr>
        <w:spacing w:before="100" w:beforeAutospacing="1" w:after="100" w:afterAutospacing="1"/>
      </w:pPr>
      <w:r w:rsidRPr="00DC6ABB">
        <w:t xml:space="preserve">Combat </w:t>
      </w:r>
      <w:r>
        <w:t>v</w:t>
      </w:r>
      <w:r w:rsidRPr="00762F09">
        <w:t xml:space="preserve">iolent firearms crimes and </w:t>
      </w:r>
      <w:r w:rsidR="008E6D87" w:rsidRPr="008574D3">
        <w:t xml:space="preserve">illegal </w:t>
      </w:r>
      <w:r w:rsidRPr="00762F09">
        <w:t>firearms trafficking;</w:t>
      </w:r>
    </w:p>
    <w:p w:rsidR="00803B49" w:rsidRPr="00762F09" w:rsidRDefault="00803B49" w:rsidP="00803B49">
      <w:pPr>
        <w:numPr>
          <w:ilvl w:val="0"/>
          <w:numId w:val="7"/>
        </w:numPr>
        <w:spacing w:before="100" w:beforeAutospacing="1" w:after="100" w:afterAutospacing="1"/>
      </w:pPr>
      <w:r w:rsidRPr="00762F09">
        <w:t xml:space="preserve">Reduce the incidence and impact of violent gang activity </w:t>
      </w:r>
      <w:r>
        <w:t>involving firearms and explosives</w:t>
      </w:r>
      <w:r w:rsidRPr="00762F09">
        <w:t>;</w:t>
      </w:r>
    </w:p>
    <w:p w:rsidR="00FA2AAB" w:rsidRDefault="00FA2AAB" w:rsidP="00F92506">
      <w:pPr>
        <w:numPr>
          <w:ilvl w:val="0"/>
          <w:numId w:val="7"/>
        </w:numPr>
        <w:spacing w:before="100" w:beforeAutospacing="1" w:after="100" w:afterAutospacing="1"/>
      </w:pPr>
      <w:r w:rsidRPr="00762F09">
        <w:t xml:space="preserve">Stem the flow of illegally trafficked firearms and associated violence </w:t>
      </w:r>
      <w:r>
        <w:t>along</w:t>
      </w:r>
      <w:r w:rsidRPr="00762F09">
        <w:t xml:space="preserve"> the </w:t>
      </w:r>
      <w:r>
        <w:t xml:space="preserve">Southwest </w:t>
      </w:r>
      <w:r w:rsidR="008574D3" w:rsidRPr="008574D3">
        <w:t>B</w:t>
      </w:r>
      <w:r w:rsidR="008574D3">
        <w:t>order</w:t>
      </w:r>
      <w:r w:rsidR="008574D3" w:rsidRPr="00762F09">
        <w:t xml:space="preserve"> </w:t>
      </w:r>
      <w:r w:rsidRPr="00762F09">
        <w:t>region</w:t>
      </w:r>
      <w:r>
        <w:t xml:space="preserve"> and other areas of the U.S.</w:t>
      </w:r>
      <w:r w:rsidRPr="00762F09">
        <w:t>;</w:t>
      </w:r>
    </w:p>
    <w:p w:rsidR="005F43BC" w:rsidRDefault="005F43BC" w:rsidP="00F92506">
      <w:pPr>
        <w:numPr>
          <w:ilvl w:val="0"/>
          <w:numId w:val="7"/>
        </w:numPr>
        <w:spacing w:before="100" w:beforeAutospacing="1" w:after="100" w:afterAutospacing="1"/>
      </w:pPr>
      <w:r>
        <w:t xml:space="preserve">Protect the public by ensuring compliance through fair and effective regulation of the firearms and explosives industries; </w:t>
      </w:r>
    </w:p>
    <w:p w:rsidR="005B7717" w:rsidRDefault="005B7717" w:rsidP="00F92506">
      <w:pPr>
        <w:numPr>
          <w:ilvl w:val="0"/>
          <w:numId w:val="7"/>
        </w:numPr>
        <w:spacing w:before="100" w:beforeAutospacing="1" w:after="100" w:afterAutospacing="1"/>
      </w:pPr>
      <w:r>
        <w:t>Support Violent Crime Impact Teams (VCIT);</w:t>
      </w:r>
    </w:p>
    <w:p w:rsidR="00FA2AAB" w:rsidRPr="00E174AA" w:rsidRDefault="00B50615" w:rsidP="001019C8">
      <w:pPr>
        <w:numPr>
          <w:ilvl w:val="0"/>
          <w:numId w:val="7"/>
        </w:numPr>
        <w:spacing w:before="100" w:beforeAutospacing="1" w:after="100" w:afterAutospacing="1"/>
      </w:pPr>
      <w:r>
        <w:t>Interdict the illegal commerce in contraband tobacco and alcohol products</w:t>
      </w:r>
      <w:r w:rsidR="00AD6EDD">
        <w:t xml:space="preserve">; </w:t>
      </w:r>
      <w:r>
        <w:t xml:space="preserve"> </w:t>
      </w:r>
    </w:p>
    <w:p w:rsidR="00FA2AAB" w:rsidRPr="00762F09" w:rsidRDefault="00FA2AAB" w:rsidP="00F92506">
      <w:pPr>
        <w:numPr>
          <w:ilvl w:val="0"/>
          <w:numId w:val="7"/>
        </w:numPr>
        <w:spacing w:before="100" w:beforeAutospacing="1" w:after="100" w:afterAutospacing="1"/>
      </w:pPr>
      <w:r w:rsidRPr="00762F09">
        <w:t>Disrupt and prevent the use of firearms and explosives in terrorist acts;</w:t>
      </w:r>
    </w:p>
    <w:p w:rsidR="00FA2AAB" w:rsidRPr="00762F09" w:rsidRDefault="00FA2AAB" w:rsidP="00F92506">
      <w:pPr>
        <w:numPr>
          <w:ilvl w:val="0"/>
          <w:numId w:val="7"/>
        </w:numPr>
        <w:spacing w:before="100" w:beforeAutospacing="1" w:after="100" w:afterAutospacing="1"/>
      </w:pPr>
      <w:r>
        <w:t>Disseminate and leverage ATF’s technical expertise in</w:t>
      </w:r>
      <w:r w:rsidRPr="00762F09">
        <w:t xml:space="preserve"> explosives</w:t>
      </w:r>
      <w:r>
        <w:t>, improvised explosive devices (IEDs), and post-blast investigations by providing advanced</w:t>
      </w:r>
      <w:r w:rsidRPr="00762F09">
        <w:t xml:space="preserve"> training </w:t>
      </w:r>
      <w:r>
        <w:t xml:space="preserve">for </w:t>
      </w:r>
      <w:r w:rsidR="00D31D89">
        <w:t>Federal</w:t>
      </w:r>
      <w:r>
        <w:t xml:space="preserve">, </w:t>
      </w:r>
      <w:r w:rsidR="00D31D89">
        <w:t>state</w:t>
      </w:r>
      <w:r>
        <w:t xml:space="preserve">, local, international </w:t>
      </w:r>
      <w:r w:rsidRPr="00762F09">
        <w:t xml:space="preserve">and </w:t>
      </w:r>
      <w:r>
        <w:t>U.S. military personnel</w:t>
      </w:r>
      <w:r w:rsidRPr="00762F09">
        <w:t>;</w:t>
      </w:r>
    </w:p>
    <w:p w:rsidR="00FA2AAB" w:rsidRPr="00762F09" w:rsidRDefault="00B376C4" w:rsidP="00F92506">
      <w:pPr>
        <w:numPr>
          <w:ilvl w:val="0"/>
          <w:numId w:val="7"/>
        </w:numPr>
        <w:spacing w:before="100" w:beforeAutospacing="1" w:after="100" w:afterAutospacing="1"/>
      </w:pPr>
      <w:r>
        <w:t>Use a</w:t>
      </w:r>
      <w:r w:rsidRPr="00762F09">
        <w:t>dvance</w:t>
      </w:r>
      <w:r>
        <w:t>d technology to share</w:t>
      </w:r>
      <w:r w:rsidRPr="00762F09">
        <w:t xml:space="preserve"> </w:t>
      </w:r>
      <w:r w:rsidR="00FA2AAB" w:rsidRPr="00762F09">
        <w:t xml:space="preserve">information and intelligence among law enforcement agencies and the </w:t>
      </w:r>
      <w:r w:rsidR="00FA2AAB">
        <w:t>I</w:t>
      </w:r>
      <w:r w:rsidR="00FA2AAB" w:rsidRPr="00DC6ABB">
        <w:t xml:space="preserve">ntelligence </w:t>
      </w:r>
      <w:r w:rsidR="00FA2AAB">
        <w:t>C</w:t>
      </w:r>
      <w:r w:rsidR="00FA2AAB" w:rsidRPr="00DC6ABB">
        <w:t>ommunity</w:t>
      </w:r>
      <w:r w:rsidR="00FA2AAB" w:rsidRPr="00762F09">
        <w:t xml:space="preserve">; </w:t>
      </w:r>
    </w:p>
    <w:p w:rsidR="00FA2AAB" w:rsidRDefault="00FA2AAB" w:rsidP="00F92506">
      <w:pPr>
        <w:numPr>
          <w:ilvl w:val="0"/>
          <w:numId w:val="7"/>
        </w:numPr>
        <w:spacing w:before="100" w:beforeAutospacing="1" w:after="100" w:afterAutospacing="1"/>
      </w:pPr>
      <w:r w:rsidRPr="00762F09">
        <w:t>Improve efficiencies in managing financial</w:t>
      </w:r>
      <w:r w:rsidR="00C476A6">
        <w:t xml:space="preserve"> and</w:t>
      </w:r>
      <w:r w:rsidRPr="00762F09">
        <w:t xml:space="preserve"> human </w:t>
      </w:r>
      <w:r w:rsidR="00545127" w:rsidRPr="00762F09">
        <w:t>resources</w:t>
      </w:r>
      <w:r w:rsidR="00545127">
        <w:t>; and</w:t>
      </w:r>
      <w:r w:rsidR="00532E0A">
        <w:t>,</w:t>
      </w:r>
    </w:p>
    <w:p w:rsidR="00EE511A" w:rsidRDefault="00803B49" w:rsidP="00C476A6">
      <w:pPr>
        <w:numPr>
          <w:ilvl w:val="0"/>
          <w:numId w:val="7"/>
        </w:numPr>
        <w:spacing w:before="100" w:beforeAutospacing="1" w:after="100" w:afterAutospacing="1"/>
      </w:pPr>
      <w:r w:rsidRPr="00762F09">
        <w:t xml:space="preserve">Assist </w:t>
      </w:r>
      <w:r w:rsidR="00D31D89">
        <w:t>state</w:t>
      </w:r>
      <w:r w:rsidRPr="00762F09">
        <w:t xml:space="preserve"> and local law enforcement agencies in fighting violent crime</w:t>
      </w:r>
      <w:r>
        <w:t>s involving firearms, explosiv</w:t>
      </w:r>
      <w:r w:rsidRPr="00E174AA">
        <w:t>es, and arson</w:t>
      </w:r>
      <w:r w:rsidR="000D2456">
        <w:t>.</w:t>
      </w:r>
    </w:p>
    <w:p w:rsidR="00C476A6" w:rsidRDefault="00EE511A" w:rsidP="00535EE2">
      <w:pPr>
        <w:spacing w:before="100" w:beforeAutospacing="1" w:after="100" w:afterAutospacing="1"/>
      </w:pPr>
      <w:r>
        <w:t>E</w:t>
      </w:r>
      <w:r w:rsidR="00C476A6">
        <w:t>lectronic cop</w:t>
      </w:r>
      <w:r>
        <w:t xml:space="preserve">ies of the Department of Justice’s Congressional Budget Justifications and Capital Asset Plan and Business Case exhibits can be viewed or downloaded from the Internet using the Internet address: </w:t>
      </w:r>
      <w:r w:rsidR="00535EE2">
        <w:t xml:space="preserve"> </w:t>
      </w:r>
      <w:hyperlink r:id="rId13" w:history="1">
        <w:r w:rsidRPr="00EE511A">
          <w:rPr>
            <w:rStyle w:val="Hyperlink"/>
          </w:rPr>
          <w:t>http://justice.gov/02organizations/bpp.htm</w:t>
        </w:r>
      </w:hyperlink>
    </w:p>
    <w:p w:rsidR="006D7B2F" w:rsidRDefault="006D7B2F" w:rsidP="006D7B2F">
      <w:pPr>
        <w:spacing w:before="100" w:beforeAutospacing="1" w:after="100" w:afterAutospacing="1"/>
        <w:rPr>
          <w:b/>
          <w:bCs/>
        </w:rPr>
      </w:pPr>
      <w:r w:rsidRPr="00762F09">
        <w:rPr>
          <w:b/>
          <w:bCs/>
        </w:rPr>
        <w:t>B.  Mission and Strategic Goals</w:t>
      </w:r>
    </w:p>
    <w:p w:rsidR="001B185A" w:rsidRDefault="00AD30E7" w:rsidP="001B185A">
      <w:pPr>
        <w:autoSpaceDE w:val="0"/>
        <w:autoSpaceDN w:val="0"/>
        <w:adjustRightInd w:val="0"/>
        <w:rPr>
          <w:rFonts w:ascii="AGaramond-Regular" w:hAnsi="AGaramond-Regular" w:cs="AGaramond-Regular"/>
        </w:rPr>
      </w:pPr>
      <w:r>
        <w:rPr>
          <w:rFonts w:ascii="AGaramond-Regular" w:hAnsi="AGaramond-Regular" w:cs="AGaramond-Regular"/>
        </w:rPr>
        <w:t>The Bureau of Alcohol, Tobacco, Firearms and Explosives (ATF) is a law enforcement</w:t>
      </w:r>
      <w:r w:rsidR="00DC03E4">
        <w:rPr>
          <w:rFonts w:ascii="AGaramond-Regular" w:hAnsi="AGaramond-Regular" w:cs="AGaramond-Regular"/>
        </w:rPr>
        <w:t xml:space="preserve"> </w:t>
      </w:r>
      <w:r>
        <w:rPr>
          <w:rFonts w:ascii="AGaramond-Regular" w:hAnsi="AGaramond-Regular" w:cs="AGaramond-Regular"/>
        </w:rPr>
        <w:t xml:space="preserve">organization within the U.S. Department of Justice (DOJ). </w:t>
      </w:r>
      <w:r w:rsidR="0069335F">
        <w:rPr>
          <w:rFonts w:ascii="AGaramond-Regular" w:hAnsi="AGaramond-Regular" w:cs="AGaramond-Regular"/>
        </w:rPr>
        <w:t xml:space="preserve"> </w:t>
      </w:r>
      <w:r>
        <w:rPr>
          <w:rFonts w:ascii="AGaramond-Regular" w:hAnsi="AGaramond-Regular" w:cs="AGaramond-Regular"/>
        </w:rPr>
        <w:t>ATF is dedicated to the</w:t>
      </w:r>
      <w:r w:rsidR="00D27876">
        <w:rPr>
          <w:rFonts w:ascii="AGaramond-Regular" w:hAnsi="AGaramond-Regular" w:cs="AGaramond-Regular"/>
        </w:rPr>
        <w:t xml:space="preserve"> </w:t>
      </w:r>
      <w:r>
        <w:rPr>
          <w:rFonts w:ascii="AGaramond-Regular" w:hAnsi="AGaramond-Regular" w:cs="AGaramond-Regular"/>
        </w:rPr>
        <w:t>reduction of violent crime, prevention of terrorism, and protection of our Nation.</w:t>
      </w:r>
      <w:r w:rsidR="007068E5">
        <w:rPr>
          <w:rFonts w:ascii="AGaramond-Regular" w:hAnsi="AGaramond-Regular" w:cs="AGaramond-Regular"/>
        </w:rPr>
        <w:t xml:space="preserve">  </w:t>
      </w:r>
      <w:r>
        <w:rPr>
          <w:rFonts w:ascii="AGaramond-Regular" w:hAnsi="AGaramond-Regular" w:cs="AGaramond-Regular"/>
        </w:rPr>
        <w:t>ATF investigates and prevents crimes that involve the unlawful manufacture, sale, possession</w:t>
      </w:r>
      <w:r w:rsidR="00D27876">
        <w:rPr>
          <w:rFonts w:ascii="AGaramond-Regular" w:hAnsi="AGaramond-Regular" w:cs="AGaramond-Regular"/>
        </w:rPr>
        <w:t xml:space="preserve"> </w:t>
      </w:r>
      <w:r>
        <w:rPr>
          <w:rFonts w:ascii="AGaramond-Regular" w:hAnsi="AGaramond-Regular" w:cs="AGaramond-Regular"/>
        </w:rPr>
        <w:t>and use of firearms and explosives; acts of arson and bombings; and illegal trafficking of alcohol</w:t>
      </w:r>
      <w:r w:rsidR="00D27876">
        <w:rPr>
          <w:rFonts w:ascii="AGaramond-Regular" w:hAnsi="AGaramond-Regular" w:cs="AGaramond-Regular"/>
        </w:rPr>
        <w:t xml:space="preserve"> </w:t>
      </w:r>
      <w:r>
        <w:rPr>
          <w:rFonts w:ascii="AGaramond-Regular" w:hAnsi="AGaramond-Regular" w:cs="AGaramond-Regular"/>
        </w:rPr>
        <w:t>and tobacco products. ATF regulates the firearms and explosives industries from manufacture</w:t>
      </w:r>
      <w:r w:rsidR="00D27876">
        <w:rPr>
          <w:rFonts w:ascii="AGaramond-Regular" w:hAnsi="AGaramond-Regular" w:cs="AGaramond-Regular"/>
        </w:rPr>
        <w:t xml:space="preserve"> </w:t>
      </w:r>
      <w:r>
        <w:rPr>
          <w:rFonts w:ascii="AGaramond-Regular" w:hAnsi="AGaramond-Regular" w:cs="AGaramond-Regular"/>
        </w:rPr>
        <w:t>and/or importation through retail sale. We screen and license entities that engage in</w:t>
      </w:r>
      <w:r w:rsidR="00D27876">
        <w:rPr>
          <w:rFonts w:ascii="AGaramond-Regular" w:hAnsi="AGaramond-Regular" w:cs="AGaramond-Regular"/>
        </w:rPr>
        <w:t xml:space="preserve"> </w:t>
      </w:r>
      <w:r>
        <w:rPr>
          <w:rFonts w:ascii="AGaramond-Regular" w:hAnsi="AGaramond-Regular" w:cs="AGaramond-Regular"/>
        </w:rPr>
        <w:t xml:space="preserve">commerce in these </w:t>
      </w:r>
      <w:r>
        <w:rPr>
          <w:rFonts w:ascii="AGaramond-Regular" w:hAnsi="AGaramond-Regular" w:cs="AGaramond-Regular"/>
        </w:rPr>
        <w:lastRenderedPageBreak/>
        <w:t>commodities, and specify the form and content of their business records.</w:t>
      </w:r>
      <w:r w:rsidR="00D27876">
        <w:rPr>
          <w:rFonts w:ascii="AGaramond-Regular" w:hAnsi="AGaramond-Regular" w:cs="AGaramond-Regular"/>
        </w:rPr>
        <w:t xml:space="preserve">  </w:t>
      </w:r>
      <w:r>
        <w:rPr>
          <w:rFonts w:ascii="AGaramond-Regular" w:hAnsi="AGaramond-Regular" w:cs="AGaramond-Regular"/>
        </w:rPr>
        <w:t>In the case of explosives, we have established standards for the safe storage of materials to</w:t>
      </w:r>
      <w:r w:rsidR="00D27876">
        <w:rPr>
          <w:rFonts w:ascii="AGaramond-Regular" w:hAnsi="AGaramond-Regular" w:cs="AGaramond-Regular"/>
        </w:rPr>
        <w:t xml:space="preserve"> </w:t>
      </w:r>
      <w:r>
        <w:rPr>
          <w:rFonts w:ascii="AGaramond-Regular" w:hAnsi="AGaramond-Regular" w:cs="AGaramond-Regular"/>
        </w:rPr>
        <w:t>which licensees must adhere.</w:t>
      </w:r>
      <w:r w:rsidR="001B185A">
        <w:rPr>
          <w:rFonts w:ascii="AGaramond-Regular" w:hAnsi="AGaramond-Regular" w:cs="AGaramond-Regular"/>
        </w:rPr>
        <w:t xml:space="preserve">  </w:t>
      </w:r>
    </w:p>
    <w:p w:rsidR="001B185A" w:rsidRDefault="00B71AFB" w:rsidP="00AD30E7">
      <w:pPr>
        <w:autoSpaceDE w:val="0"/>
        <w:autoSpaceDN w:val="0"/>
        <w:adjustRightInd w:val="0"/>
        <w:rPr>
          <w:rFonts w:ascii="AGaramond-Regular" w:hAnsi="AGaramond-Regular" w:cs="AGaramond-Regular"/>
        </w:rPr>
      </w:pPr>
      <w:r w:rsidRPr="00B71AFB">
        <w:rPr>
          <w:rFonts w:ascii="AGaramond-Regular" w:hAnsi="AGaramond-Regular" w:cs="AGaramond-Regular"/>
          <w:noProof/>
        </w:rPr>
        <w:drawing>
          <wp:anchor distT="0" distB="0" distL="114300" distR="114300" simplePos="0" relativeHeight="251672576" behindDoc="0" locked="0" layoutInCell="1" allowOverlap="1">
            <wp:simplePos x="0" y="0"/>
            <wp:positionH relativeFrom="column">
              <wp:posOffset>105410</wp:posOffset>
            </wp:positionH>
            <wp:positionV relativeFrom="paragraph">
              <wp:posOffset>70485</wp:posOffset>
            </wp:positionV>
            <wp:extent cx="2916555" cy="2098040"/>
            <wp:effectExtent l="19050" t="0" r="0" b="0"/>
            <wp:wrapSquare wrapText="bothSides"/>
            <wp:docPr id="14" name="Picture 7" descr="The graphic on page 2 identifies ATF's 6 strategic goals in the form of a pyramid.  Mission activities include:  Illegal Firearms Trafficking; Criminal Groups and Gangs; Explosives, Bombs and Bombings; and Fire and Arson.  ATF's supporting management activities include:  Modernizaton an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2916555" cy="2098040"/>
                    </a:xfrm>
                    <a:prstGeom prst="rect">
                      <a:avLst/>
                    </a:prstGeom>
                    <a:noFill/>
                    <a:ln w="9525">
                      <a:noFill/>
                      <a:miter lim="800000"/>
                      <a:headEnd/>
                      <a:tailEnd/>
                    </a:ln>
                  </pic:spPr>
                </pic:pic>
              </a:graphicData>
            </a:graphic>
          </wp:anchor>
        </w:drawing>
      </w:r>
    </w:p>
    <w:p w:rsidR="008C209E" w:rsidRDefault="001B185A" w:rsidP="008C209E">
      <w:pPr>
        <w:autoSpaceDE w:val="0"/>
        <w:autoSpaceDN w:val="0"/>
        <w:adjustRightInd w:val="0"/>
        <w:rPr>
          <w:rFonts w:ascii="AGaramond-Regular" w:hAnsi="AGaramond-Regular" w:cs="AGaramond-Regular"/>
        </w:rPr>
      </w:pPr>
      <w:r>
        <w:rPr>
          <w:rFonts w:ascii="AGaramond-Regular" w:hAnsi="AGaramond-Regular" w:cs="AGaramond-Regular"/>
        </w:rPr>
        <w:t>ATF groups its activities into 10 core functions. Through these core functions ATF reduces violent crime by enforcing Federal laws and regulations related to firearms, criminal groups and gangs, explosives, arson, alcohol and tobacco</w:t>
      </w:r>
    </w:p>
    <w:p w:rsidR="00FC6106" w:rsidRDefault="00FC6106" w:rsidP="008C209E">
      <w:pPr>
        <w:autoSpaceDE w:val="0"/>
        <w:autoSpaceDN w:val="0"/>
        <w:adjustRightInd w:val="0"/>
      </w:pPr>
    </w:p>
    <w:p w:rsidR="008C209E" w:rsidRDefault="00BC75D3" w:rsidP="008C209E">
      <w:pPr>
        <w:autoSpaceDE w:val="0"/>
        <w:autoSpaceDN w:val="0"/>
        <w:adjustRightInd w:val="0"/>
        <w:rPr>
          <w:rFonts w:ascii="AGaramond-Regular" w:hAnsi="AGaramond-Regular" w:cs="AGaramond-Regular"/>
        </w:rPr>
      </w:pPr>
      <w:r>
        <w:t xml:space="preserve">ATF’s Strategic Plan for 2010 – 2016 </w:t>
      </w:r>
      <w:r w:rsidR="008C209E">
        <w:rPr>
          <w:rFonts w:ascii="AGaramond-Regular" w:hAnsi="AGaramond-Regular" w:cs="AGaramond-Regular"/>
        </w:rPr>
        <w:t xml:space="preserve">defines four </w:t>
      </w:r>
      <w:r w:rsidR="00D10199">
        <w:rPr>
          <w:rFonts w:ascii="AGaramond-Regular" w:hAnsi="AGaramond-Regular" w:cs="AGaramond-Regular"/>
        </w:rPr>
        <w:t xml:space="preserve">core </w:t>
      </w:r>
      <w:r w:rsidR="008C209E">
        <w:rPr>
          <w:rFonts w:ascii="AGaramond-Regular" w:hAnsi="AGaramond-Regular" w:cs="AGaramond-Regular"/>
        </w:rPr>
        <w:t xml:space="preserve">mission activities and </w:t>
      </w:r>
      <w:r w:rsidR="00BA6AC6">
        <w:rPr>
          <w:rFonts w:ascii="AGaramond-Regular" w:hAnsi="AGaramond-Regular" w:cs="AGaramond-Regular"/>
        </w:rPr>
        <w:t xml:space="preserve">the </w:t>
      </w:r>
      <w:r w:rsidR="008C209E">
        <w:rPr>
          <w:rFonts w:ascii="AGaramond-Regular" w:hAnsi="AGaramond-Regular" w:cs="AGaramond-Regular"/>
        </w:rPr>
        <w:t>two</w:t>
      </w:r>
      <w:r w:rsidR="00D10199">
        <w:rPr>
          <w:rFonts w:ascii="AGaramond-Regular" w:hAnsi="AGaramond-Regular" w:cs="AGaramond-Regular"/>
        </w:rPr>
        <w:t xml:space="preserve"> core</w:t>
      </w:r>
      <w:r w:rsidR="008C209E">
        <w:rPr>
          <w:rFonts w:ascii="AGaramond-Regular" w:hAnsi="AGaramond-Regular" w:cs="AGaramond-Regular"/>
        </w:rPr>
        <w:t xml:space="preserve"> management activities as strategic goals. The mission goals in illegal firearms trafficking, explosives, criminal organizations, and fire/arson reflect our core areas of expertise, which we consistently work to strengthen. The management goals — managing our workforce and modernizing our organization — will support our mission and ensure its successful accomplishment. The framework focuses on strategic planning, budgeting, performance measurement, and Bureau operations.</w:t>
      </w:r>
    </w:p>
    <w:p w:rsidR="008C209E" w:rsidRDefault="008C209E" w:rsidP="008C209E">
      <w:pPr>
        <w:autoSpaceDE w:val="0"/>
        <w:autoSpaceDN w:val="0"/>
        <w:adjustRightInd w:val="0"/>
        <w:rPr>
          <w:rFonts w:ascii="AGaramond-Regular" w:hAnsi="AGaramond-Regular" w:cs="AGaramond-Regular"/>
        </w:rPr>
      </w:pPr>
    </w:p>
    <w:p w:rsidR="00BC75D3" w:rsidRPr="00DC03E4" w:rsidRDefault="00BC75D3" w:rsidP="008C209E">
      <w:pPr>
        <w:autoSpaceDE w:val="0"/>
        <w:autoSpaceDN w:val="0"/>
        <w:adjustRightInd w:val="0"/>
        <w:rPr>
          <w:b/>
        </w:rPr>
      </w:pPr>
      <w:r w:rsidRPr="00DC03E4">
        <w:rPr>
          <w:b/>
        </w:rPr>
        <w:t>Mission Activities:</w:t>
      </w:r>
    </w:p>
    <w:p w:rsidR="008C209E" w:rsidRPr="008C209E" w:rsidRDefault="008C209E" w:rsidP="008C209E">
      <w:pPr>
        <w:autoSpaceDE w:val="0"/>
        <w:autoSpaceDN w:val="0"/>
        <w:adjustRightInd w:val="0"/>
        <w:rPr>
          <w:rFonts w:ascii="AGaramond-Regular" w:hAnsi="AGaramond-Regular" w:cs="AGaramond-Regular"/>
        </w:rPr>
      </w:pPr>
    </w:p>
    <w:p w:rsidR="00BC75D3" w:rsidRPr="00D10B2D" w:rsidRDefault="008C209E" w:rsidP="008444E3">
      <w:pPr>
        <w:pStyle w:val="ListParagraph"/>
        <w:numPr>
          <w:ilvl w:val="0"/>
          <w:numId w:val="27"/>
        </w:numPr>
        <w:autoSpaceDE w:val="0"/>
        <w:autoSpaceDN w:val="0"/>
        <w:adjustRightInd w:val="0"/>
      </w:pPr>
      <w:r w:rsidRPr="00D10B2D">
        <w:rPr>
          <w:b/>
        </w:rPr>
        <w:t>Strategic Goal</w:t>
      </w:r>
      <w:r w:rsidR="00DC03E4" w:rsidRPr="00D10B2D">
        <w:rPr>
          <w:b/>
        </w:rPr>
        <w:t xml:space="preserve"> </w:t>
      </w:r>
      <w:r w:rsidR="00B61254" w:rsidRPr="00D10B2D">
        <w:rPr>
          <w:b/>
        </w:rPr>
        <w:t>-</w:t>
      </w:r>
      <w:r w:rsidRPr="00D10B2D">
        <w:rPr>
          <w:b/>
        </w:rPr>
        <w:t xml:space="preserve"> </w:t>
      </w:r>
      <w:r w:rsidR="00BC75D3" w:rsidRPr="00D10B2D">
        <w:rPr>
          <w:b/>
        </w:rPr>
        <w:t>Illegal Firearms Trafficking</w:t>
      </w:r>
      <w:r w:rsidRPr="00D10B2D">
        <w:rPr>
          <w:b/>
        </w:rPr>
        <w:t>:</w:t>
      </w:r>
      <w:r w:rsidRPr="00D10B2D">
        <w:rPr>
          <w:rFonts w:ascii="Univers-Condensed" w:hAnsi="Univers-Condensed" w:cs="Univers-Condensed"/>
          <w:sz w:val="20"/>
          <w:szCs w:val="20"/>
        </w:rPr>
        <w:t xml:space="preserve"> </w:t>
      </w:r>
      <w:r w:rsidRPr="00D10B2D">
        <w:t>Reduce violent firearms crimes by strengthening firearms trafficking intelligence gathering, analysis, inspection, and investigative</w:t>
      </w:r>
      <w:r w:rsidR="003D496E" w:rsidRPr="00D10B2D">
        <w:t xml:space="preserve"> activities.</w:t>
      </w:r>
    </w:p>
    <w:p w:rsidR="00BC75D3" w:rsidRPr="00D10B2D" w:rsidRDefault="00B61254" w:rsidP="00BC75D3">
      <w:pPr>
        <w:pStyle w:val="BodyText"/>
        <w:numPr>
          <w:ilvl w:val="0"/>
          <w:numId w:val="27"/>
        </w:numPr>
        <w:spacing w:before="100" w:beforeAutospacing="1" w:after="100" w:afterAutospacing="1"/>
        <w:rPr>
          <w:szCs w:val="24"/>
        </w:rPr>
      </w:pPr>
      <w:r w:rsidRPr="00D10B2D">
        <w:rPr>
          <w:b/>
          <w:szCs w:val="24"/>
        </w:rPr>
        <w:t>Strategic Goal</w:t>
      </w:r>
      <w:r w:rsidR="00DC03E4" w:rsidRPr="00D10B2D">
        <w:rPr>
          <w:b/>
          <w:szCs w:val="24"/>
        </w:rPr>
        <w:t xml:space="preserve"> </w:t>
      </w:r>
      <w:r w:rsidRPr="00D10B2D">
        <w:rPr>
          <w:b/>
          <w:szCs w:val="24"/>
        </w:rPr>
        <w:t xml:space="preserve">- </w:t>
      </w:r>
      <w:r w:rsidR="00BC75D3" w:rsidRPr="00D10B2D">
        <w:rPr>
          <w:b/>
          <w:szCs w:val="24"/>
        </w:rPr>
        <w:t>Criminal Groups and Gangs</w:t>
      </w:r>
      <w:r w:rsidRPr="00D10B2D">
        <w:rPr>
          <w:b/>
          <w:szCs w:val="24"/>
        </w:rPr>
        <w:t>:</w:t>
      </w:r>
      <w:r w:rsidRPr="00D10B2D">
        <w:rPr>
          <w:szCs w:val="24"/>
        </w:rPr>
        <w:t xml:space="preserve"> </w:t>
      </w:r>
      <w:r w:rsidR="00DC03E4" w:rsidRPr="00D10B2D">
        <w:rPr>
          <w:szCs w:val="24"/>
        </w:rPr>
        <w:t xml:space="preserve">The prevalence of criminal groups and gangs requires strategies to make </w:t>
      </w:r>
      <w:r w:rsidRPr="00D10B2D">
        <w:rPr>
          <w:szCs w:val="24"/>
        </w:rPr>
        <w:t>our communities safer by expanding our efforts to identify, target, and dismantle those criminal gangs and organizations that utilize firearms, arson, explosives</w:t>
      </w:r>
      <w:r w:rsidR="00DC7A4D" w:rsidRPr="00D10B2D">
        <w:rPr>
          <w:szCs w:val="24"/>
        </w:rPr>
        <w:t xml:space="preserve"> and alcohol and tobacco diversion</w:t>
      </w:r>
      <w:r w:rsidRPr="00D10B2D">
        <w:rPr>
          <w:szCs w:val="24"/>
        </w:rPr>
        <w:t xml:space="preserve"> in furtherance of violent criminal activity.</w:t>
      </w:r>
    </w:p>
    <w:p w:rsidR="00B61254" w:rsidRPr="00D10B2D" w:rsidRDefault="00B61254" w:rsidP="00B61254">
      <w:pPr>
        <w:pStyle w:val="ListParagraph"/>
        <w:numPr>
          <w:ilvl w:val="0"/>
          <w:numId w:val="27"/>
        </w:numPr>
        <w:autoSpaceDE w:val="0"/>
        <w:autoSpaceDN w:val="0"/>
        <w:adjustRightInd w:val="0"/>
        <w:rPr>
          <w:bCs/>
          <w:lang w:val="en-GB"/>
        </w:rPr>
      </w:pPr>
      <w:r w:rsidRPr="00D10B2D">
        <w:rPr>
          <w:b/>
        </w:rPr>
        <w:t>Strategic Goal</w:t>
      </w:r>
      <w:r w:rsidR="00DC03E4" w:rsidRPr="00D10B2D">
        <w:rPr>
          <w:b/>
        </w:rPr>
        <w:t xml:space="preserve"> </w:t>
      </w:r>
      <w:r w:rsidRPr="00D10B2D">
        <w:rPr>
          <w:b/>
        </w:rPr>
        <w:t xml:space="preserve">- </w:t>
      </w:r>
      <w:r w:rsidR="00BC75D3" w:rsidRPr="00D10B2D">
        <w:rPr>
          <w:b/>
        </w:rPr>
        <w:t>Explosives, Bombs and Bombings</w:t>
      </w:r>
      <w:r w:rsidRPr="00D10B2D">
        <w:rPr>
          <w:b/>
        </w:rPr>
        <w:t>:</w:t>
      </w:r>
      <w:r w:rsidRPr="00D10B2D">
        <w:t xml:space="preserve"> </w:t>
      </w:r>
      <w:r w:rsidRPr="00D10B2D">
        <w:rPr>
          <w:bCs/>
          <w:lang w:val="en-GB"/>
        </w:rPr>
        <w:t xml:space="preserve"> </w:t>
      </w:r>
      <w:r w:rsidR="003D496E" w:rsidRPr="00D10B2D">
        <w:rPr>
          <w:bCs/>
          <w:lang w:val="en-GB"/>
        </w:rPr>
        <w:t>Investigate the</w:t>
      </w:r>
      <w:r w:rsidR="00DC7A4D" w:rsidRPr="00D10B2D">
        <w:rPr>
          <w:bCs/>
          <w:lang w:val="en-GB"/>
        </w:rPr>
        <w:t xml:space="preserve"> </w:t>
      </w:r>
      <w:r w:rsidR="003D496E" w:rsidRPr="00D10B2D">
        <w:rPr>
          <w:bCs/>
          <w:lang w:val="en-GB"/>
        </w:rPr>
        <w:t>criminal</w:t>
      </w:r>
      <w:r w:rsidR="007B4419" w:rsidRPr="00D10B2D">
        <w:rPr>
          <w:bCs/>
          <w:lang w:val="en-GB"/>
        </w:rPr>
        <w:t xml:space="preserve"> use of explosives and bombings while a</w:t>
      </w:r>
      <w:r w:rsidRPr="00D10B2D">
        <w:rPr>
          <w:bCs/>
          <w:lang w:val="en-GB"/>
        </w:rPr>
        <w:t>dvanc</w:t>
      </w:r>
      <w:r w:rsidR="007B4419" w:rsidRPr="00D10B2D">
        <w:rPr>
          <w:bCs/>
          <w:lang w:val="en-GB"/>
        </w:rPr>
        <w:t>ing</w:t>
      </w:r>
      <w:r w:rsidRPr="00D10B2D">
        <w:rPr>
          <w:bCs/>
          <w:lang w:val="en-GB"/>
        </w:rPr>
        <w:t xml:space="preserve"> </w:t>
      </w:r>
      <w:r w:rsidR="003D496E" w:rsidRPr="00D10B2D">
        <w:rPr>
          <w:bCs/>
          <w:lang w:val="en-GB"/>
        </w:rPr>
        <w:t>the whole-of-Government counter-IED effort to prevent, detect, and investigate</w:t>
      </w:r>
      <w:r w:rsidRPr="00D10B2D">
        <w:rPr>
          <w:bCs/>
          <w:lang w:val="en-GB"/>
        </w:rPr>
        <w:t xml:space="preserve"> violent crime and terrorism and to enhance public safety.</w:t>
      </w:r>
    </w:p>
    <w:p w:rsidR="007068E5" w:rsidRPr="00F330ED" w:rsidRDefault="00B61254" w:rsidP="007068E5">
      <w:pPr>
        <w:pStyle w:val="BodyText"/>
        <w:numPr>
          <w:ilvl w:val="0"/>
          <w:numId w:val="27"/>
        </w:numPr>
        <w:spacing w:before="100" w:beforeAutospacing="1" w:after="100" w:afterAutospacing="1"/>
        <w:rPr>
          <w:szCs w:val="24"/>
        </w:rPr>
      </w:pPr>
      <w:r w:rsidRPr="00DC03E4">
        <w:rPr>
          <w:b/>
          <w:szCs w:val="24"/>
        </w:rPr>
        <w:t>Strategic Goal</w:t>
      </w:r>
      <w:r w:rsidR="00DC03E4">
        <w:rPr>
          <w:b/>
          <w:szCs w:val="24"/>
        </w:rPr>
        <w:t xml:space="preserve"> </w:t>
      </w:r>
      <w:r w:rsidRPr="00DC03E4">
        <w:rPr>
          <w:b/>
          <w:szCs w:val="24"/>
        </w:rPr>
        <w:t>- Fire and Arson:</w:t>
      </w:r>
      <w:r w:rsidR="007B4419">
        <w:rPr>
          <w:szCs w:val="24"/>
        </w:rPr>
        <w:t xml:space="preserve">  Protecting our country and our communities from the illegal use of fire by advancing the science of fire investigation globally, b</w:t>
      </w:r>
      <w:r w:rsidR="007B4419" w:rsidRPr="007B4419">
        <w:rPr>
          <w:szCs w:val="24"/>
        </w:rPr>
        <w:t>y setting and</w:t>
      </w:r>
      <w:r w:rsidR="00D10B2D">
        <w:rPr>
          <w:szCs w:val="24"/>
        </w:rPr>
        <w:t xml:space="preserve"> </w:t>
      </w:r>
      <w:r w:rsidR="007B4419" w:rsidRPr="007B4419">
        <w:rPr>
          <w:szCs w:val="24"/>
        </w:rPr>
        <w:t>delivering the highest standards in response, research, information sharing and training.</w:t>
      </w:r>
    </w:p>
    <w:p w:rsidR="00BC75D3" w:rsidRPr="00DC03E4" w:rsidRDefault="00BC75D3" w:rsidP="007068E5">
      <w:pPr>
        <w:pStyle w:val="BodyText"/>
        <w:spacing w:before="100" w:beforeAutospacing="1" w:after="100" w:afterAutospacing="1"/>
        <w:rPr>
          <w:b/>
          <w:szCs w:val="24"/>
        </w:rPr>
      </w:pPr>
      <w:r w:rsidRPr="00DC03E4">
        <w:rPr>
          <w:b/>
          <w:szCs w:val="24"/>
        </w:rPr>
        <w:t>Management Activities:</w:t>
      </w:r>
    </w:p>
    <w:p w:rsidR="00BC75D3" w:rsidRDefault="007B4419" w:rsidP="00BC75D3">
      <w:pPr>
        <w:pStyle w:val="BodyText"/>
        <w:numPr>
          <w:ilvl w:val="0"/>
          <w:numId w:val="27"/>
        </w:numPr>
        <w:spacing w:before="100" w:beforeAutospacing="1" w:after="100" w:afterAutospacing="1"/>
        <w:rPr>
          <w:szCs w:val="24"/>
        </w:rPr>
      </w:pPr>
      <w:r w:rsidRPr="00DC03E4">
        <w:rPr>
          <w:b/>
          <w:szCs w:val="24"/>
        </w:rPr>
        <w:t>Strategic Goal</w:t>
      </w:r>
      <w:r w:rsidR="00DC03E4">
        <w:rPr>
          <w:b/>
          <w:szCs w:val="24"/>
        </w:rPr>
        <w:t xml:space="preserve"> </w:t>
      </w:r>
      <w:r w:rsidRPr="00DC03E4">
        <w:rPr>
          <w:b/>
          <w:szCs w:val="24"/>
        </w:rPr>
        <w:t>- Modernization:</w:t>
      </w:r>
      <w:r>
        <w:rPr>
          <w:szCs w:val="24"/>
        </w:rPr>
        <w:t xml:space="preserve">  Modernize business processes and systems for improved information sharing, knowledge management, and use of innovative technologies to support ATF’s critical mission.</w:t>
      </w:r>
    </w:p>
    <w:p w:rsidR="00D27876" w:rsidRDefault="007B4419" w:rsidP="00D27876">
      <w:pPr>
        <w:pStyle w:val="BodyText"/>
        <w:numPr>
          <w:ilvl w:val="0"/>
          <w:numId w:val="27"/>
        </w:numPr>
        <w:tabs>
          <w:tab w:val="left" w:pos="0"/>
        </w:tabs>
        <w:spacing w:before="100" w:beforeAutospacing="1" w:after="100" w:afterAutospacing="1"/>
        <w:rPr>
          <w:szCs w:val="24"/>
        </w:rPr>
      </w:pPr>
      <w:r w:rsidRPr="00DC03E4">
        <w:rPr>
          <w:b/>
          <w:szCs w:val="24"/>
        </w:rPr>
        <w:lastRenderedPageBreak/>
        <w:t>Strategic Goal</w:t>
      </w:r>
      <w:r w:rsidR="00DC03E4">
        <w:rPr>
          <w:b/>
          <w:szCs w:val="24"/>
        </w:rPr>
        <w:t xml:space="preserve"> </w:t>
      </w:r>
      <w:r w:rsidRPr="00DC03E4">
        <w:rPr>
          <w:b/>
          <w:szCs w:val="24"/>
        </w:rPr>
        <w:t>- Workforce:</w:t>
      </w:r>
      <w:r>
        <w:rPr>
          <w:szCs w:val="24"/>
        </w:rPr>
        <w:t xml:space="preserve">   ATF considers strengthening its workforce to be a strategic management goal to attract, develop, and retain an expert workforce to execute the ATF mission in the emerging business environment</w:t>
      </w:r>
      <w:r w:rsidR="00D27876">
        <w:rPr>
          <w:szCs w:val="24"/>
        </w:rPr>
        <w:t>.</w:t>
      </w:r>
    </w:p>
    <w:p w:rsidR="00D27876" w:rsidRPr="00D27876" w:rsidRDefault="00D27876" w:rsidP="00D27876">
      <w:pPr>
        <w:pStyle w:val="BodyText"/>
        <w:tabs>
          <w:tab w:val="left" w:pos="0"/>
        </w:tabs>
        <w:spacing w:before="100" w:beforeAutospacing="1" w:after="100" w:afterAutospacing="1"/>
        <w:ind w:left="360"/>
        <w:rPr>
          <w:szCs w:val="24"/>
        </w:rPr>
      </w:pPr>
      <w:r>
        <w:t xml:space="preserve">ATF’s 2010-2016 Strategic Plan can be found at the following link: </w:t>
      </w:r>
      <w:hyperlink r:id="rId15" w:history="1">
        <w:r w:rsidRPr="00BE0B8F">
          <w:rPr>
            <w:rStyle w:val="Hyperlink"/>
          </w:rPr>
          <w:t>www.atf.gov/publications/general/strategic-plan</w:t>
        </w:r>
      </w:hyperlink>
      <w:r>
        <w:t>/.</w:t>
      </w:r>
    </w:p>
    <w:p w:rsidR="00D27876" w:rsidRDefault="00D27876" w:rsidP="00D27876">
      <w:pPr>
        <w:spacing w:before="100" w:beforeAutospacing="1" w:after="100" w:afterAutospacing="1"/>
        <w:rPr>
          <w:b/>
          <w:bCs/>
        </w:rPr>
      </w:pPr>
      <w:r>
        <w:rPr>
          <w:b/>
          <w:bCs/>
        </w:rPr>
        <w:t>C</w:t>
      </w:r>
      <w:r w:rsidRPr="00762F09">
        <w:rPr>
          <w:b/>
          <w:bCs/>
        </w:rPr>
        <w:t xml:space="preserve">.  </w:t>
      </w:r>
      <w:r>
        <w:rPr>
          <w:b/>
          <w:bCs/>
        </w:rPr>
        <w:t xml:space="preserve">The </w:t>
      </w:r>
      <w:r w:rsidR="00EE511A">
        <w:rPr>
          <w:b/>
          <w:bCs/>
        </w:rPr>
        <w:t xml:space="preserve">Strategic </w:t>
      </w:r>
      <w:r w:rsidR="007068E5">
        <w:rPr>
          <w:b/>
          <w:bCs/>
        </w:rPr>
        <w:t xml:space="preserve">and Statutory </w:t>
      </w:r>
      <w:r>
        <w:rPr>
          <w:b/>
          <w:bCs/>
        </w:rPr>
        <w:t>Approach</w:t>
      </w:r>
    </w:p>
    <w:p w:rsidR="00CA5E59" w:rsidRDefault="00D27876" w:rsidP="00D27876">
      <w:pPr>
        <w:rPr>
          <w:bCs/>
        </w:rPr>
      </w:pPr>
      <w:r w:rsidRPr="00210FBC">
        <w:rPr>
          <w:bCs/>
        </w:rPr>
        <w:t xml:space="preserve">ATF protects our communities from violent crime and terrorism by investigating and preventing the illicit use of firearms and explosives.  </w:t>
      </w:r>
      <w:r w:rsidRPr="00AF7E9F">
        <w:rPr>
          <w:bCs/>
        </w:rPr>
        <w:t>The combined impact of</w:t>
      </w:r>
      <w:r>
        <w:rPr>
          <w:bCs/>
        </w:rPr>
        <w:t xml:space="preserve"> ATF’s</w:t>
      </w:r>
      <w:r w:rsidRPr="00210FBC">
        <w:rPr>
          <w:bCs/>
        </w:rPr>
        <w:t xml:space="preserve"> regulatory </w:t>
      </w:r>
      <w:r w:rsidRPr="00E436B2">
        <w:t>authorities</w:t>
      </w:r>
      <w:r w:rsidRPr="00210FBC">
        <w:rPr>
          <w:bCs/>
        </w:rPr>
        <w:t xml:space="preserve"> and investigative expertise makes ATF the preeminent agency for investigating firearms and </w:t>
      </w:r>
      <w:r w:rsidR="004E61C4">
        <w:rPr>
          <w:bCs/>
        </w:rPr>
        <w:t>e</w:t>
      </w:r>
      <w:r w:rsidRPr="00210FBC">
        <w:rPr>
          <w:bCs/>
        </w:rPr>
        <w:t>xplosives crimes.</w:t>
      </w:r>
      <w:r w:rsidR="004E61C4" w:rsidRPr="004E61C4">
        <w:rPr>
          <w:bCs/>
        </w:rPr>
        <w:t xml:space="preserve"> </w:t>
      </w:r>
      <w:r w:rsidR="006C7F18">
        <w:rPr>
          <w:bCs/>
        </w:rPr>
      </w:r>
      <w:r w:rsidR="006C7F18">
        <w:rPr>
          <w:bCs/>
        </w:rPr>
        <w:pict>
          <v:group id="_x0000_s1574" editas="canvas" alt="The graphic on page 3 displays ATF's policy environment which includes the legal statutes, the code of Federal Regulations, and memorandums of understanding with State and local law enforcement.  Additionally, the policy environment graphic highlights ATF's international cooperation with such partners as the UN, INTERPOL, EUROPOL and others. The environment includes policy guidance from Presidential directives, the Department's Strategic Plan, the National Response Plan and the National Response Framework." style="width:435.45pt;height:320.6pt;mso-position-horizontal-relative:char;mso-position-vertical-relative:line" coordsize="8709,64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75" type="#_x0000_t75" style="position:absolute;width:8709;height:6412" o:preferrelative="f">
              <v:fill o:detectmouseclick="t"/>
              <v:path o:extrusionok="t" o:connecttype="none"/>
              <o:lock v:ext="edit" text="t"/>
            </v:shape>
            <v:shape id="_x0000_s1576" style="position:absolute;left:5763;top:3629;width:320;height:867" coordsize="320,867" path="m,730r80,l80,,240,r,730l320,730,160,867,,730xe" fillcolor="black" stroked="f">
              <v:path arrowok="t"/>
            </v:shape>
            <v:shape id="_x0000_s1577" style="position:absolute;left:2296;top:3629;width:307;height:867" coordsize="307,867" path="m,735r77,l77,,231,r,735l307,735,154,867,,735xe" fillcolor="black" stroked="f">
              <v:path arrowok="t"/>
            </v:shape>
            <v:shape id="_x0000_s1578" style="position:absolute;left:4445;top:4353;width:3953;height:2054" coordsize="4944,2992" path="m,510l11,409hdc11,408,11,407,11,406hal40,314hdc41,313,41,312,41,311hal86,227hdc87,226,87,225,88,224hal149,151hdc150,150,150,150,151,149hal224,88hdc225,87,226,87,227,86hal311,41hdc312,41,313,41,314,40hal406,11hdc407,11,408,11,409,11hal509,1,4435,r102,11hdc4538,11,4539,11,4540,11hal4632,40hdc4633,41,4634,41,4635,41hal4719,86hdc4720,87,4721,87,4722,88hal4795,149hdc4795,150,4796,151,4797,151hal4857,224hdc4857,225,4858,226,4859,227hal4904,311hdc4904,312,4904,313,4905,314hal4934,406hdc4934,407,4934,408,4934,409hal4944,509r,1974l4934,2585hdc4934,2586,4934,2587,4934,2588hal4905,2680hdc4904,2681,4904,2682,4904,2683hal4859,2767hdc4858,2768,4857,2769,4857,2770hal4797,2843hdc4796,2843,4795,2844,4795,2845hal4722,2905hdc4721,2905,4720,2906,4719,2907hal4635,2952hdc4634,2952,4633,2952,4632,2953hal4540,2982hdc4539,2982,4538,2982,4537,2982hal4437,2992r-3927,l409,2982hdc408,2982,407,2982,406,2982hal314,2953hdc313,2952,312,2952,311,2952hal227,2907hdc226,2906,225,2905,224,2905hal151,2845hdc151,2844,150,2843,149,2843hal88,2770hdc87,2769,87,2768,86,2767hal41,2683hdc41,2682,41,2681,40,2680hal11,2588hdc11,2587,11,2586,11,2585hal1,2485,,510xm32,2482r10,100l42,2579r29,92l70,2668r45,84l113,2749r61,73l172,2820r73,60l242,2878r84,45l323,2922r92,29l412,2951r98,9l4434,2961r100,-10l4531,2951r92,-29l4620,2923r84,-45l4701,2880r73,-60l4772,2822r60,-73l4830,2752r45,-84l4874,2671r29,-92l4903,2582r9,-99l4913,512,4903,412r,3l4874,323r1,3l4830,242r2,3l4772,172r2,2l4701,113r3,2l4620,70r3,1l4531,42r3,l4435,32,512,32,412,42r3,l323,71r3,-1l242,115r3,-2l172,174r2,-2l113,245r2,-3l70,326r1,-3l42,415r,-3l32,510r,1972xe" fillcolor="black" strokeweight=".05pt">
              <v:path arrowok="t"/>
              <o:lock v:ext="edit" verticies="t"/>
            </v:shape>
            <v:rect id="_x0000_s1579" style="position:absolute;left:4641;top:4884;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580" style="position:absolute;left:4743;top:4862;width:2748;height:171;mso-wrap-style:none;v-text-anchor:top" filled="f" stroked="f">
              <v:textbox style="mso-fit-shape-to-text:t" inset="0,0,0,0">
                <w:txbxContent>
                  <w:p w:rsidR="0091746E" w:rsidRDefault="0091746E" w:rsidP="0000140E">
                    <w:r>
                      <w:rPr>
                        <w:rFonts w:ascii="Calibri" w:hAnsi="Calibri" w:cs="Calibri"/>
                        <w:color w:val="000000"/>
                        <w:sz w:val="14"/>
                        <w:szCs w:val="14"/>
                      </w:rPr>
                      <w:t>National Implementation Plan for War on Terror</w:t>
                    </w:r>
                  </w:p>
                </w:txbxContent>
              </v:textbox>
            </v:rect>
            <v:rect id="_x0000_s1581" style="position:absolute;left:4641;top:5059;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582" style="position:absolute;left:4743;top:5037;width:1267;height:171;mso-wrap-style:none;v-text-anchor:top" filled="f" stroked="f">
              <v:textbox style="mso-fit-shape-to-text:t" inset="0,0,0,0">
                <w:txbxContent>
                  <w:p w:rsidR="0091746E" w:rsidRDefault="0091746E" w:rsidP="0000140E">
                    <w:r>
                      <w:rPr>
                        <w:rFonts w:ascii="Calibri" w:hAnsi="Calibri" w:cs="Calibri"/>
                        <w:color w:val="000000"/>
                        <w:sz w:val="14"/>
                        <w:szCs w:val="14"/>
                      </w:rPr>
                      <w:t>Presidential Directives</w:t>
                    </w:r>
                  </w:p>
                </w:txbxContent>
              </v:textbox>
            </v:rect>
            <v:rect id="_x0000_s1583" style="position:absolute;left:4846;top:5197;width:43;height:171;mso-wrap-style:none;v-text-anchor:top" filled="f" stroked="f">
              <v:textbox style="mso-fit-shape-to-text:t" inset="0,0,0,0">
                <w:txbxContent>
                  <w:p w:rsidR="0091746E" w:rsidRDefault="0091746E" w:rsidP="0000140E">
                    <w:r>
                      <w:rPr>
                        <w:rFonts w:ascii="Calibri" w:hAnsi="Calibri" w:cs="Calibri"/>
                        <w:color w:val="000000"/>
                        <w:sz w:val="14"/>
                        <w:szCs w:val="14"/>
                      </w:rPr>
                      <w:t>-</w:t>
                    </w:r>
                  </w:p>
                </w:txbxContent>
              </v:textbox>
            </v:rect>
            <v:rect id="_x0000_s1584" style="position:absolute;left:4922;top:5197;width:311;height:171;mso-wrap-style:none;v-text-anchor:top" filled="f" stroked="f">
              <v:textbox style="mso-fit-shape-to-text:t" inset="0,0,0,0">
                <w:txbxContent>
                  <w:p w:rsidR="0091746E" w:rsidRDefault="0091746E" w:rsidP="0000140E">
                    <w:r>
                      <w:rPr>
                        <w:rFonts w:ascii="Calibri" w:hAnsi="Calibri" w:cs="Calibri"/>
                        <w:color w:val="000000"/>
                        <w:sz w:val="14"/>
                        <w:szCs w:val="14"/>
                      </w:rPr>
                      <w:t>HSPD</w:t>
                    </w:r>
                  </w:p>
                </w:txbxContent>
              </v:textbox>
            </v:rect>
            <v:rect id="_x0000_s1585" style="position:absolute;left:5293;top:5197;width:43;height:171;mso-wrap-style:none;v-text-anchor:top" filled="f" stroked="f">
              <v:textbox style="mso-fit-shape-to-text:t" inset="0,0,0,0">
                <w:txbxContent>
                  <w:p w:rsidR="0091746E" w:rsidRDefault="0091746E" w:rsidP="0000140E">
                    <w:r>
                      <w:rPr>
                        <w:rFonts w:ascii="Calibri" w:hAnsi="Calibri" w:cs="Calibri"/>
                        <w:color w:val="000000"/>
                        <w:sz w:val="14"/>
                        <w:szCs w:val="14"/>
                      </w:rPr>
                      <w:t>-</w:t>
                    </w:r>
                  </w:p>
                </w:txbxContent>
              </v:textbox>
            </v:rect>
            <v:rect id="_x0000_s1586" style="position:absolute;left:5345;top:5197;width:2132;height:171;mso-wrap-style:none;v-text-anchor:top" filled="f" stroked="f">
              <v:textbox style="mso-fit-shape-to-text:t" inset="0,0,0,0">
                <w:txbxContent>
                  <w:p w:rsidR="0091746E" w:rsidRDefault="0091746E" w:rsidP="0000140E">
                    <w:r>
                      <w:rPr>
                        <w:rFonts w:ascii="Calibri" w:hAnsi="Calibri" w:cs="Calibri"/>
                        <w:color w:val="000000"/>
                        <w:sz w:val="14"/>
                        <w:szCs w:val="14"/>
                      </w:rPr>
                      <w:t>5 Management of Domestic Incidents</w:t>
                    </w:r>
                  </w:p>
                </w:txbxContent>
              </v:textbox>
            </v:rect>
            <v:rect id="_x0000_s1587" style="position:absolute;left:4846;top:5373;width:43;height:171;mso-wrap-style:none;v-text-anchor:top" filled="f" stroked="f">
              <v:textbox style="mso-fit-shape-to-text:t" inset="0,0,0,0">
                <w:txbxContent>
                  <w:p w:rsidR="0091746E" w:rsidRDefault="0091746E" w:rsidP="0000140E">
                    <w:r>
                      <w:rPr>
                        <w:rFonts w:ascii="Calibri" w:hAnsi="Calibri" w:cs="Calibri"/>
                        <w:color w:val="000000"/>
                        <w:sz w:val="14"/>
                        <w:szCs w:val="14"/>
                      </w:rPr>
                      <w:t>-</w:t>
                    </w:r>
                  </w:p>
                </w:txbxContent>
              </v:textbox>
            </v:rect>
            <v:rect id="_x0000_s1588" style="position:absolute;left:4922;top:5373;width:311;height:171;mso-wrap-style:none;v-text-anchor:top" filled="f" stroked="f">
              <v:textbox style="mso-fit-shape-to-text:t" inset="0,0,0,0">
                <w:txbxContent>
                  <w:p w:rsidR="0091746E" w:rsidRDefault="0091746E" w:rsidP="0000140E">
                    <w:r>
                      <w:rPr>
                        <w:rFonts w:ascii="Calibri" w:hAnsi="Calibri" w:cs="Calibri"/>
                        <w:color w:val="000000"/>
                        <w:sz w:val="14"/>
                        <w:szCs w:val="14"/>
                      </w:rPr>
                      <w:t>HSPD</w:t>
                    </w:r>
                  </w:p>
                </w:txbxContent>
              </v:textbox>
            </v:rect>
            <v:rect id="_x0000_s1589" style="position:absolute;left:5293;top:5373;width:43;height:171;mso-wrap-style:none;v-text-anchor:top" filled="f" stroked="f">
              <v:textbox style="mso-fit-shape-to-text:t" inset="0,0,0,0">
                <w:txbxContent>
                  <w:p w:rsidR="0091746E" w:rsidRDefault="0091746E" w:rsidP="0000140E">
                    <w:r>
                      <w:rPr>
                        <w:rFonts w:ascii="Calibri" w:hAnsi="Calibri" w:cs="Calibri"/>
                        <w:color w:val="000000"/>
                        <w:sz w:val="14"/>
                        <w:szCs w:val="14"/>
                      </w:rPr>
                      <w:t>-</w:t>
                    </w:r>
                  </w:p>
                </w:txbxContent>
              </v:textbox>
            </v:rect>
            <v:rect id="_x0000_s1590" style="position:absolute;left:5345;top:5373;width:2381;height:171;mso-wrap-style:none;v-text-anchor:top" filled="f" stroked="f">
              <v:textbox style="mso-fit-shape-to-text:t" inset="0,0,0,0">
                <w:txbxContent>
                  <w:p w:rsidR="0091746E" w:rsidRDefault="0091746E" w:rsidP="0000140E">
                    <w:r>
                      <w:rPr>
                        <w:rFonts w:ascii="Calibri" w:hAnsi="Calibri" w:cs="Calibri"/>
                        <w:color w:val="000000"/>
                        <w:sz w:val="14"/>
                        <w:szCs w:val="14"/>
                      </w:rPr>
                      <w:t>19 Combating Terrorists Use of Explosives</w:t>
                    </w:r>
                  </w:p>
                </w:txbxContent>
              </v:textbox>
            </v:rect>
            <v:rect id="_x0000_s1591" style="position:absolute;left:4846;top:5549;width:43;height:171;mso-wrap-style:none;v-text-anchor:top" filled="f" stroked="f">
              <v:textbox style="mso-fit-shape-to-text:t" inset="0,0,0,0">
                <w:txbxContent>
                  <w:p w:rsidR="0091746E" w:rsidRDefault="0091746E" w:rsidP="0000140E">
                    <w:r>
                      <w:rPr>
                        <w:rFonts w:ascii="Calibri" w:hAnsi="Calibri" w:cs="Calibri"/>
                        <w:color w:val="000000"/>
                        <w:sz w:val="14"/>
                        <w:szCs w:val="14"/>
                      </w:rPr>
                      <w:t>-</w:t>
                    </w:r>
                  </w:p>
                </w:txbxContent>
              </v:textbox>
            </v:rect>
            <v:rect id="_x0000_s1592" style="position:absolute;left:4922;top:5549;width:231;height:171;mso-wrap-style:none;v-text-anchor:top" filled="f" stroked="f">
              <v:textbox style="mso-fit-shape-to-text:t" inset="0,0,0,0">
                <w:txbxContent>
                  <w:p w:rsidR="0091746E" w:rsidRDefault="0091746E" w:rsidP="0000140E">
                    <w:r>
                      <w:rPr>
                        <w:rFonts w:ascii="Calibri" w:hAnsi="Calibri" w:cs="Calibri"/>
                        <w:color w:val="000000"/>
                        <w:sz w:val="14"/>
                        <w:szCs w:val="14"/>
                      </w:rPr>
                      <w:t>PPD</w:t>
                    </w:r>
                  </w:p>
                </w:txbxContent>
              </v:textbox>
            </v:rect>
            <v:rect id="_x0000_s1593" style="position:absolute;left:5204;top:5549;width:43;height:171;mso-wrap-style:none;v-text-anchor:top" filled="f" stroked="f">
              <v:textbox style="mso-fit-shape-to-text:t" inset="0,0,0,0">
                <w:txbxContent>
                  <w:p w:rsidR="0091746E" w:rsidRDefault="0091746E" w:rsidP="0000140E">
                    <w:r>
                      <w:rPr>
                        <w:rFonts w:ascii="Calibri" w:hAnsi="Calibri" w:cs="Calibri"/>
                        <w:color w:val="000000"/>
                        <w:sz w:val="14"/>
                        <w:szCs w:val="14"/>
                      </w:rPr>
                      <w:t>-</w:t>
                    </w:r>
                  </w:p>
                </w:txbxContent>
              </v:textbox>
            </v:rect>
            <v:rect id="_x0000_s1594" style="position:absolute;left:5255;top:5549;width:1714;height:171;mso-wrap-style:none;v-text-anchor:top" filled="f" stroked="f">
              <v:textbox style="mso-fit-shape-to-text:t" inset="0,0,0,0">
                <w:txbxContent>
                  <w:p w:rsidR="0091746E" w:rsidRDefault="0091746E" w:rsidP="0000140E">
                    <w:r>
                      <w:rPr>
                        <w:rFonts w:ascii="Calibri" w:hAnsi="Calibri" w:cs="Calibri"/>
                        <w:color w:val="000000"/>
                        <w:sz w:val="14"/>
                        <w:szCs w:val="14"/>
                      </w:rPr>
                      <w:t>39 Policy on Counterterrorism</w:t>
                    </w:r>
                  </w:p>
                </w:txbxContent>
              </v:textbox>
            </v:rect>
            <v:rect id="_x0000_s1595" style="position:absolute;left:4641;top:5795;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596" style="position:absolute;left:4743;top:5773;width:1033;height:171;mso-wrap-style:none;v-text-anchor:top" filled="f" stroked="f">
              <v:textbox style="mso-fit-shape-to-text:t" inset="0,0,0,0">
                <w:txbxContent>
                  <w:p w:rsidR="0091746E" w:rsidRDefault="0091746E" w:rsidP="0000140E">
                    <w:r>
                      <w:rPr>
                        <w:rFonts w:ascii="Calibri" w:hAnsi="Calibri" w:cs="Calibri"/>
                        <w:color w:val="000000"/>
                        <w:sz w:val="14"/>
                        <w:szCs w:val="14"/>
                      </w:rPr>
                      <w:t>DOJ Strategic Plan</w:t>
                    </w:r>
                  </w:p>
                </w:txbxContent>
              </v:textbox>
            </v:rect>
            <v:rect id="_x0000_s1597" style="position:absolute;left:4641;top:5970;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598" style="position:absolute;left:4743;top:5948;width:1338;height:171;mso-wrap-style:none;v-text-anchor:top" filled="f" stroked="f">
              <v:textbox style="mso-fit-shape-to-text:t" inset="0,0,0,0">
                <w:txbxContent>
                  <w:p w:rsidR="0091746E" w:rsidRDefault="0091746E" w:rsidP="0000140E">
                    <w:r>
                      <w:rPr>
                        <w:rFonts w:ascii="Calibri" w:hAnsi="Calibri" w:cs="Calibri"/>
                        <w:color w:val="000000"/>
                        <w:sz w:val="14"/>
                        <w:szCs w:val="14"/>
                      </w:rPr>
                      <w:t>National Response Plan</w:t>
                    </w:r>
                  </w:p>
                </w:txbxContent>
              </v:textbox>
            </v:rect>
            <v:rect id="_x0000_s1599" style="position:absolute;left:4641;top:6146;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00" style="position:absolute;left:4743;top:6124;width:1741;height:171;mso-wrap-style:none;v-text-anchor:top" filled="f" stroked="f">
              <v:textbox style="mso-fit-shape-to-text:t" inset="0,0,0,0">
                <w:txbxContent>
                  <w:p w:rsidR="0091746E" w:rsidRDefault="0091746E" w:rsidP="0000140E">
                    <w:r>
                      <w:rPr>
                        <w:rFonts w:ascii="Calibri" w:hAnsi="Calibri" w:cs="Calibri"/>
                        <w:color w:val="000000"/>
                        <w:sz w:val="14"/>
                        <w:szCs w:val="14"/>
                      </w:rPr>
                      <w:t>National Response Framework</w:t>
                    </w:r>
                  </w:p>
                </w:txbxContent>
              </v:textbox>
            </v:rect>
            <v:shape id="_x0000_s1601" style="position:absolute;left:4458;top:4364;width:3927;height:396" coordsize="4912,576" path="m,96hdc,43,43,,96,v,,,,,hal96,,4816,r,hdc4869,,4912,43,4912,96v,,,,,hal4912,96r,384l4912,480hdc4912,533,4869,576,4816,576v,,,,,hal4816,576,96,576r,hdc43,576,,533,,480v,,,,,hal,96hdxe" fillcolor="black" strokeweight="0">
              <v:path arrowok="t"/>
            </v:shape>
            <v:shape id="_x0000_s1602" style="position:absolute;left:4445;top:4353;width:3953;height:418" coordsize="4944,608" path="m,112hdc,111,1,110,1,109hal9,72hdc9,70,10,68,11,67hal31,36hdc32,34,34,32,36,31hal67,11hdc68,10,70,9,72,9hal109,1hdc110,1,111,,112,hal4832,hdc4834,,4835,1,4836,1hal4873,9hdc4875,9,4877,10,4878,11hal4909,31hdc4911,32,4913,34,4914,36hal4934,67hdc4935,68,4936,70,4936,72hal4944,109hdc4944,110,4944,111,4944,112hal4944,496hdc4944,498,4944,499,4944,500hal4936,537hdc4936,539,4935,541,4934,542hal4914,573hdc4913,575,4911,577,4909,578hal4878,598hdc4877,599,4875,600,4873,600hal4836,608hdc4835,608,4834,608,4832,608hal112,608hdc111,608,110,608,109,608hal72,600hdc70,600,68,599,67,598hal36,578hdc34,577,32,575,31,573hal11,542hdc10,541,9,539,9,537hal1,500hdc1,499,,498,,496hal,112hdxm32,496hal32,493r8,37l38,525r20,31l53,551r31,20l79,569r37,8l112,576r4720,l4829,577r37,-8l4861,571r31,-20l4887,556r20,-31l4905,530r8,-37l4912,496r,-384l4913,116r-8,-37l4907,84,4887,53r5,5l4861,38r5,2l4829,32r3,l112,32r4,l79,40r5,-2l53,58r5,-5l38,84r2,-5l32,116r,-4l32,496hdxe" fillcolor="black" strokeweight=".05pt">
              <v:path arrowok="t"/>
              <o:lock v:ext="edit" verticies="t"/>
            </v:shape>
            <v:rect id="_x0000_s1603" style="position:absolute;left:5500;top:4408;width:1529;height:244;mso-wrap-style:none;v-text-anchor:top" filled="f" stroked="f">
              <v:textbox style="mso-fit-shape-to-text:t" inset="0,0,0,0">
                <w:txbxContent>
                  <w:p w:rsidR="0091746E" w:rsidRDefault="0091746E" w:rsidP="0000140E">
                    <w:r>
                      <w:rPr>
                        <w:rFonts w:ascii="Calibri" w:hAnsi="Calibri" w:cs="Calibri"/>
                        <w:b/>
                        <w:bCs/>
                        <w:color w:val="FFFFFF"/>
                        <w:sz w:val="20"/>
                        <w:szCs w:val="20"/>
                      </w:rPr>
                      <w:t>POLICY GUIDANCE</w:t>
                    </w:r>
                  </w:p>
                </w:txbxContent>
              </v:textbox>
            </v:rect>
            <v:shape id="_x0000_s1604" style="position:absolute;left:2232;top:16;width:3940;height:2185" coordsize="4928,3184" path="m,542l12,435hdc12,434,12,433,12,432hal42,333hdc42,332,43,331,43,330hal92,241hdc93,240,93,239,94,238hal158,160hdc159,160,160,159,160,158hal238,94hdc239,93,240,93,241,92hal330,43hdc331,43,332,42,333,42hal432,12hdc433,12,434,12,435,12hal541,1,4387,r108,12hdc4496,12,4497,12,4498,12hal4596,42hdc4597,42,4598,43,4599,43hal4689,92hdc4690,93,4691,93,4692,94hal4769,158hdc4769,159,4770,160,4771,160hal4835,238hdc4835,239,4836,240,4836,241hal4885,330hdc4886,331,4886,332,4887,333hal4917,432hdc4917,433,4917,434,4917,435hal4928,541r,2102l4917,2751hdc4917,2752,4917,2753,4917,2754hal4887,2852hdc4886,2853,4886,2854,4886,2855hal4837,2945hdc4836,2946,4835,2947,4835,2948hal4771,3025hdc4770,3025,4769,3026,4769,3027hal4692,3091hdc4691,3091,4690,3092,4689,3093hal4599,3142hdc4598,3142,4597,3142,4596,3143hal4498,3173hdc4497,3173,4496,3173,4495,3173hal4389,3184r-3847,l435,3173hdc434,3173,433,3173,432,3173hal333,3143hdc332,3142,331,3142,330,3141hal241,3092hdc240,3092,239,3091,238,3091hal160,3027hdc160,3026,159,3025,158,3025hal94,2948hdc93,2947,93,2946,92,2945hal43,2855hdc43,2854,42,2853,42,2852hal12,2754hdc12,2753,12,2752,12,2751hal1,2645,,542xm32,2642r11,106l43,2745r30,98l72,2840r49,90l119,2927r64,77l181,3002r78,64l256,3064r89,49l342,3112r99,30l438,3142r104,10l4386,3153r106,-11l4489,3142r98,-30l4584,3113r90,-49l4671,3066r77,-64l4746,3004r64,-77l4808,2930r49,-90l4856,2843r30,-98l4886,2748r10,-105l4897,544,4886,438r,3l4856,342r1,3l4808,256r2,3l4746,181r2,2l4671,119r3,2l4584,72r3,1l4489,43r3,l4387,32,544,32,438,43r3,l342,73r3,-2l256,120r3,-1l181,183r2,-2l119,259r1,-3l71,345r2,-3l43,441r,-3l32,542r,2100xe" fillcolor="black" strokeweight=".05pt">
              <v:path arrowok="t"/>
              <o:lock v:ext="edit" verticies="t"/>
            </v:shape>
            <v:rect id="_x0000_s1605" style="position:absolute;left:2526;top:524;width:910;height:171;mso-wrap-style:none;v-text-anchor:top" filled="f" stroked="f">
              <v:textbox style="mso-fit-shape-to-text:t" inset="0,0,0,0">
                <w:txbxContent>
                  <w:p w:rsidR="0091746E" w:rsidRDefault="0091746E" w:rsidP="0000140E">
                    <w:r>
                      <w:rPr>
                        <w:rFonts w:ascii="Calibri" w:hAnsi="Calibri" w:cs="Calibri"/>
                        <w:color w:val="000000"/>
                        <w:sz w:val="14"/>
                        <w:szCs w:val="14"/>
                      </w:rPr>
                      <w:t>Gun Control Act</w:t>
                    </w:r>
                  </w:p>
                </w:txbxContent>
              </v:textbox>
            </v:rect>
            <v:rect id="_x0000_s1606" style="position:absolute;left:2526;top:699;width:1231;height:171;mso-wrap-style:none;v-text-anchor:top" filled="f" stroked="f">
              <v:textbox style="mso-fit-shape-to-text:t" inset="0,0,0,0">
                <w:txbxContent>
                  <w:p w:rsidR="0091746E" w:rsidRDefault="0091746E" w:rsidP="0000140E">
                    <w:r>
                      <w:rPr>
                        <w:rFonts w:ascii="Calibri" w:hAnsi="Calibri" w:cs="Calibri"/>
                        <w:color w:val="000000"/>
                        <w:sz w:val="14"/>
                        <w:szCs w:val="14"/>
                      </w:rPr>
                      <w:t>National Firearms Act</w:t>
                    </w:r>
                  </w:p>
                </w:txbxContent>
              </v:textbox>
            </v:rect>
            <v:rect id="_x0000_s1607" style="position:absolute;left:2526;top:875;width:1375;height:171;mso-wrap-style:none;v-text-anchor:top" filled="f" stroked="f">
              <v:textbox style="mso-fit-shape-to-text:t" inset="0,0,0,0">
                <w:txbxContent>
                  <w:p w:rsidR="0091746E" w:rsidRDefault="0091746E" w:rsidP="0000140E">
                    <w:r>
                      <w:rPr>
                        <w:rFonts w:ascii="Calibri" w:hAnsi="Calibri" w:cs="Calibri"/>
                        <w:color w:val="000000"/>
                        <w:sz w:val="14"/>
                        <w:szCs w:val="14"/>
                      </w:rPr>
                      <w:t>Arms Export Control Act</w:t>
                    </w:r>
                  </w:p>
                </w:txbxContent>
              </v:textbox>
            </v:rect>
            <v:rect id="_x0000_s1608" style="position:absolute;left:2526;top:1051;width:2876;height:171;mso-wrap-style:none;v-text-anchor:top" filled="f" stroked="f">
              <v:textbox style="mso-fit-shape-to-text:t" inset="0,0,0,0">
                <w:txbxContent>
                  <w:p w:rsidR="0091746E" w:rsidRDefault="0091746E" w:rsidP="0000140E">
                    <w:r>
                      <w:rPr>
                        <w:rFonts w:ascii="Calibri" w:hAnsi="Calibri" w:cs="Calibri"/>
                        <w:color w:val="000000"/>
                        <w:sz w:val="14"/>
                        <w:szCs w:val="14"/>
                      </w:rPr>
                      <w:t>Title XI of the Organized Crime Control Act of 1970</w:t>
                    </w:r>
                  </w:p>
                </w:txbxContent>
              </v:textbox>
            </v:rect>
            <v:rect id="_x0000_s1609" style="position:absolute;left:2526;top:1226;width:1932;height:171;mso-wrap-style:none;v-text-anchor:top" filled="f" stroked="f">
              <v:textbox style="mso-fit-shape-to-text:t" inset="0,0,0,0">
                <w:txbxContent>
                  <w:p w:rsidR="0091746E" w:rsidRDefault="0091746E" w:rsidP="0000140E">
                    <w:r>
                      <w:rPr>
                        <w:rFonts w:ascii="Calibri" w:hAnsi="Calibri" w:cs="Calibri"/>
                        <w:color w:val="000000"/>
                        <w:sz w:val="14"/>
                        <w:szCs w:val="14"/>
                      </w:rPr>
                      <w:t>(including the Safe Explosives Act)</w:t>
                    </w:r>
                  </w:p>
                </w:txbxContent>
              </v:textbox>
            </v:rect>
            <v:rect id="_x0000_s1610" style="position:absolute;left:2526;top:1402;width:631;height:171;mso-wrap-style:none;v-text-anchor:top" filled="f" stroked="f">
              <v:textbox style="mso-fit-shape-to-text:t" inset="0,0,0,0">
                <w:txbxContent>
                  <w:p w:rsidR="0091746E" w:rsidRDefault="0091746E" w:rsidP="0000140E">
                    <w:r>
                      <w:rPr>
                        <w:rFonts w:ascii="Calibri" w:hAnsi="Calibri" w:cs="Calibri"/>
                        <w:color w:val="000000"/>
                        <w:sz w:val="14"/>
                        <w:szCs w:val="14"/>
                      </w:rPr>
                      <w:t>Jenkins Act</w:t>
                    </w:r>
                  </w:p>
                </w:txbxContent>
              </v:textbox>
            </v:rect>
            <v:rect id="_x0000_s1611" style="position:absolute;left:2526;top:1578;width:2478;height:171;mso-wrap-style:none;v-text-anchor:top" filled="f" stroked="f">
              <v:textbox style="mso-fit-shape-to-text:t" inset="0,0,0,0">
                <w:txbxContent>
                  <w:p w:rsidR="0091746E" w:rsidRDefault="0091746E" w:rsidP="0000140E">
                    <w:r>
                      <w:rPr>
                        <w:rFonts w:ascii="Calibri" w:hAnsi="Calibri" w:cs="Calibri"/>
                        <w:color w:val="000000"/>
                        <w:sz w:val="14"/>
                        <w:szCs w:val="14"/>
                      </w:rPr>
                      <w:t>Additional Parts of the U.S. Code relating to</w:t>
                    </w:r>
                  </w:p>
                </w:txbxContent>
              </v:textbox>
            </v:rect>
            <v:rect id="_x0000_s1612" style="position:absolute;left:2526;top:1753;width:2315;height:171;mso-wrap-style:none;v-text-anchor:top" filled="f" stroked="f">
              <v:textbox style="mso-fit-shape-to-text:t" inset="0,0,0,0">
                <w:txbxContent>
                  <w:p w:rsidR="0091746E" w:rsidRDefault="0091746E" w:rsidP="0000140E">
                    <w:r>
                      <w:rPr>
                        <w:rFonts w:ascii="Calibri" w:hAnsi="Calibri" w:cs="Calibri"/>
                        <w:color w:val="000000"/>
                        <w:sz w:val="14"/>
                        <w:szCs w:val="14"/>
                      </w:rPr>
                      <w:t>explosives, liquor trafficking, contraband</w:t>
                    </w:r>
                  </w:p>
                </w:txbxContent>
              </v:textbox>
            </v:rect>
            <v:rect id="_x0000_s1613" style="position:absolute;left:2526;top:1929;width:1908;height:171;mso-wrap-style:none;v-text-anchor:top" filled="f" stroked="f">
              <v:textbox style="mso-fit-shape-to-text:t" inset="0,0,0,0">
                <w:txbxContent>
                  <w:p w:rsidR="0091746E" w:rsidRDefault="0091746E" w:rsidP="0000140E">
                    <w:r>
                      <w:rPr>
                        <w:rFonts w:ascii="Calibri" w:hAnsi="Calibri" w:cs="Calibri"/>
                        <w:color w:val="000000"/>
                        <w:sz w:val="14"/>
                        <w:szCs w:val="14"/>
                      </w:rPr>
                      <w:t>cigarettes, and money laundering</w:t>
                    </w:r>
                  </w:p>
                </w:txbxContent>
              </v:textbox>
            </v:rect>
            <v:shape id="_x0000_s1614" style="position:absolute;left:2245;top:27;width:3915;height:396" coordsize="4896,576" path="m,96hdc,43,43,,96,v,,,,,hal96,,4800,r,hdc4853,,4896,43,4896,96v,,,,,hal4896,96r,384l4896,480hdc4896,533,4853,576,4800,576v,,,,,hal4800,576,96,576r,hdc43,576,,533,,480v,,,,,hal,96hdxe" fillcolor="black" strokeweight="0">
              <v:path arrowok="t"/>
            </v:shape>
            <v:shape id="_x0000_s1615" style="position:absolute;left:2232;top:16;width:3940;height:418" coordsize="4928,608" path="m,112hdc,111,1,110,1,109hal9,72hdc9,70,10,68,11,67hal31,36hdc32,34,34,32,36,31hal67,11hdc68,10,70,9,72,9hal109,1hdc110,1,111,,112,hal4816,hdc4818,,4819,1,4820,1hal4857,9hdc4859,9,4861,10,4862,11hal4893,31hdc4895,32,4897,34,4898,36hal4918,67hdc4919,68,4920,70,4920,72hal4928,109hdc4928,110,4928,111,4928,112hal4928,496hdc4928,498,4928,499,4928,500hal4920,537hdc4920,539,4919,541,4918,542hal4898,573hdc4897,575,4895,577,4893,578hal4862,598hdc4861,599,4859,600,4857,600hal4820,608hdc4819,608,4818,608,4816,608hal112,608hdc111,608,110,608,109,608hal72,600hdc70,600,68,599,67,598hal36,578hdc34,577,32,575,31,573hal11,542hdc10,541,9,539,9,537hal1,500hdc1,499,,498,,496hal,112hdxm32,496hal32,493r8,37l38,525r20,31l53,551r31,20l79,569r37,8l112,576r4704,l4813,577r37,-8l4845,571r31,-20l4871,556r20,-31l4889,530r8,-37l4896,496r,-384l4897,116r-8,-37l4891,84,4871,53r5,5l4845,38r5,2l4813,32r3,l112,32r4,l79,40r5,-2l53,58r5,-5l38,84r2,-5l32,116r,-4l32,496hdxe" fillcolor="black" strokeweight=".05pt">
              <v:path arrowok="t"/>
              <o:lock v:ext="edit" verticies="t"/>
            </v:shape>
            <v:rect id="_x0000_s1616" style="position:absolute;left:3717;top:70;width:836;height:244;mso-wrap-style:none;v-text-anchor:top" filled="f" stroked="f">
              <v:textbox style="mso-fit-shape-to-text:t" inset="0,0,0,0">
                <w:txbxContent>
                  <w:p w:rsidR="0091746E" w:rsidRDefault="0091746E" w:rsidP="0000140E">
                    <w:r>
                      <w:rPr>
                        <w:rFonts w:ascii="Calibri" w:hAnsi="Calibri" w:cs="Calibri"/>
                        <w:b/>
                        <w:bCs/>
                        <w:color w:val="FFFFFF"/>
                        <w:sz w:val="20"/>
                        <w:szCs w:val="20"/>
                      </w:rPr>
                      <w:t>STATUTES</w:t>
                    </w:r>
                  </w:p>
                </w:txbxContent>
              </v:textbox>
            </v:rect>
            <v:rect id="_x0000_s1617" style="position:absolute;left:2378;top:551;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18" style="position:absolute;left:2378;top:727;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19" style="position:absolute;left:2378;top:903;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20" style="position:absolute;left:2378;top:1078;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21" style="position:absolute;left:2384;top:1431;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22" style="position:absolute;left:2384;top:1607;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shape id="_x0000_s1623" style="position:absolute;left:6;top:4353;width:3953;height:2054" coordsize="4944,2992" path="m,510l11,409hdc11,408,11,407,11,406hal40,314hdc41,313,41,312,41,311hal86,227hdc87,226,87,225,88,224hal149,151hdc150,150,150,150,151,149hal224,88hdc225,87,226,87,227,86hal311,41hdc312,41,313,41,314,40hal406,11hdc407,11,408,11,409,11hal509,1,4435,r102,11hdc4538,11,4539,11,4540,11hal4632,40hdc4633,41,4634,41,4635,41hal4719,86hdc4720,87,4721,87,4722,88hal4795,149hdc4795,150,4796,151,4797,151hal4857,224hdc4857,225,4858,226,4859,227hal4904,311hdc4904,312,4904,313,4905,314hal4934,406hdc4934,407,4934,408,4934,409hal4944,509r,1974l4934,2585hdc4934,2586,4934,2587,4934,2588hal4905,2680hdc4904,2681,4904,2682,4904,2683hal4859,2767hdc4858,2768,4857,2769,4857,2770hal4797,2843hdc4796,2843,4795,2844,4795,2845hal4722,2905hdc4721,2905,4720,2906,4719,2907hal4635,2952hdc4634,2952,4633,2952,4632,2953hal4540,2982hdc4539,2982,4538,2982,4537,2982hal4437,2992r-3927,l409,2982hdc408,2982,407,2982,406,2982hal314,2953hdc313,2952,312,2952,311,2952hal227,2907hdc226,2906,225,2905,224,2905hal151,2845hdc151,2844,150,2843,149,2843hal88,2770hdc87,2769,87,2768,86,2767hal41,2683hdc41,2682,41,2681,40,2680hal11,2588hdc11,2587,11,2586,11,2585hal1,2485,,510xm32,2482r10,100l42,2579r29,92l70,2668r45,84l113,2749r61,73l172,2820r73,60l242,2878r84,45l323,2922r92,29l412,2951r98,9l4434,2961r100,-10l4531,2951r92,-29l4620,2923r84,-45l4701,2880r73,-60l4772,2822r60,-73l4830,2752r45,-84l4874,2671r29,-92l4903,2582r9,-99l4913,512,4903,412r,3l4874,323r1,3l4830,242r2,3l4772,172r2,2l4701,113r3,2l4620,70r3,1l4531,42r3,l4435,32,512,32,412,42r3,l323,71r3,-1l242,115r3,-2l172,174r2,-2l113,245r2,-3l70,326r1,-3l42,415r,-3l32,510r,1972xe" fillcolor="black" strokeweight=".05pt">
              <v:path arrowok="t"/>
              <o:lock v:ext="edit" verticies="t"/>
            </v:shape>
            <v:shape id="_x0000_s1624" style="position:absolute;left:19;top:4364;width:3927;height:396" coordsize="4912,576" path="m,96hdc,43,43,,96,v,,,,,hal96,,4816,r,hdc4869,,4912,43,4912,96v,,,,,hal4912,96r,384l4912,480hdc4912,533,4869,576,4816,576v,,,,,hal4816,576,96,576r,hdc43,576,,533,,480v,,,,,hal,96hdxe" fillcolor="black" strokeweight="0">
              <v:path arrowok="t"/>
            </v:shape>
            <v:shape id="_x0000_s1625" style="position:absolute;left:6;top:4353;width:3953;height:418" coordsize="4944,608" path="m,112hdc,111,1,110,1,109hal9,72hdc9,70,10,68,11,67hal31,36hdc32,34,34,32,36,31hal67,11hdc68,10,70,9,72,9hal109,1hdc110,1,111,,112,hal4832,hdc4834,,4835,1,4836,1hal4873,9hdc4875,9,4877,10,4878,11hal4909,31hdc4911,32,4913,34,4914,36hal4934,67hdc4935,68,4936,70,4936,72hal4944,109hdc4944,110,4944,111,4944,112hal4944,496hdc4944,498,4944,499,4944,500hal4936,537hdc4936,539,4935,541,4934,542hal4914,573hdc4913,575,4911,577,4909,578hal4878,598hdc4877,599,4875,600,4873,600hal4836,608hdc4835,608,4834,608,4832,608hal112,608hdc111,608,110,608,109,608hal72,600hdc70,600,68,599,67,598hal36,578hdc34,577,32,575,31,573hal11,542hdc10,541,9,539,9,537hal1,500hdc1,499,,498,,496hal,112hdxm32,496hal32,493r8,37l38,525r20,31l53,551r31,20l79,569r37,8l112,576r4720,l4829,577r37,-8l4861,571r31,-20l4887,556r20,-31l4905,530r8,-37l4912,496r,-384l4913,116r-8,-37l4907,84,4887,53r5,5l4861,38r5,2l4829,32r3,l112,32r4,l79,40r5,-2l53,58r5,-5l38,84r2,-5l32,116r,-4l32,496hdxe" fillcolor="black" strokeweight=".05pt">
              <v:path arrowok="t"/>
              <o:lock v:ext="edit" verticies="t"/>
            </v:shape>
            <v:rect id="_x0000_s1626" style="position:absolute;left:399;top:4407;width:2651;height:244;mso-wrap-style:none;v-text-anchor:top" filled="f" stroked="f">
              <v:textbox style="mso-fit-shape-to-text:t" inset="0,0,0,0">
                <w:txbxContent>
                  <w:p w:rsidR="0091746E" w:rsidRDefault="0091746E" w:rsidP="0000140E">
                    <w:r>
                      <w:rPr>
                        <w:rFonts w:ascii="Calibri" w:hAnsi="Calibri" w:cs="Calibri"/>
                        <w:b/>
                        <w:bCs/>
                        <w:color w:val="FFFFFF"/>
                        <w:sz w:val="20"/>
                        <w:szCs w:val="20"/>
                      </w:rPr>
                      <w:t>INTERNATIONAL COOPERATION</w:t>
                    </w:r>
                  </w:p>
                </w:txbxContent>
              </v:textbox>
            </v:rect>
            <v:rect id="_x0000_s1627" style="position:absolute;left:276;top:4861;width:160;height:171;mso-wrap-style:none;v-text-anchor:top" filled="f" stroked="f">
              <v:textbox style="mso-fit-shape-to-text:t" inset="0,0,0,0">
                <w:txbxContent>
                  <w:p w:rsidR="0091746E" w:rsidRDefault="0091746E" w:rsidP="0000140E">
                    <w:r>
                      <w:rPr>
                        <w:rFonts w:ascii="Calibri" w:hAnsi="Calibri" w:cs="Calibri"/>
                        <w:color w:val="000000"/>
                        <w:sz w:val="14"/>
                        <w:szCs w:val="14"/>
                      </w:rPr>
                      <w:t>G8</w:t>
                    </w:r>
                  </w:p>
                </w:txbxContent>
              </v:textbox>
            </v:rect>
            <v:rect id="_x0000_s1628" style="position:absolute;left:276;top:5037;width:856;height:171;mso-wrap-style:none;v-text-anchor:top" filled="f" stroked="f">
              <v:textbox style="mso-fit-shape-to-text:t" inset="0,0,0,0">
                <w:txbxContent>
                  <w:p w:rsidR="0091746E" w:rsidRDefault="0091746E" w:rsidP="0000140E">
                    <w:r>
                      <w:rPr>
                        <w:rFonts w:ascii="Calibri" w:hAnsi="Calibri" w:cs="Calibri"/>
                        <w:color w:val="000000"/>
                        <w:sz w:val="14"/>
                        <w:szCs w:val="14"/>
                      </w:rPr>
                      <w:t>United Nations</w:t>
                    </w:r>
                  </w:p>
                </w:txbxContent>
              </v:textbox>
            </v:rect>
            <v:rect id="_x0000_s1629" style="position:absolute;left:276;top:5212;width:1834;height:171;mso-wrap-style:none;v-text-anchor:top" filled="f" stroked="f">
              <v:textbox style="mso-fit-shape-to-text:t" inset="0,0,0,0">
                <w:txbxContent>
                  <w:p w:rsidR="0091746E" w:rsidRDefault="0091746E" w:rsidP="0000140E">
                    <w:r>
                      <w:rPr>
                        <w:rFonts w:ascii="Calibri" w:hAnsi="Calibri" w:cs="Calibri"/>
                        <w:color w:val="000000"/>
                        <w:sz w:val="14"/>
                        <w:szCs w:val="14"/>
                      </w:rPr>
                      <w:t>Organization of American States</w:t>
                    </w:r>
                  </w:p>
                </w:txbxContent>
              </v:textbox>
            </v:rect>
            <v:rect id="_x0000_s1630" style="position:absolute;left:276;top:5388;width:2468;height:171;mso-wrap-style:none;v-text-anchor:top" filled="f" stroked="f">
              <v:textbox style="mso-fit-shape-to-text:t" inset="0,0,0,0">
                <w:txbxContent>
                  <w:p w:rsidR="0091746E" w:rsidRDefault="0091746E" w:rsidP="0000140E">
                    <w:r>
                      <w:rPr>
                        <w:rFonts w:ascii="Calibri" w:hAnsi="Calibri" w:cs="Calibri"/>
                        <w:color w:val="000000"/>
                        <w:sz w:val="14"/>
                        <w:szCs w:val="14"/>
                      </w:rPr>
                      <w:t>Central American Integration System (SICA)</w:t>
                    </w:r>
                  </w:p>
                </w:txbxContent>
              </v:textbox>
            </v:rect>
            <v:rect id="_x0000_s1631" style="position:absolute;left:276;top:5564;width:923;height:171;mso-wrap-style:none;v-text-anchor:top" filled="f" stroked="f">
              <v:textbox style="mso-fit-shape-to-text:t" inset="0,0,0,0">
                <w:txbxContent>
                  <w:p w:rsidR="0091746E" w:rsidRDefault="0091746E" w:rsidP="0000140E">
                    <w:r>
                      <w:rPr>
                        <w:rFonts w:ascii="Calibri" w:hAnsi="Calibri" w:cs="Calibri"/>
                        <w:color w:val="000000"/>
                        <w:sz w:val="14"/>
                        <w:szCs w:val="14"/>
                      </w:rPr>
                      <w:t>European Union</w:t>
                    </w:r>
                  </w:p>
                </w:txbxContent>
              </v:textbox>
            </v:rect>
            <v:rect id="_x0000_s1632" style="position:absolute;left:276;top:5739;width:2978;height:171;mso-wrap-style:none;v-text-anchor:top" filled="f" stroked="f">
              <v:textbox style="mso-fit-shape-to-text:t" inset="0,0,0,0">
                <w:txbxContent>
                  <w:p w:rsidR="0091746E" w:rsidRDefault="0091746E" w:rsidP="0000140E">
                    <w:r>
                      <w:rPr>
                        <w:rFonts w:ascii="Calibri" w:hAnsi="Calibri" w:cs="Calibri"/>
                        <w:color w:val="000000"/>
                        <w:sz w:val="14"/>
                        <w:szCs w:val="14"/>
                      </w:rPr>
                      <w:t>Organization for Security and Cooperation in Europe</w:t>
                    </w:r>
                  </w:p>
                </w:txbxContent>
              </v:textbox>
            </v:rect>
            <v:rect id="_x0000_s1633" style="position:absolute;left:276;top:5915;width:454;height:171;mso-wrap-style:none;v-text-anchor:top" filled="f" stroked="f">
              <v:textbox style="mso-fit-shape-to-text:t" inset="0,0,0,0">
                <w:txbxContent>
                  <w:p w:rsidR="0091746E" w:rsidRDefault="0091746E" w:rsidP="0000140E">
                    <w:r>
                      <w:rPr>
                        <w:rFonts w:ascii="Calibri" w:hAnsi="Calibri" w:cs="Calibri"/>
                        <w:color w:val="000000"/>
                        <w:sz w:val="14"/>
                        <w:szCs w:val="14"/>
                      </w:rPr>
                      <w:t>Interpol</w:t>
                    </w:r>
                  </w:p>
                </w:txbxContent>
              </v:textbox>
            </v:rect>
            <v:rect id="_x0000_s1634" style="position:absolute;left:276;top:6091;width:445;height:171;mso-wrap-style:none;v-text-anchor:top" filled="f" stroked="f">
              <v:textbox style="mso-fit-shape-to-text:t" inset="0,0,0,0">
                <w:txbxContent>
                  <w:p w:rsidR="0091746E" w:rsidRDefault="0091746E" w:rsidP="0000140E">
                    <w:r>
                      <w:rPr>
                        <w:rFonts w:ascii="Calibri" w:hAnsi="Calibri" w:cs="Calibri"/>
                        <w:color w:val="000000"/>
                        <w:sz w:val="14"/>
                        <w:szCs w:val="14"/>
                      </w:rPr>
                      <w:t>Europol</w:t>
                    </w:r>
                  </w:p>
                </w:txbxContent>
              </v:textbox>
            </v:rect>
            <v:rect id="_x0000_s1635" style="position:absolute;left:134;top:4884;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36" style="position:absolute;left:134;top:5060;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37" style="position:absolute;left:134;top:5236;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38" style="position:absolute;left:134;top:5411;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39" style="position:absolute;left:134;top:5587;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40" style="position:absolute;left:134;top:5763;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41" style="position:absolute;left:134;top:5938;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rect id="_x0000_s1642" style="position:absolute;left:134;top:6114;width:90;height:133;mso-wrap-style:none;v-text-anchor:top" filled="f" stroked="f">
              <v:textbox style="mso-fit-shape-to-text:t" inset="0,0,0,0">
                <w:txbxContent>
                  <w:p w:rsidR="0091746E" w:rsidRDefault="0091746E" w:rsidP="0000140E">
                    <w:r>
                      <w:rPr>
                        <w:rFonts w:ascii="Wingdings" w:hAnsi="Wingdings" w:cs="Wingdings"/>
                        <w:color w:val="000000"/>
                        <w:sz w:val="12"/>
                        <w:szCs w:val="12"/>
                      </w:rPr>
                      <w:t></w:t>
                    </w:r>
                  </w:p>
                </w:txbxContent>
              </v:textbox>
            </v:rect>
            <v:shape id="_x0000_s1643" style="position:absolute;left:3371;top:2597;width:1650;height:1416" coordsize="2064,2064" path="m,1032hdc,463,463,,1032,v,,,,,hal1032,hdc1602,,2064,463,2064,1032v,,,,,hal2064,1032hdc2064,1602,1602,2064,1032,2064v,,,,,hal1032,2064hdc463,2064,,1602,,1032v,,,,,xe" fillcolor="black" strokeweight="0">
              <v:path arrowok="t"/>
            </v:shape>
            <v:rect id="_x0000_s1644" style="position:absolute;left:4005;top:2848;width:313;height:244;mso-wrap-style:none;v-text-anchor:top" filled="f" stroked="f">
              <v:textbox style="mso-fit-shape-to-text:t" inset="0,0,0,0">
                <w:txbxContent>
                  <w:p w:rsidR="0091746E" w:rsidRDefault="0091746E" w:rsidP="0000140E">
                    <w:r>
                      <w:rPr>
                        <w:rFonts w:ascii="Calibri" w:hAnsi="Calibri" w:cs="Calibri"/>
                        <w:b/>
                        <w:bCs/>
                        <w:color w:val="FFFFFF"/>
                        <w:sz w:val="20"/>
                        <w:szCs w:val="20"/>
                      </w:rPr>
                      <w:t>ATF</w:t>
                    </w:r>
                  </w:p>
                </w:txbxContent>
              </v:textbox>
            </v:rect>
            <v:rect id="_x0000_s1645" style="position:absolute;left:3839;top:3112;width:590;height:244;mso-wrap-style:none;v-text-anchor:top" filled="f" stroked="f">
              <v:textbox style="mso-fit-shape-to-text:t" inset="0,0,0,0">
                <w:txbxContent>
                  <w:p w:rsidR="0091746E" w:rsidRDefault="0091746E" w:rsidP="0000140E">
                    <w:r>
                      <w:rPr>
                        <w:rFonts w:ascii="Calibri" w:hAnsi="Calibri" w:cs="Calibri"/>
                        <w:b/>
                        <w:bCs/>
                        <w:color w:val="FFFFFF"/>
                        <w:sz w:val="20"/>
                        <w:szCs w:val="20"/>
                      </w:rPr>
                      <w:t>POLICY</w:t>
                    </w:r>
                  </w:p>
                </w:txbxContent>
              </v:textbox>
            </v:rect>
            <v:rect id="_x0000_s1646" style="position:absolute;left:3417;top:3375;width:1284;height:244;mso-wrap-style:none;v-text-anchor:top" filled="f" stroked="f">
              <v:textbox style="mso-fit-shape-to-text:t" inset="0,0,0,0">
                <w:txbxContent>
                  <w:p w:rsidR="0091746E" w:rsidRDefault="0091746E" w:rsidP="0000140E">
                    <w:r>
                      <w:rPr>
                        <w:rFonts w:ascii="Calibri" w:hAnsi="Calibri" w:cs="Calibri"/>
                        <w:b/>
                        <w:bCs/>
                        <w:color w:val="FFFFFF"/>
                        <w:sz w:val="20"/>
                        <w:szCs w:val="20"/>
                      </w:rPr>
                      <w:t>ENVIRONMENT</w:t>
                    </w:r>
                  </w:p>
                </w:txbxContent>
              </v:textbox>
            </v:rect>
            <v:shape id="_x0000_s1647" style="position:absolute;left:3064;top:2344;width:2251;height:1933" coordsize="2251,1933" path="m,967l5,869,23,773,51,680,89,592r47,-85l192,427r65,-74l330,284r80,-62l496,166r93,-48l688,77,791,44,898,20,1010,6,1126,r114,5l1353,20r108,24l1564,76r98,41l1755,166r87,55l1921,284r73,68l2059,426r56,80l2163,591r38,88l2229,771r17,97l2251,966r-5,98l2229,1161r-28,93l2164,1342r-48,85l2059,1506r-64,75l1922,1649r-79,63l1756,1767r-92,49l1564,1857r-103,32l1354,1913r-113,15l1126,1933r-114,-5l900,1913,791,1889,689,1858r-98,-41l497,1768r-86,-56l331,1650r-73,-68l193,1507r-56,-79l89,1343,51,1255,23,1163,6,1066,,967xm31,1062r17,94l75,1247r38,87l158,1417r55,77l276,1568r72,66l426,1695r85,54l601,1797r97,40l799,1868r105,24l1013,1906r113,5l1237,1906r110,-14l1453,1868r100,-31l1650,1797r90,-47l1826,1696r77,-61l1975,1568r63,-73l2093,1418r46,-83l2176,1248r28,-90l2220,1064r6,-97l2221,871r-17,-93l2176,686r-36,-86l2094,518r-55,-79l1975,367r-71,-68l1827,238r-86,-54l1652,137,1555,97,1453,65,1349,41,1239,27,1126,22r-112,5l906,41,799,65,699,97r-96,39l511,183r-84,55l348,299r-71,67l214,439r-55,77l113,599,76,686,48,776,31,870r-6,96l31,1062xe" fillcolor="black" strokeweight=".05pt">
              <v:path arrowok="t"/>
              <o:lock v:ext="edit" verticies="t"/>
            </v:shape>
            <v:shape id="_x0000_s1648" style="position:absolute;left:4049;top:2190;width:307;height:396" coordsize="307,396" path="m,264r77,l77,,230,r,264l307,264,153,396,,264xe" fillcolor="black" stroked="f">
              <v:path arrowok="t"/>
            </v:shape>
            <v:shape id="_x0000_s1649" style="position:absolute;left:2552;top:2816;width:883;height:264" coordsize="883,264" path="m729,264r,-66l,198,,66r729,l729,,883,132,729,264xe" fillcolor="black" stroked="f">
              <v:path arrowok="t"/>
            </v:shape>
            <v:shape id="_x0000_s1650" style="position:absolute;left:4957;top:2816;width:896;height:264" coordsize="896,264" path="m154,r,66l896,66r,132l154,198r,66l,132,154,xe" fillcolor="black" stroked="f">
              <v:path arrowok="t"/>
            </v:shape>
            <v:shape id="_x0000_s1651" style="position:absolute;left:5853;top:2487;width:1701;height:933" coordsize="2128,1360" path="m,227hdc,102,102,,227,v,,,,,hal227,,1902,r,hdc2027,,2128,102,2128,227v,,,,,hal2128,227r,907l2128,1134hdc2128,1259,2027,1360,1902,1360v,,,,,hal1902,1360r-1675,l227,1360hdc102,1360,,1259,,1134v,,,,,hal,227hdxe" fillcolor="black" strokeweight="0">
              <v:path arrowok="t"/>
            </v:shape>
            <v:rect id="_x0000_s1652" style="position:absolute;left:6289;top:2545;width:710;height:195;mso-wrap-style:none;v-text-anchor:top" filled="f" stroked="f">
              <v:textbox style="mso-fit-shape-to-text:t" inset="0,0,0,0">
                <w:txbxContent>
                  <w:p w:rsidR="0091746E" w:rsidRDefault="0091746E" w:rsidP="0000140E">
                    <w:r>
                      <w:rPr>
                        <w:rFonts w:ascii="Calibri" w:hAnsi="Calibri" w:cs="Calibri"/>
                        <w:b/>
                        <w:bCs/>
                        <w:color w:val="FFFFFF"/>
                        <w:sz w:val="16"/>
                        <w:szCs w:val="16"/>
                      </w:rPr>
                      <w:t>DOMESTIC</w:t>
                    </w:r>
                  </w:p>
                </w:txbxContent>
              </v:textbox>
            </v:rect>
            <v:rect id="_x0000_s1653" style="position:absolute;left:5931;top:2753;width:1322;height:195;mso-wrap-style:none;v-text-anchor:top" filled="f" stroked="f">
              <v:textbox style="mso-fit-shape-to-text:t" inset="0,0,0,0">
                <w:txbxContent>
                  <w:p w:rsidR="0091746E" w:rsidRDefault="0091746E" w:rsidP="0000140E">
                    <w:r>
                      <w:rPr>
                        <w:rFonts w:ascii="Calibri" w:hAnsi="Calibri" w:cs="Calibri"/>
                        <w:b/>
                        <w:bCs/>
                        <w:color w:val="FFFFFF"/>
                        <w:sz w:val="16"/>
                        <w:szCs w:val="16"/>
                      </w:rPr>
                      <w:t>MEMORANDUM OF</w:t>
                    </w:r>
                  </w:p>
                </w:txbxContent>
              </v:textbox>
            </v:rect>
            <v:rect id="_x0000_s1654" style="position:absolute;left:6008;top:2951;width:1187;height:195;mso-wrap-style:none;v-text-anchor:top" filled="f" stroked="f">
              <v:textbox style="mso-fit-shape-to-text:t" inset="0,0,0,0">
                <w:txbxContent>
                  <w:p w:rsidR="0091746E" w:rsidRDefault="0091746E" w:rsidP="0000140E">
                    <w:r>
                      <w:rPr>
                        <w:rFonts w:ascii="Calibri" w:hAnsi="Calibri" w:cs="Calibri"/>
                        <w:b/>
                        <w:bCs/>
                        <w:color w:val="FFFFFF"/>
                        <w:sz w:val="16"/>
                        <w:szCs w:val="16"/>
                      </w:rPr>
                      <w:t>UNDERSTANDING</w:t>
                    </w:r>
                  </w:p>
                </w:txbxContent>
              </v:textbox>
            </v:rect>
            <v:rect id="_x0000_s1655" style="position:absolute;left:6430;top:3159;width:453;height:195;mso-wrap-style:none;v-text-anchor:top" filled="f" stroked="f">
              <v:textbox style="mso-fit-shape-to-text:t" inset="0,0,0,0">
                <w:txbxContent>
                  <w:p w:rsidR="0091746E" w:rsidRDefault="0091746E" w:rsidP="0000140E">
                    <w:r>
                      <w:rPr>
                        <w:rFonts w:ascii="Calibri" w:hAnsi="Calibri" w:cs="Calibri"/>
                        <w:b/>
                        <w:bCs/>
                        <w:color w:val="FFFFFF"/>
                        <w:sz w:val="16"/>
                        <w:szCs w:val="16"/>
                      </w:rPr>
                      <w:t>(MOU)</w:t>
                    </w:r>
                  </w:p>
                </w:txbxContent>
              </v:textbox>
            </v:rect>
            <v:shape id="_x0000_s1656" style="position:absolute;left:851;top:2487;width:1701;height:933" coordsize="2128,1360" path="m,227hdc,102,102,,227,v,,,,,hal227,,1902,r,hdc2027,,2128,102,2128,227v,,,,,hal2128,227r,907l2128,1134hdc2128,1259,2027,1360,1902,1360v,,,,,hal1902,1360r-1675,l227,1360hdc102,1360,,1259,,1134v,,,,,hal,227hdxe" fillcolor="black" strokeweight="0">
              <v:path arrowok="t"/>
            </v:shape>
            <v:rect id="_x0000_s1657" style="position:absolute;left:1491;top:2544;width:372;height:195;mso-wrap-style:none;v-text-anchor:top" filled="f" stroked="f">
              <v:textbox style="mso-fit-shape-to-text:t" inset="0,0,0,0">
                <w:txbxContent>
                  <w:p w:rsidR="0091746E" w:rsidRDefault="0091746E" w:rsidP="0000140E">
                    <w:r>
                      <w:rPr>
                        <w:rFonts w:ascii="Calibri" w:hAnsi="Calibri" w:cs="Calibri"/>
                        <w:b/>
                        <w:bCs/>
                        <w:color w:val="FFFFFF"/>
                        <w:sz w:val="16"/>
                        <w:szCs w:val="16"/>
                      </w:rPr>
                      <w:t>CODE</w:t>
                    </w:r>
                  </w:p>
                </w:txbxContent>
              </v:textbox>
            </v:rect>
            <v:rect id="_x0000_s1658" style="position:absolute;left:1247;top:2752;width:803;height:195;mso-wrap-style:none;v-text-anchor:top" filled="f" stroked="f">
              <v:textbox style="mso-fit-shape-to-text:t" inset="0,0,0,0">
                <w:txbxContent>
                  <w:p w:rsidR="0091746E" w:rsidRDefault="0091746E" w:rsidP="0000140E">
                    <w:r>
                      <w:rPr>
                        <w:rFonts w:ascii="Calibri" w:hAnsi="Calibri" w:cs="Calibri"/>
                        <w:b/>
                        <w:bCs/>
                        <w:color w:val="FFFFFF"/>
                        <w:sz w:val="16"/>
                        <w:szCs w:val="16"/>
                      </w:rPr>
                      <w:t>OF FEDERAL</w:t>
                    </w:r>
                  </w:p>
                </w:txbxContent>
              </v:textbox>
            </v:rect>
            <v:rect id="_x0000_s1659" style="position:absolute;left:1145;top:2950;width:951;height:195;mso-wrap-style:none;v-text-anchor:top" filled="f" stroked="f">
              <v:textbox style="mso-fit-shape-to-text:t" inset="0,0,0,0">
                <w:txbxContent>
                  <w:p w:rsidR="0091746E" w:rsidRDefault="0091746E" w:rsidP="0000140E">
                    <w:r>
                      <w:rPr>
                        <w:rFonts w:ascii="Calibri" w:hAnsi="Calibri" w:cs="Calibri"/>
                        <w:b/>
                        <w:bCs/>
                        <w:color w:val="FFFFFF"/>
                        <w:sz w:val="16"/>
                        <w:szCs w:val="16"/>
                      </w:rPr>
                      <w:t>REGULATIONS</w:t>
                    </w:r>
                  </w:p>
                </w:txbxContent>
              </v:textbox>
            </v:rect>
            <v:rect id="_x0000_s1660" style="position:absolute;left:1491;top:3159;width:348;height:195;mso-wrap-style:none;v-text-anchor:top" filled="f" stroked="f">
              <v:textbox style="mso-fit-shape-to-text:t" inset="0,0,0,0">
                <w:txbxContent>
                  <w:p w:rsidR="0091746E" w:rsidRDefault="0091746E" w:rsidP="0000140E">
                    <w:r>
                      <w:rPr>
                        <w:rFonts w:ascii="Calibri" w:hAnsi="Calibri" w:cs="Calibri"/>
                        <w:b/>
                        <w:bCs/>
                        <w:color w:val="FFFFFF"/>
                        <w:sz w:val="16"/>
                        <w:szCs w:val="16"/>
                      </w:rPr>
                      <w:t>(CFR)</w:t>
                    </w:r>
                  </w:p>
                </w:txbxContent>
              </v:textbox>
            </v:rect>
            <v:shape id="_x0000_s1661" style="position:absolute;left:2399;top:3563;width:1036;height:263" coordsize="1036,263" path="m882,263r,-65l,198,,66r882,l882,r154,132l882,263xe" fillcolor="black" stroked="f">
              <v:path arrowok="t"/>
            </v:shape>
            <v:shape id="_x0000_s1662" style="position:absolute;left:4957;top:3563;width:947;height:263" coordsize="947,263" path="m154,r,66l947,66r,132l154,198r,65l,132,154,xe" fillcolor="black" stroked="f">
              <v:path arrowok="t"/>
            </v:shape>
            <w10:wrap type="none"/>
            <w10:anchorlock/>
          </v:group>
        </w:pict>
      </w:r>
    </w:p>
    <w:p w:rsidR="0082689F" w:rsidRDefault="00D27876" w:rsidP="00D27876">
      <w:pPr>
        <w:rPr>
          <w:bCs/>
        </w:rPr>
      </w:pPr>
      <w:r w:rsidRPr="00210FBC">
        <w:rPr>
          <w:bCs/>
        </w:rPr>
        <w:t xml:space="preserve"> </w:t>
      </w:r>
    </w:p>
    <w:p w:rsidR="00CA5E59" w:rsidRPr="00CA5E59" w:rsidRDefault="00CA5E59" w:rsidP="00CA5E59">
      <w:pPr>
        <w:jc w:val="center"/>
        <w:rPr>
          <w:b/>
          <w:bCs/>
        </w:rPr>
      </w:pPr>
      <w:r w:rsidRPr="00CA5E59">
        <w:rPr>
          <w:b/>
          <w:bCs/>
        </w:rPr>
        <w:t xml:space="preserve">Policy </w:t>
      </w:r>
      <w:r w:rsidR="00987591">
        <w:rPr>
          <w:b/>
          <w:bCs/>
        </w:rPr>
        <w:t xml:space="preserve">and Statutory </w:t>
      </w:r>
      <w:r w:rsidRPr="00CA5E59">
        <w:rPr>
          <w:b/>
          <w:bCs/>
        </w:rPr>
        <w:t xml:space="preserve">Environment for </w:t>
      </w:r>
      <w:r w:rsidR="00987591">
        <w:rPr>
          <w:b/>
          <w:bCs/>
        </w:rPr>
        <w:t xml:space="preserve">the </w:t>
      </w:r>
      <w:r w:rsidRPr="00CA5E59">
        <w:rPr>
          <w:b/>
          <w:bCs/>
        </w:rPr>
        <w:t>ATF Strategy</w:t>
      </w:r>
    </w:p>
    <w:p w:rsidR="00F9517E" w:rsidRDefault="00F9517E" w:rsidP="00DD55B6"/>
    <w:p w:rsidR="0086122E" w:rsidRPr="00DD55B6" w:rsidRDefault="00BC75D3" w:rsidP="00DD55B6">
      <w:pPr>
        <w:rPr>
          <w:bCs/>
        </w:rPr>
      </w:pPr>
      <w:r w:rsidRPr="0086122E">
        <w:t xml:space="preserve">ATF achieves results in addressing violent crime through our authority to enforce </w:t>
      </w:r>
      <w:r w:rsidR="00D31D89" w:rsidRPr="0086122E">
        <w:t>Federal</w:t>
      </w:r>
      <w:r w:rsidR="00F14441" w:rsidRPr="0086122E">
        <w:t xml:space="preserve"> </w:t>
      </w:r>
      <w:r w:rsidRPr="0086122E">
        <w:t>firearms laws and regulations.  ATF regulates the firearms</w:t>
      </w:r>
      <w:r w:rsidR="0086122E" w:rsidRPr="0086122E">
        <w:t xml:space="preserve"> and explosives</w:t>
      </w:r>
      <w:r w:rsidRPr="0086122E">
        <w:t xml:space="preserve"> industr</w:t>
      </w:r>
      <w:r w:rsidR="0086122E" w:rsidRPr="0086122E">
        <w:t xml:space="preserve">ies </w:t>
      </w:r>
      <w:r w:rsidRPr="0086122E">
        <w:t xml:space="preserve">to ensure </w:t>
      </w:r>
      <w:r w:rsidR="00D31D89" w:rsidRPr="0086122E">
        <w:t>Federal</w:t>
      </w:r>
      <w:r w:rsidR="00455383" w:rsidRPr="0086122E">
        <w:t xml:space="preserve"> </w:t>
      </w:r>
      <w:r w:rsidRPr="0086122E">
        <w:t>F</w:t>
      </w:r>
      <w:r w:rsidR="00455383" w:rsidRPr="0086122E">
        <w:t xml:space="preserve">irearms </w:t>
      </w:r>
      <w:r w:rsidRPr="0086122E">
        <w:t>L</w:t>
      </w:r>
      <w:r w:rsidR="00455383" w:rsidRPr="0086122E">
        <w:t>icensees (FFL)</w:t>
      </w:r>
      <w:r w:rsidRPr="0086122E">
        <w:t xml:space="preserve"> </w:t>
      </w:r>
      <w:r w:rsidR="0086122E" w:rsidRPr="0086122E">
        <w:t xml:space="preserve">and Federal Explosives Licensees (FEL) </w:t>
      </w:r>
      <w:r w:rsidR="00455383" w:rsidRPr="0086122E">
        <w:t xml:space="preserve">comply </w:t>
      </w:r>
      <w:r w:rsidRPr="0086122E">
        <w:t>with all applicable laws and regulations.</w:t>
      </w:r>
      <w:r w:rsidRPr="006D7B2F">
        <w:rPr>
          <w:b/>
        </w:rPr>
        <w:t xml:space="preserve"> </w:t>
      </w:r>
      <w:r w:rsidR="0086122E">
        <w:rPr>
          <w:b/>
        </w:rPr>
        <w:t xml:space="preserve"> </w:t>
      </w:r>
      <w:r w:rsidR="0086122E" w:rsidRPr="00762F09">
        <w:t xml:space="preserve">ATF regulates the firearms and explosives industries from </w:t>
      </w:r>
      <w:r w:rsidR="0086122E">
        <w:t xml:space="preserve">the point of </w:t>
      </w:r>
      <w:r w:rsidR="0086122E" w:rsidRPr="00762F09">
        <w:t xml:space="preserve">manufacture and/or importation through retail sale to ensure that FFLs and </w:t>
      </w:r>
      <w:r w:rsidR="0086122E">
        <w:t>FELs</w:t>
      </w:r>
      <w:r w:rsidR="0086122E" w:rsidRPr="00762F09">
        <w:t xml:space="preserve"> </w:t>
      </w:r>
      <w:r w:rsidR="0086122E">
        <w:t>and permittees</w:t>
      </w:r>
      <w:r w:rsidR="0086122E" w:rsidRPr="00762F09">
        <w:t xml:space="preserve"> </w:t>
      </w:r>
      <w:r w:rsidR="0086122E">
        <w:t xml:space="preserve">comply </w:t>
      </w:r>
      <w:r w:rsidR="0086122E" w:rsidRPr="00762F09">
        <w:t>with all applicable laws and regulations.</w:t>
      </w:r>
      <w:r w:rsidR="0086122E">
        <w:t xml:space="preserve">  ATF provides appropriate safeguards of inventories from theft, full accountability, and proactive inspection reporting.</w:t>
      </w:r>
    </w:p>
    <w:p w:rsidR="0086122E" w:rsidRDefault="0086122E" w:rsidP="0086122E">
      <w:r>
        <w:lastRenderedPageBreak/>
        <w:t>As part of ATF’s statutory responsibilities, ATF collects a series of taxes and fees.  In the past five years, ATF has collected over $112 million in taxes and fees on firearms and explosives that were deposited into</w:t>
      </w:r>
      <w:r w:rsidR="00987591">
        <w:t xml:space="preserve"> the U.S. Treasury General Fund; </w:t>
      </w:r>
      <w:r w:rsidR="00987591" w:rsidRPr="00391AC8">
        <w:t>these taxes and fees do not support any ATF operations or activities.</w:t>
      </w:r>
      <w:r>
        <w:t xml:space="preserve">   </w:t>
      </w:r>
    </w:p>
    <w:p w:rsidR="0086122E" w:rsidRPr="0086122E" w:rsidRDefault="0086122E" w:rsidP="0086122E">
      <w:pPr>
        <w:rPr>
          <w:color w:val="7030A0"/>
        </w:rPr>
      </w:pPr>
    </w:p>
    <w:p w:rsidR="0086122E" w:rsidRPr="0086122E" w:rsidRDefault="0086122E" w:rsidP="0086122E">
      <w:pPr>
        <w:rPr>
          <w:color w:val="7030A0"/>
        </w:rPr>
      </w:pPr>
      <w:r>
        <w:rPr>
          <w:color w:val="7030A0"/>
        </w:rPr>
        <w:t xml:space="preserve">      </w:t>
      </w:r>
      <w:r w:rsidR="006C7F18">
        <w:rPr>
          <w:color w:val="7030A0"/>
        </w:rPr>
      </w:r>
      <w:r w:rsidR="006C7F18">
        <w:rPr>
          <w:color w:val="7030A0"/>
        </w:rPr>
        <w:pict>
          <v:group id="_x0000_s1663" editas="canvas" alt="The table on page 4 displays ATF's total taxes and fees collected to the Treasury General Fund from FY 2007 through FY 2011.  The five year totals equal $112,654,601.  This includes the five year totals of $35,901,382 from National Firearms Act (NFA) Making and Transfer Taxes Collected, $11,793,927 from Special Occupational Taxes Collected, and $64,959,292 from Taxes and Fees Collected that include License Fees and NFA Taxes.  " style="width:414.35pt;height:108.05pt;mso-position-horizontal-relative:char;mso-position-vertical-relative:line" coordorigin="-11,-12" coordsize="8287,2161">
            <o:lock v:ext="edit" aspectratio="t"/>
            <v:shape id="_x0000_s1664" type="#_x0000_t75" style="position:absolute;left:-11;top:-12;width:8287;height:2161" o:preferrelative="f">
              <v:fill o:detectmouseclick="t"/>
              <v:path o:extrusionok="t" o:connecttype="none"/>
              <o:lock v:ext="edit" text="t"/>
            </v:shape>
            <v:rect id="_x0000_s1665" style="position:absolute;left:32;top:35;width:1980;height:195;mso-wrap-style:none;v-text-anchor:top" filled="f" stroked="f">
              <v:textbox style="mso-next-textbox:#_x0000_s1665;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ATF TAXES &amp; FEES COLLECTED</w:t>
                    </w:r>
                    <w:r>
                      <w:rPr>
                        <w:rFonts w:ascii="Calibri" w:hAnsi="Calibri" w:cs="Calibri"/>
                        <w:b/>
                        <w:bCs/>
                        <w:color w:val="000000"/>
                        <w:sz w:val="16"/>
                        <w:szCs w:val="16"/>
                      </w:rPr>
                      <w:t xml:space="preserve"> </w:t>
                    </w:r>
                  </w:p>
                </w:txbxContent>
              </v:textbox>
            </v:rect>
            <v:rect id="_x0000_s1666" style="position:absolute;left:2932;top:35;width:518;height:195;mso-wrap-style:none;v-text-anchor:top" filled="f" stroked="f">
              <v:textbox style="mso-next-textbox:#_x0000_s1666;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FY 2007</w:t>
                    </w:r>
                  </w:p>
                </w:txbxContent>
              </v:textbox>
            </v:rect>
            <v:rect id="_x0000_s1667" style="position:absolute;left:3829;top:35;width:518;height:195;mso-wrap-style:none;v-text-anchor:top" filled="f" stroked="f">
              <v:textbox style="mso-next-textbox:#_x0000_s1667;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FY 2008</w:t>
                    </w:r>
                  </w:p>
                </w:txbxContent>
              </v:textbox>
            </v:rect>
            <v:rect id="_x0000_s1668" style="position:absolute;left:4727;top:35;width:518;height:195;mso-wrap-style:none;v-text-anchor:top" filled="f" stroked="f">
              <v:textbox style="mso-next-textbox:#_x0000_s1668;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FY 2009</w:t>
                    </w:r>
                  </w:p>
                </w:txbxContent>
              </v:textbox>
            </v:rect>
            <v:rect id="_x0000_s1669" style="position:absolute;left:5625;top:35;width:518;height:195;mso-wrap-style:none;v-text-anchor:top" filled="f" stroked="f">
              <v:textbox style="mso-next-textbox:#_x0000_s1669;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FY 2010</w:t>
                    </w:r>
                  </w:p>
                </w:txbxContent>
              </v:textbox>
            </v:rect>
            <v:rect id="_x0000_s1670" style="position:absolute;left:6523;top:35;width:518;height:195;mso-wrap-style:none;v-text-anchor:top" filled="f" stroked="f">
              <v:textbox style="mso-next-textbox:#_x0000_s1670;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FY 2011</w:t>
                    </w:r>
                  </w:p>
                </w:txbxContent>
              </v:textbox>
            </v:rect>
            <v:rect id="_x0000_s1671" style="position:absolute;left:7324;top:35;width:792;height:195;mso-wrap-style:none;v-text-anchor:top" filled="f" stroked="f">
              <v:textbox style="mso-next-textbox:#_x0000_s1671;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5 Year Total</w:t>
                    </w:r>
                  </w:p>
                </w:txbxContent>
              </v:textbox>
            </v:rect>
            <v:rect id="_x0000_s1672" style="position:absolute;left:32;top:267;width:2097;height:195;mso-wrap-style:none;v-text-anchor:top" filled="f" stroked="f">
              <v:textbox style="mso-next-textbox:#_x0000_s1672;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 xml:space="preserve">NFA Making and Transfer Taxes </w:t>
                    </w:r>
                  </w:p>
                </w:txbxContent>
              </v:textbox>
            </v:rect>
            <v:rect id="_x0000_s1673" style="position:absolute;left:32;top:499;width:619;height:195;mso-wrap-style:none;v-text-anchor:top" filled="f" stroked="f">
              <v:textbox style="mso-next-textbox:#_x0000_s1673;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Collected</w:t>
                    </w:r>
                    <w:r>
                      <w:rPr>
                        <w:rFonts w:ascii="Calibri" w:hAnsi="Calibri" w:cs="Calibri"/>
                        <w:b/>
                        <w:bCs/>
                        <w:color w:val="000000"/>
                        <w:sz w:val="16"/>
                        <w:szCs w:val="16"/>
                      </w:rPr>
                      <w:t xml:space="preserve"> </w:t>
                    </w:r>
                  </w:p>
                </w:txbxContent>
              </v:textbox>
            </v:rect>
            <v:rect id="_x0000_s1674" style="position:absolute;left:2856;top:499;width:729;height:195;mso-wrap-style:none;v-text-anchor:top" filled="f" stroked="f">
              <v:textbox style="mso-next-textbox:#_x0000_s1674;mso-fit-shape-to-text:t" inset="0,0,0,0">
                <w:txbxContent>
                  <w:p w:rsidR="0091746E" w:rsidRPr="00266E5D" w:rsidRDefault="0091746E" w:rsidP="0000140E">
                    <w:pPr>
                      <w:rPr>
                        <w:sz w:val="16"/>
                        <w:szCs w:val="16"/>
                      </w:rPr>
                    </w:pPr>
                    <w:r w:rsidRPr="00266E5D">
                      <w:rPr>
                        <w:rFonts w:ascii="Calibri" w:hAnsi="Calibri" w:cs="Calibri"/>
                        <w:color w:val="000000"/>
                        <w:sz w:val="16"/>
                        <w:szCs w:val="16"/>
                      </w:rPr>
                      <w:t>$4,982,707</w:t>
                    </w:r>
                  </w:p>
                </w:txbxContent>
              </v:textbox>
            </v:rect>
            <v:rect id="_x0000_s1675" style="position:absolute;left:3754;top:499;width:729;height:195;mso-wrap-style:none;v-text-anchor:top" filled="f" stroked="f">
              <v:textbox style="mso-next-textbox:#_x0000_s1675;mso-fit-shape-to-text:t" inset="0,0,0,0">
                <w:txbxContent>
                  <w:p w:rsidR="0091746E" w:rsidRPr="00266E5D" w:rsidRDefault="0091746E" w:rsidP="0000140E">
                    <w:pPr>
                      <w:rPr>
                        <w:sz w:val="16"/>
                        <w:szCs w:val="16"/>
                      </w:rPr>
                    </w:pPr>
                    <w:r w:rsidRPr="00266E5D">
                      <w:rPr>
                        <w:rFonts w:ascii="Calibri" w:hAnsi="Calibri" w:cs="Calibri"/>
                        <w:color w:val="000000"/>
                        <w:sz w:val="16"/>
                        <w:szCs w:val="16"/>
                      </w:rPr>
                      <w:t>$6,509,993</w:t>
                    </w:r>
                  </w:p>
                </w:txbxContent>
              </v:textbox>
            </v:rect>
            <v:rect id="_x0000_s1676" style="position:absolute;left:4652;top:499;width:729;height:195;mso-wrap-style:none;v-text-anchor:top" filled="f" stroked="f">
              <v:textbox style="mso-next-textbox:#_x0000_s1676;mso-fit-shape-to-text:t" inset="0,0,0,0">
                <w:txbxContent>
                  <w:p w:rsidR="0091746E" w:rsidRPr="00266E5D" w:rsidRDefault="0091746E" w:rsidP="0000140E">
                    <w:pPr>
                      <w:rPr>
                        <w:sz w:val="16"/>
                        <w:szCs w:val="16"/>
                      </w:rPr>
                    </w:pPr>
                    <w:r w:rsidRPr="00266E5D">
                      <w:rPr>
                        <w:rFonts w:ascii="Calibri" w:hAnsi="Calibri" w:cs="Calibri"/>
                        <w:color w:val="000000"/>
                        <w:sz w:val="16"/>
                        <w:szCs w:val="16"/>
                      </w:rPr>
                      <w:t>$7,649,312</w:t>
                    </w:r>
                  </w:p>
                </w:txbxContent>
              </v:textbox>
            </v:rect>
            <v:rect id="_x0000_s1677" style="position:absolute;left:5549;top:499;width:729;height:195;mso-wrap-style:none;v-text-anchor:top" filled="f" stroked="f">
              <v:textbox style="mso-next-textbox:#_x0000_s1677;mso-fit-shape-to-text:t" inset="0,0,0,0">
                <w:txbxContent>
                  <w:p w:rsidR="0091746E" w:rsidRPr="00266E5D" w:rsidRDefault="0091746E" w:rsidP="0000140E">
                    <w:pPr>
                      <w:rPr>
                        <w:sz w:val="16"/>
                        <w:szCs w:val="16"/>
                      </w:rPr>
                    </w:pPr>
                    <w:r w:rsidRPr="00266E5D">
                      <w:rPr>
                        <w:rFonts w:ascii="Calibri" w:hAnsi="Calibri" w:cs="Calibri"/>
                        <w:color w:val="000000"/>
                        <w:sz w:val="16"/>
                        <w:szCs w:val="16"/>
                      </w:rPr>
                      <w:t>$7,183,511</w:t>
                    </w:r>
                  </w:p>
                </w:txbxContent>
              </v:textbox>
            </v:rect>
            <v:rect id="_x0000_s1678" style="position:absolute;left:6447;top:499;width:729;height:195;mso-wrap-style:none;v-text-anchor:top" filled="f" stroked="f">
              <v:textbox style="mso-next-textbox:#_x0000_s1678;mso-fit-shape-to-text:t" inset="0,0,0,0">
                <w:txbxContent>
                  <w:p w:rsidR="0091746E" w:rsidRPr="00266E5D" w:rsidRDefault="0091746E" w:rsidP="0000140E">
                    <w:pPr>
                      <w:rPr>
                        <w:sz w:val="16"/>
                        <w:szCs w:val="16"/>
                      </w:rPr>
                    </w:pPr>
                    <w:r w:rsidRPr="00266E5D">
                      <w:rPr>
                        <w:rFonts w:ascii="Calibri" w:hAnsi="Calibri" w:cs="Calibri"/>
                        <w:color w:val="000000"/>
                        <w:sz w:val="16"/>
                        <w:szCs w:val="16"/>
                      </w:rPr>
                      <w:t>$9,575,859</w:t>
                    </w:r>
                  </w:p>
                </w:txbxContent>
              </v:textbox>
            </v:rect>
            <v:rect id="_x0000_s1679" style="position:absolute;left:7345;top:499;width:813;height:195;mso-wrap-style:none;v-text-anchor:top" filled="f" stroked="f">
              <v:textbox style="mso-next-textbox:#_x0000_s1679;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$35,901,382</w:t>
                    </w:r>
                  </w:p>
                </w:txbxContent>
              </v:textbox>
            </v:rect>
            <v:rect id="_x0000_s1680" style="position:absolute;left:32;top:732;width:1793;height:195;mso-wrap-style:none;v-text-anchor:top" filled="f" stroked="f">
              <v:textbox style="mso-next-textbox:#_x0000_s1680;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 xml:space="preserve">Special Occupational Taxes </w:t>
                    </w:r>
                  </w:p>
                </w:txbxContent>
              </v:textbox>
            </v:rect>
            <v:rect id="_x0000_s1681" style="position:absolute;left:32;top:964;width:619;height:195;mso-wrap-style:none;v-text-anchor:top" filled="f" stroked="f">
              <v:textbox style="mso-next-textbox:#_x0000_s1681;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Collected</w:t>
                    </w:r>
                    <w:r>
                      <w:rPr>
                        <w:rFonts w:ascii="Calibri" w:hAnsi="Calibri" w:cs="Calibri"/>
                        <w:b/>
                        <w:bCs/>
                        <w:color w:val="000000"/>
                        <w:sz w:val="16"/>
                        <w:szCs w:val="16"/>
                      </w:rPr>
                      <w:t xml:space="preserve"> </w:t>
                    </w:r>
                  </w:p>
                </w:txbxContent>
              </v:textbox>
            </v:rect>
            <v:rect id="_x0000_s1682" style="position:absolute;left:2856;top:964;width:729;height:195;mso-wrap-style:none;v-text-anchor:top" filled="f" stroked="f">
              <v:textbox style="mso-next-textbox:#_x0000_s1682;mso-fit-shape-to-text:t" inset="0,0,0,0">
                <w:txbxContent>
                  <w:p w:rsidR="0091746E" w:rsidRPr="00266E5D" w:rsidRDefault="0091746E" w:rsidP="0000140E">
                    <w:pPr>
                      <w:rPr>
                        <w:sz w:val="16"/>
                        <w:szCs w:val="16"/>
                      </w:rPr>
                    </w:pPr>
                    <w:r w:rsidRPr="00266E5D">
                      <w:rPr>
                        <w:rFonts w:ascii="Calibri" w:hAnsi="Calibri" w:cs="Calibri"/>
                        <w:color w:val="000000"/>
                        <w:sz w:val="16"/>
                        <w:szCs w:val="16"/>
                      </w:rPr>
                      <w:t>$1,928,866</w:t>
                    </w:r>
                  </w:p>
                </w:txbxContent>
              </v:textbox>
            </v:rect>
            <v:rect id="_x0000_s1683" style="position:absolute;left:3754;top:964;width:729;height:195;mso-wrap-style:none;v-text-anchor:top" filled="f" stroked="f">
              <v:textbox style="mso-next-textbox:#_x0000_s1683;mso-fit-shape-to-text:t" inset="0,0,0,0">
                <w:txbxContent>
                  <w:p w:rsidR="0091746E" w:rsidRPr="00266E5D" w:rsidRDefault="0091746E" w:rsidP="0000140E">
                    <w:pPr>
                      <w:rPr>
                        <w:sz w:val="16"/>
                        <w:szCs w:val="16"/>
                      </w:rPr>
                    </w:pPr>
                    <w:r w:rsidRPr="00266E5D">
                      <w:rPr>
                        <w:rFonts w:ascii="Calibri" w:hAnsi="Calibri" w:cs="Calibri"/>
                        <w:color w:val="000000"/>
                        <w:sz w:val="16"/>
                        <w:szCs w:val="16"/>
                      </w:rPr>
                      <w:t>$2,115,783</w:t>
                    </w:r>
                  </w:p>
                </w:txbxContent>
              </v:textbox>
            </v:rect>
            <v:rect id="_x0000_s1684" style="position:absolute;left:4652;top:964;width:729;height:195;mso-wrap-style:none;v-text-anchor:top" filled="f" stroked="f">
              <v:textbox style="mso-next-textbox:#_x0000_s1684;mso-fit-shape-to-text:t" inset="0,0,0,0">
                <w:txbxContent>
                  <w:p w:rsidR="0091746E" w:rsidRPr="00266E5D" w:rsidRDefault="0091746E" w:rsidP="0000140E">
                    <w:pPr>
                      <w:rPr>
                        <w:sz w:val="16"/>
                        <w:szCs w:val="16"/>
                      </w:rPr>
                    </w:pPr>
                    <w:r w:rsidRPr="00266E5D">
                      <w:rPr>
                        <w:rFonts w:ascii="Calibri" w:hAnsi="Calibri" w:cs="Calibri"/>
                        <w:color w:val="000000"/>
                        <w:sz w:val="16"/>
                        <w:szCs w:val="16"/>
                      </w:rPr>
                      <w:t>$2,267,008</w:t>
                    </w:r>
                  </w:p>
                </w:txbxContent>
              </v:textbox>
            </v:rect>
            <v:rect id="_x0000_s1685" style="position:absolute;left:5549;top:964;width:729;height:195;mso-wrap-style:none;v-text-anchor:top" filled="f" stroked="f">
              <v:textbox style="mso-next-textbox:#_x0000_s1685;mso-fit-shape-to-text:t" inset="0,0,0,0">
                <w:txbxContent>
                  <w:p w:rsidR="0091746E" w:rsidRPr="00266E5D" w:rsidRDefault="0091746E" w:rsidP="0000140E">
                    <w:pPr>
                      <w:rPr>
                        <w:sz w:val="16"/>
                        <w:szCs w:val="16"/>
                      </w:rPr>
                    </w:pPr>
                    <w:r w:rsidRPr="00266E5D">
                      <w:rPr>
                        <w:rFonts w:ascii="Calibri" w:hAnsi="Calibri" w:cs="Calibri"/>
                        <w:color w:val="000000"/>
                        <w:sz w:val="16"/>
                        <w:szCs w:val="16"/>
                      </w:rPr>
                      <w:t>$2,530,463</w:t>
                    </w:r>
                  </w:p>
                </w:txbxContent>
              </v:textbox>
            </v:rect>
            <v:rect id="_x0000_s1686" style="position:absolute;left:6447;top:964;width:729;height:195;mso-wrap-style:none;v-text-anchor:top" filled="f" stroked="f">
              <v:textbox style="mso-next-textbox:#_x0000_s1686;mso-fit-shape-to-text:t" inset="0,0,0,0">
                <w:txbxContent>
                  <w:p w:rsidR="0091746E" w:rsidRPr="00266E5D" w:rsidRDefault="0091746E" w:rsidP="0000140E">
                    <w:pPr>
                      <w:rPr>
                        <w:sz w:val="16"/>
                        <w:szCs w:val="16"/>
                      </w:rPr>
                    </w:pPr>
                    <w:r w:rsidRPr="00266E5D">
                      <w:rPr>
                        <w:rFonts w:ascii="Calibri" w:hAnsi="Calibri" w:cs="Calibri"/>
                        <w:color w:val="000000"/>
                        <w:sz w:val="16"/>
                        <w:szCs w:val="16"/>
                      </w:rPr>
                      <w:t>$2,951,807</w:t>
                    </w:r>
                  </w:p>
                </w:txbxContent>
              </v:textbox>
            </v:rect>
            <v:rect id="_x0000_s1687" style="position:absolute;left:7345;top:964;width:813;height:195;mso-wrap-style:none;v-text-anchor:top" filled="f" stroked="f">
              <v:textbox style="mso-next-textbox:#_x0000_s1687;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$11,793,927</w:t>
                    </w:r>
                  </w:p>
                </w:txbxContent>
              </v:textbox>
            </v:rect>
            <v:rect id="_x0000_s1688" style="position:absolute;left:32;top:1208;width:2286;height:195;mso-wrap-style:none;v-text-anchor:top" filled="f" stroked="f">
              <v:textbox style="mso-next-textbox:#_x0000_s1688;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Taxes and Fees Collected (includes</w:t>
                    </w:r>
                    <w:r>
                      <w:rPr>
                        <w:rFonts w:ascii="Calibri" w:hAnsi="Calibri" w:cs="Calibri"/>
                        <w:b/>
                        <w:bCs/>
                        <w:color w:val="000000"/>
                        <w:sz w:val="16"/>
                        <w:szCs w:val="16"/>
                      </w:rPr>
                      <w:t xml:space="preserve">  </w:t>
                    </w:r>
                    <w:r w:rsidRPr="00266E5D">
                      <w:rPr>
                        <w:rFonts w:ascii="Calibri" w:hAnsi="Calibri" w:cs="Calibri"/>
                        <w:b/>
                        <w:bCs/>
                        <w:color w:val="000000"/>
                        <w:sz w:val="16"/>
                        <w:szCs w:val="16"/>
                      </w:rPr>
                      <w:t xml:space="preserve"> </w:t>
                    </w:r>
                  </w:p>
                </w:txbxContent>
              </v:textbox>
            </v:rect>
            <v:rect id="_x0000_s1689" style="position:absolute;left:32;top:1440;width:1749;height:220;mso-wrap-style:none;v-text-anchor:top" filled="f" stroked="f">
              <v:textbox style="mso-next-textbox:#_x0000_s1689;mso-fit-shape-to-text:t" inset="0,0,0,0">
                <w:txbxContent>
                  <w:p w:rsidR="0091746E" w:rsidRDefault="0091746E" w:rsidP="0000140E">
                    <w:r w:rsidRPr="00266E5D">
                      <w:rPr>
                        <w:rFonts w:ascii="Calibri" w:hAnsi="Calibri" w:cs="Calibri"/>
                        <w:b/>
                        <w:bCs/>
                        <w:color w:val="000000"/>
                        <w:sz w:val="16"/>
                        <w:szCs w:val="16"/>
                      </w:rPr>
                      <w:t>License Fees &amp; NFA Taxes</w:t>
                    </w:r>
                    <w:r>
                      <w:rPr>
                        <w:rFonts w:ascii="Calibri" w:hAnsi="Calibri" w:cs="Calibri"/>
                        <w:b/>
                        <w:bCs/>
                        <w:color w:val="000000"/>
                        <w:sz w:val="18"/>
                        <w:szCs w:val="18"/>
                      </w:rPr>
                      <w:t>)</w:t>
                    </w:r>
                  </w:p>
                </w:txbxContent>
              </v:textbox>
            </v:rect>
            <v:rect id="_x0000_s1690" style="position:absolute;left:2780;top:1440;width:810;height:195;mso-wrap-style:none;v-text-anchor:top" filled="f" stroked="f">
              <v:textbox style="mso-next-textbox:#_x0000_s1690;mso-fit-shape-to-text:t" inset="0,0,0,0">
                <w:txbxContent>
                  <w:p w:rsidR="0091746E" w:rsidRPr="00266E5D" w:rsidRDefault="0091746E" w:rsidP="0000140E">
                    <w:pPr>
                      <w:rPr>
                        <w:sz w:val="16"/>
                        <w:szCs w:val="16"/>
                      </w:rPr>
                    </w:pPr>
                    <w:r w:rsidRPr="00266E5D">
                      <w:rPr>
                        <w:rFonts w:ascii="Calibri" w:hAnsi="Calibri" w:cs="Calibri"/>
                        <w:color w:val="000000"/>
                        <w:sz w:val="16"/>
                        <w:szCs w:val="16"/>
                      </w:rPr>
                      <w:t>$10,331,320</w:t>
                    </w:r>
                  </w:p>
                </w:txbxContent>
              </v:textbox>
            </v:rect>
            <v:rect id="_x0000_s1691" style="position:absolute;left:3678;top:1440;width:810;height:195;mso-wrap-style:none;v-text-anchor:top" filled="f" stroked="f">
              <v:textbox style="mso-next-textbox:#_x0000_s1691;mso-fit-shape-to-text:t" inset="0,0,0,0">
                <w:txbxContent>
                  <w:p w:rsidR="0091746E" w:rsidRPr="00266E5D" w:rsidRDefault="0091746E" w:rsidP="0000140E">
                    <w:pPr>
                      <w:rPr>
                        <w:sz w:val="16"/>
                        <w:szCs w:val="16"/>
                      </w:rPr>
                    </w:pPr>
                    <w:r w:rsidRPr="00266E5D">
                      <w:rPr>
                        <w:rFonts w:ascii="Calibri" w:hAnsi="Calibri" w:cs="Calibri"/>
                        <w:color w:val="000000"/>
                        <w:sz w:val="16"/>
                        <w:szCs w:val="16"/>
                      </w:rPr>
                      <w:t>$12,929,707</w:t>
                    </w:r>
                  </w:p>
                </w:txbxContent>
              </v:textbox>
            </v:rect>
            <v:rect id="_x0000_s1692" style="position:absolute;left:4576;top:1440;width:810;height:195;mso-wrap-style:none;v-text-anchor:top" filled="f" stroked="f">
              <v:textbox style="mso-next-textbox:#_x0000_s1692;mso-fit-shape-to-text:t" inset="0,0,0,0">
                <w:txbxContent>
                  <w:p w:rsidR="0091746E" w:rsidRPr="00266E5D" w:rsidRDefault="0091746E" w:rsidP="0000140E">
                    <w:pPr>
                      <w:rPr>
                        <w:sz w:val="16"/>
                        <w:szCs w:val="16"/>
                      </w:rPr>
                    </w:pPr>
                    <w:r w:rsidRPr="00266E5D">
                      <w:rPr>
                        <w:rFonts w:ascii="Calibri" w:hAnsi="Calibri" w:cs="Calibri"/>
                        <w:color w:val="000000"/>
                        <w:sz w:val="16"/>
                        <w:szCs w:val="16"/>
                      </w:rPr>
                      <w:t>$13,940,666</w:t>
                    </w:r>
                  </w:p>
                </w:txbxContent>
              </v:textbox>
            </v:rect>
            <v:rect id="_x0000_s1693" style="position:absolute;left:5474;top:1440;width:810;height:195;mso-wrap-style:none;v-text-anchor:top" filled="f" stroked="f">
              <v:textbox style="mso-next-textbox:#_x0000_s1693;mso-fit-shape-to-text:t" inset="0,0,0,0">
                <w:txbxContent>
                  <w:p w:rsidR="0091746E" w:rsidRPr="00266E5D" w:rsidRDefault="0091746E" w:rsidP="0000140E">
                    <w:pPr>
                      <w:rPr>
                        <w:sz w:val="16"/>
                        <w:szCs w:val="16"/>
                      </w:rPr>
                    </w:pPr>
                    <w:r w:rsidRPr="00266E5D">
                      <w:rPr>
                        <w:rFonts w:ascii="Calibri" w:hAnsi="Calibri" w:cs="Calibri"/>
                        <w:color w:val="000000"/>
                        <w:sz w:val="16"/>
                        <w:szCs w:val="16"/>
                      </w:rPr>
                      <w:t>$13,596,784</w:t>
                    </w:r>
                  </w:p>
                </w:txbxContent>
              </v:textbox>
            </v:rect>
            <v:rect id="_x0000_s1694" style="position:absolute;left:6372;top:1440;width:810;height:195;mso-wrap-style:none;v-text-anchor:top" filled="f" stroked="f">
              <v:textbox style="mso-next-textbox:#_x0000_s1694;mso-fit-shape-to-text:t" inset="0,0,0,0">
                <w:txbxContent>
                  <w:p w:rsidR="0091746E" w:rsidRPr="00266E5D" w:rsidRDefault="0091746E" w:rsidP="0000140E">
                    <w:pPr>
                      <w:rPr>
                        <w:sz w:val="16"/>
                        <w:szCs w:val="16"/>
                      </w:rPr>
                    </w:pPr>
                    <w:r w:rsidRPr="00266E5D">
                      <w:rPr>
                        <w:rFonts w:ascii="Calibri" w:hAnsi="Calibri" w:cs="Calibri"/>
                        <w:color w:val="000000"/>
                        <w:sz w:val="16"/>
                        <w:szCs w:val="16"/>
                      </w:rPr>
                      <w:t>$14,160,815</w:t>
                    </w:r>
                  </w:p>
                </w:txbxContent>
              </v:textbox>
            </v:rect>
            <v:rect id="_x0000_s1695" style="position:absolute;left:7345;top:1440;width:813;height:195;mso-wrap-style:none;v-text-anchor:top" filled="f" stroked="f">
              <v:textbox style="mso-next-textbox:#_x0000_s1695;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$64,959,292</w:t>
                    </w:r>
                  </w:p>
                </w:txbxContent>
              </v:textbox>
            </v:rect>
            <v:rect id="_x0000_s1696" style="position:absolute;left:32;top:1661;width:2346;height:195;mso-wrap-style:none;v-text-anchor:top" filled="f" stroked="f">
              <v:textbox style="mso-next-textbox:#_x0000_s1696;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 xml:space="preserve">Total Collected to Treasury General </w:t>
                    </w:r>
                  </w:p>
                </w:txbxContent>
              </v:textbox>
            </v:rect>
            <v:rect id="_x0000_s1697" style="position:absolute;left:32;top:1893;width:332;height:195;mso-wrap-style:none;v-text-anchor:top" filled="f" stroked="f">
              <v:textbox style="mso-next-textbox:#_x0000_s1697;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Fund</w:t>
                    </w:r>
                    <w:r>
                      <w:rPr>
                        <w:rFonts w:ascii="Calibri" w:hAnsi="Calibri" w:cs="Calibri"/>
                        <w:b/>
                        <w:bCs/>
                        <w:color w:val="000000"/>
                        <w:sz w:val="16"/>
                        <w:szCs w:val="16"/>
                      </w:rPr>
                      <w:t xml:space="preserve">    </w:t>
                    </w:r>
                  </w:p>
                </w:txbxContent>
              </v:textbox>
            </v:rect>
            <v:rect id="_x0000_s1698" style="position:absolute;left:2780;top:1905;width:810;height:195;mso-wrap-style:none;v-text-anchor:top" filled="f" stroked="f">
              <v:textbox style="mso-next-textbox:#_x0000_s1698;mso-fit-shape-to-text:t" inset="0,0,0,0">
                <w:txbxContent>
                  <w:p w:rsidR="0091746E" w:rsidRPr="00266E5D" w:rsidRDefault="0091746E" w:rsidP="0000140E">
                    <w:pPr>
                      <w:rPr>
                        <w:sz w:val="16"/>
                        <w:szCs w:val="16"/>
                      </w:rPr>
                    </w:pPr>
                    <w:r w:rsidRPr="00266E5D">
                      <w:rPr>
                        <w:rFonts w:ascii="Calibri" w:hAnsi="Calibri" w:cs="Calibri"/>
                        <w:color w:val="000000"/>
                        <w:sz w:val="16"/>
                        <w:szCs w:val="16"/>
                      </w:rPr>
                      <w:t>$17,242,893</w:t>
                    </w:r>
                  </w:p>
                </w:txbxContent>
              </v:textbox>
            </v:rect>
            <v:rect id="_x0000_s1699" style="position:absolute;left:3678;top:1905;width:810;height:195;mso-wrap-style:none;v-text-anchor:top" filled="f" stroked="f">
              <v:textbox style="mso-next-textbox:#_x0000_s1699;mso-fit-shape-to-text:t" inset="0,0,0,0">
                <w:txbxContent>
                  <w:p w:rsidR="0091746E" w:rsidRPr="00266E5D" w:rsidRDefault="0091746E" w:rsidP="0000140E">
                    <w:pPr>
                      <w:rPr>
                        <w:sz w:val="16"/>
                        <w:szCs w:val="16"/>
                      </w:rPr>
                    </w:pPr>
                    <w:r w:rsidRPr="00266E5D">
                      <w:rPr>
                        <w:rFonts w:ascii="Calibri" w:hAnsi="Calibri" w:cs="Calibri"/>
                        <w:color w:val="000000"/>
                        <w:sz w:val="16"/>
                        <w:szCs w:val="16"/>
                      </w:rPr>
                      <w:t>$21,555,483</w:t>
                    </w:r>
                  </w:p>
                </w:txbxContent>
              </v:textbox>
            </v:rect>
            <v:rect id="_x0000_s1700" style="position:absolute;left:4576;top:1905;width:810;height:195;mso-wrap-style:none;v-text-anchor:top" filled="f" stroked="f">
              <v:textbox style="mso-next-textbox:#_x0000_s1700;mso-fit-shape-to-text:t" inset="0,0,0,0">
                <w:txbxContent>
                  <w:p w:rsidR="0091746E" w:rsidRPr="00266E5D" w:rsidRDefault="0091746E" w:rsidP="0000140E">
                    <w:pPr>
                      <w:rPr>
                        <w:sz w:val="16"/>
                        <w:szCs w:val="16"/>
                      </w:rPr>
                    </w:pPr>
                    <w:r w:rsidRPr="00266E5D">
                      <w:rPr>
                        <w:rFonts w:ascii="Calibri" w:hAnsi="Calibri" w:cs="Calibri"/>
                        <w:color w:val="000000"/>
                        <w:sz w:val="16"/>
                        <w:szCs w:val="16"/>
                      </w:rPr>
                      <w:t>$23,856,986</w:t>
                    </w:r>
                  </w:p>
                </w:txbxContent>
              </v:textbox>
            </v:rect>
            <v:rect id="_x0000_s1701" style="position:absolute;left:5474;top:1905;width:810;height:195;mso-wrap-style:none;v-text-anchor:top" filled="f" stroked="f">
              <v:textbox style="mso-next-textbox:#_x0000_s1701;mso-fit-shape-to-text:t" inset="0,0,0,0">
                <w:txbxContent>
                  <w:p w:rsidR="0091746E" w:rsidRPr="00266E5D" w:rsidRDefault="0091746E" w:rsidP="0000140E">
                    <w:pPr>
                      <w:rPr>
                        <w:sz w:val="16"/>
                        <w:szCs w:val="16"/>
                      </w:rPr>
                    </w:pPr>
                    <w:r w:rsidRPr="00266E5D">
                      <w:rPr>
                        <w:rFonts w:ascii="Calibri" w:hAnsi="Calibri" w:cs="Calibri"/>
                        <w:color w:val="000000"/>
                        <w:sz w:val="16"/>
                        <w:szCs w:val="16"/>
                      </w:rPr>
                      <w:t>$23,310,758</w:t>
                    </w:r>
                  </w:p>
                </w:txbxContent>
              </v:textbox>
            </v:rect>
            <v:rect id="_x0000_s1702" style="position:absolute;left:6372;top:1905;width:810;height:195;mso-wrap-style:none;v-text-anchor:top" filled="f" stroked="f">
              <v:textbox style="mso-next-textbox:#_x0000_s1702;mso-fit-shape-to-text:t" inset="0,0,0,0">
                <w:txbxContent>
                  <w:p w:rsidR="0091746E" w:rsidRPr="00266E5D" w:rsidRDefault="0091746E" w:rsidP="0000140E">
                    <w:pPr>
                      <w:rPr>
                        <w:sz w:val="16"/>
                        <w:szCs w:val="16"/>
                      </w:rPr>
                    </w:pPr>
                    <w:r w:rsidRPr="00266E5D">
                      <w:rPr>
                        <w:rFonts w:ascii="Calibri" w:hAnsi="Calibri" w:cs="Calibri"/>
                        <w:color w:val="000000"/>
                        <w:sz w:val="16"/>
                        <w:szCs w:val="16"/>
                      </w:rPr>
                      <w:t>$26,688,481</w:t>
                    </w:r>
                  </w:p>
                </w:txbxContent>
              </v:textbox>
            </v:rect>
            <v:rect id="_x0000_s1703" style="position:absolute;left:7270;top:1905;width:894;height:195;mso-wrap-style:none;v-text-anchor:top" filled="f" stroked="f">
              <v:textbox style="mso-next-textbox:#_x0000_s1703;mso-fit-shape-to-text:t" inset="0,0,0,0">
                <w:txbxContent>
                  <w:p w:rsidR="0091746E" w:rsidRPr="00266E5D" w:rsidRDefault="0091746E" w:rsidP="0000140E">
                    <w:pPr>
                      <w:rPr>
                        <w:sz w:val="16"/>
                        <w:szCs w:val="16"/>
                      </w:rPr>
                    </w:pPr>
                    <w:r w:rsidRPr="00266E5D">
                      <w:rPr>
                        <w:rFonts w:ascii="Calibri" w:hAnsi="Calibri" w:cs="Calibri"/>
                        <w:b/>
                        <w:bCs/>
                        <w:color w:val="000000"/>
                        <w:sz w:val="16"/>
                        <w:szCs w:val="16"/>
                      </w:rPr>
                      <w:t>$112,654,601</w:t>
                    </w:r>
                  </w:p>
                </w:txbxContent>
              </v:textbox>
            </v:rect>
            <v:line id="_x0000_s1704" style="position:absolute;flip:y" from="0,0" to="1,1" strokecolor="#d0d7e5" strokeweight="0"/>
            <v:rect id="_x0000_s1705" style="position:absolute;top:-12;width:11;height:12" fillcolor="#d0d7e5" stroked="f"/>
            <v:line id="_x0000_s1706" style="position:absolute;flip:y" from="2434,0" to="2435,1" strokecolor="#d0d7e5" strokeweight="0"/>
            <v:rect id="_x0000_s1707" style="position:absolute;left:2434;top:-12;width:11;height:12" fillcolor="#d0d7e5" stroked="f"/>
            <v:line id="_x0000_s1708" style="position:absolute" from="2434,23" to="2435,244" strokecolor="#d0d7e5" strokeweight="0"/>
            <v:rect id="_x0000_s1709" style="position:absolute;left:2434;top:23;width:11;height:221" fillcolor="#d0d7e5" stroked="f"/>
            <v:line id="_x0000_s1710" style="position:absolute;flip:y" from="2726,0" to="2727,1" strokecolor="#d0d7e5" strokeweight="0"/>
            <v:rect id="_x0000_s1711" style="position:absolute;left:2726;top:-12;width:11;height:12" fillcolor="#d0d7e5" stroked="f"/>
            <v:line id="_x0000_s1712" style="position:absolute" from="2726,23" to="2727,244" strokecolor="#d0d7e5" strokeweight="0"/>
            <v:rect id="_x0000_s1713" style="position:absolute;left:2726;top:23;width:11;height:221" fillcolor="#d0d7e5" stroked="f"/>
            <v:line id="_x0000_s1714" style="position:absolute;flip:y" from="3624,0" to="3625,1" strokecolor="#d0d7e5" strokeweight="0"/>
            <v:rect id="_x0000_s1715" style="position:absolute;left:3624;top:-12;width:11;height:12" fillcolor="#d0d7e5" stroked="f"/>
            <v:line id="_x0000_s1716" style="position:absolute" from="3624,23" to="3625,244" strokecolor="#d0d7e5" strokeweight="0"/>
            <v:rect id="_x0000_s1717" style="position:absolute;left:3624;top:23;width:11;height:221" fillcolor="#d0d7e5" stroked="f"/>
            <v:line id="_x0000_s1718" style="position:absolute;flip:y" from="4522,0" to="4523,1" strokecolor="#d0d7e5" strokeweight="0"/>
            <v:rect id="_x0000_s1719" style="position:absolute;left:4522;top:-12;width:11;height:12" fillcolor="#d0d7e5" stroked="f"/>
            <v:line id="_x0000_s1720" style="position:absolute" from="4522,23" to="4523,244" strokecolor="#d0d7e5" strokeweight="0"/>
            <v:rect id="_x0000_s1721" style="position:absolute;left:4522;top:23;width:11;height:221" fillcolor="#d0d7e5" stroked="f"/>
            <v:line id="_x0000_s1722" style="position:absolute;flip:y" from="5420,0" to="5421,1" strokecolor="#d0d7e5" strokeweight="0"/>
            <v:rect id="_x0000_s1723" style="position:absolute;left:5420;top:-12;width:10;height:12" fillcolor="#d0d7e5" stroked="f"/>
            <v:line id="_x0000_s1724" style="position:absolute" from="5420,23" to="5421,244" strokecolor="#d0d7e5" strokeweight="0"/>
            <v:rect id="_x0000_s1725" style="position:absolute;left:5420;top:23;width:10;height:221" fillcolor="#d0d7e5" stroked="f"/>
            <v:line id="_x0000_s1726" style="position:absolute;flip:y" from="6318,0" to="6319,1" strokecolor="#d0d7e5" strokeweight="0"/>
            <v:rect id="_x0000_s1727" style="position:absolute;left:6318;top:-12;width:10;height:12" fillcolor="#d0d7e5" stroked="f"/>
            <v:line id="_x0000_s1728" style="position:absolute" from="6318,23" to="6319,244" strokecolor="#d0d7e5" strokeweight="0"/>
            <v:rect id="_x0000_s1729" style="position:absolute;left:6318;top:23;width:10;height:221" fillcolor="#d0d7e5" stroked="f"/>
            <v:line id="_x0000_s1730" style="position:absolute;flip:y" from="7215,0" to="7216,1" strokecolor="#d0d7e5" strokeweight="0"/>
            <v:rect id="_x0000_s1731" style="position:absolute;left:7215;top:-12;width:11;height:12" fillcolor="#d0d7e5" stroked="f"/>
            <v:line id="_x0000_s1732" style="position:absolute;flip:y" from="8189,0" to="8190,1" strokecolor="#d0d7e5" strokeweight="0"/>
            <v:rect id="_x0000_s1733" style="position:absolute;left:8189;top:-12;width:11;height:12" fillcolor="#d0d7e5" stroked="f"/>
            <v:line id="_x0000_s1734" style="position:absolute" from="2434,256" to="2435,708" strokecolor="#d0d7e5" strokeweight="0"/>
            <v:rect id="_x0000_s1735" style="position:absolute;left:2434;top:256;width:11;height:452" fillcolor="#d0d7e5" stroked="f"/>
            <v:line id="_x0000_s1736" style="position:absolute" from="2726,256" to="2727,708" strokecolor="#d0d7e5" strokeweight="0"/>
            <v:rect id="_x0000_s1737" style="position:absolute;left:2726;top:256;width:11;height:452" fillcolor="#d0d7e5" stroked="f"/>
            <v:line id="_x0000_s1738" style="position:absolute" from="3624,256" to="3625,708" strokecolor="#d0d7e5" strokeweight="0"/>
            <v:rect id="_x0000_s1739" style="position:absolute;left:3624;top:256;width:11;height:452" fillcolor="#d0d7e5" stroked="f"/>
            <v:line id="_x0000_s1740" style="position:absolute" from="4522,256" to="4523,708" strokecolor="#d0d7e5" strokeweight="0"/>
            <v:rect id="_x0000_s1741" style="position:absolute;left:4522;top:256;width:11;height:452" fillcolor="#d0d7e5" stroked="f"/>
            <v:line id="_x0000_s1742" style="position:absolute" from="5420,256" to="5421,708" strokecolor="#d0d7e5" strokeweight="0"/>
            <v:rect id="_x0000_s1743" style="position:absolute;left:5420;top:256;width:10;height:452" fillcolor="#d0d7e5" stroked="f"/>
            <v:line id="_x0000_s1744" style="position:absolute" from="6318,256" to="6319,708" strokecolor="#d0d7e5" strokeweight="0"/>
            <v:rect id="_x0000_s1745" style="position:absolute;left:6318;top:256;width:10;height:452" fillcolor="#d0d7e5" stroked="f"/>
            <v:line id="_x0000_s1746" style="position:absolute" from="22,708" to="7215,709" strokeweight="0"/>
            <v:rect id="_x0000_s1747" style="position:absolute;left:22;top:708;width:7193;height:12" fillcolor="black" stroked="f"/>
            <v:line id="_x0000_s1748" style="position:absolute" from="2434,720" to="2435,1173" strokecolor="#d0d7e5" strokeweight="0"/>
            <v:rect id="_x0000_s1749" style="position:absolute;left:2434;top:720;width:11;height:453" fillcolor="#d0d7e5" stroked="f"/>
            <v:line id="_x0000_s1750" style="position:absolute" from="2726,720" to="2727,1173" strokecolor="#d0d7e5" strokeweight="0"/>
            <v:rect id="_x0000_s1751" style="position:absolute;left:2726;top:720;width:11;height:453" fillcolor="#d0d7e5" stroked="f"/>
            <v:line id="_x0000_s1752" style="position:absolute" from="3624,720" to="3625,1173" strokecolor="#d0d7e5" strokeweight="0"/>
            <v:rect id="_x0000_s1753" style="position:absolute;left:3624;top:720;width:11;height:453" fillcolor="#d0d7e5" stroked="f"/>
            <v:line id="_x0000_s1754" style="position:absolute" from="4522,720" to="4523,1173" strokecolor="#d0d7e5" strokeweight="0"/>
            <v:rect id="_x0000_s1755" style="position:absolute;left:4522;top:720;width:11;height:453" fillcolor="#d0d7e5" stroked="f"/>
            <v:line id="_x0000_s1756" style="position:absolute" from="5420,720" to="5421,1173" strokecolor="#d0d7e5" strokeweight="0"/>
            <v:rect id="_x0000_s1757" style="position:absolute;left:5420;top:720;width:10;height:453" fillcolor="#d0d7e5" stroked="f"/>
            <v:line id="_x0000_s1758" style="position:absolute" from="6318,720" to="6319,1173" strokecolor="#d0d7e5" strokeweight="0"/>
            <v:rect id="_x0000_s1759" style="position:absolute;left:6318;top:720;width:10;height:453" fillcolor="#d0d7e5" stroked="f"/>
            <v:line id="_x0000_s1760" style="position:absolute" from="22,1173" to="7215,1174" strokeweight="0"/>
            <v:rect id="_x0000_s1761" style="position:absolute;left:22;top:1173;width:7193;height:12" fillcolor="black" stroked="f"/>
            <v:line id="_x0000_s1762" style="position:absolute" from="2434,1185" to="2435,1649" strokecolor="#d0d7e5" strokeweight="0"/>
            <v:rect id="_x0000_s1763" style="position:absolute;left:2434;top:1185;width:11;height:464" fillcolor="#d0d7e5" stroked="f"/>
            <v:line id="_x0000_s1764" style="position:absolute" from="2726,1185" to="2727,1649" strokecolor="#d0d7e5" strokeweight="0"/>
            <v:rect id="_x0000_s1765" style="position:absolute;left:2726;top:1185;width:11;height:464" fillcolor="#d0d7e5" stroked="f"/>
            <v:line id="_x0000_s1766" style="position:absolute" from="3624,1185" to="3625,1649" strokecolor="#d0d7e5" strokeweight="0"/>
            <v:rect id="_x0000_s1767" style="position:absolute;left:3624;top:1185;width:11;height:464" fillcolor="#d0d7e5" stroked="f"/>
            <v:line id="_x0000_s1768" style="position:absolute" from="4522,1185" to="4523,1649" strokecolor="#d0d7e5" strokeweight="0"/>
            <v:rect id="_x0000_s1769" style="position:absolute;left:4522;top:1185;width:11;height:464" fillcolor="#d0d7e5" stroked="f"/>
            <v:line id="_x0000_s1770" style="position:absolute" from="5420,1185" to="5421,1649" strokecolor="#d0d7e5" strokeweight="0"/>
            <v:rect id="_x0000_s1771" style="position:absolute;left:5420;top:1185;width:10;height:464" fillcolor="#d0d7e5" stroked="f"/>
            <v:line id="_x0000_s1772" style="position:absolute" from="6318,1185" to="6319,1649" strokecolor="#d0d7e5" strokeweight="0"/>
            <v:rect id="_x0000_s1773" style="position:absolute;left:6318;top:1185;width:10;height:464" fillcolor="#d0d7e5" stroked="f"/>
            <v:rect id="_x0000_s1774" style="position:absolute;left:-11;top:-12;width:33;height:2161" fillcolor="black" stroked="f"/>
            <v:line id="_x0000_s1775" style="position:absolute" from="2434,1661" to="2435,2114" strokecolor="#d0d7e5" strokeweight="0"/>
            <v:rect id="_x0000_s1776" style="position:absolute;left:2434;top:1661;width:11;height:453" fillcolor="#d0d7e5" stroked="f"/>
            <v:line id="_x0000_s1777" style="position:absolute" from="2726,1661" to="2727,2114" strokecolor="#d0d7e5" strokeweight="0"/>
            <v:rect id="_x0000_s1778" style="position:absolute;left:2726;top:1661;width:11;height:453" fillcolor="#d0d7e5" stroked="f"/>
            <v:line id="_x0000_s1779" style="position:absolute" from="3624,1661" to="3625,2114" strokecolor="#d0d7e5" strokeweight="0"/>
            <v:rect id="_x0000_s1780" style="position:absolute;left:3624;top:1661;width:11;height:453" fillcolor="#d0d7e5" stroked="f"/>
            <v:line id="_x0000_s1781" style="position:absolute" from="4522,1661" to="4523,2114" strokecolor="#d0d7e5" strokeweight="0"/>
            <v:rect id="_x0000_s1782" style="position:absolute;left:4522;top:1661;width:11;height:453" fillcolor="#d0d7e5" stroked="f"/>
            <v:line id="_x0000_s1783" style="position:absolute" from="5420,1661" to="5421,2114" strokecolor="#d0d7e5" strokeweight="0"/>
            <v:rect id="_x0000_s1784" style="position:absolute;left:5420;top:1661;width:10;height:453" fillcolor="#d0d7e5" stroked="f"/>
            <v:line id="_x0000_s1785" style="position:absolute" from="6318,1661" to="6319,2114" strokecolor="#d0d7e5" strokeweight="0"/>
            <v:rect id="_x0000_s1786" style="position:absolute;left:6318;top:1661;width:10;height:453" fillcolor="#d0d7e5" stroked="f"/>
            <v:line id="_x0000_s1787" style="position:absolute" from="7215,23" to="7216,2114" strokeweight="0"/>
            <v:rect id="_x0000_s1788" style="position:absolute;left:7215;top:23;width:11;height:2091" fillcolor="black" stroked="f"/>
            <v:rect id="_x0000_s1789" style="position:absolute;left:8178;top:23;width:33;height:2126" fillcolor="black" stroked="f"/>
            <v:rect id="_x0000_s1790" style="position:absolute;left:-11;top:1;width:8189;height:35" fillcolor="black" stroked="f"/>
            <v:line id="_x0000_s1791" style="position:absolute" from="22,244" to="8178,245" strokeweight="0"/>
            <v:rect id="_x0000_s1792" style="position:absolute;left:22;top:244;width:8156;height:12" fillcolor="black" stroked="f"/>
            <v:line id="_x0000_s1793" style="position:absolute" from="7226,708" to="8178,709" strokeweight="0"/>
            <v:rect id="_x0000_s1794" style="position:absolute;left:7226;top:708;width:952;height:12" fillcolor="black" stroked="f"/>
            <v:line id="_x0000_s1795" style="position:absolute" from="7226,1173" to="8178,1174" strokeweight="0"/>
            <v:rect id="_x0000_s1796" style="position:absolute;left:7226;top:1173;width:952;height:12" fillcolor="black" stroked="f"/>
            <v:line id="_x0000_s1797" style="position:absolute" from="22,1649" to="8178,1650" strokeweight="0"/>
            <v:rect id="_x0000_s1798" style="position:absolute;left:22;top:1649;width:8156;height:12" fillcolor="black" stroked="f"/>
            <v:rect id="_x0000_s1799" style="position:absolute;left:22;top:2114;width:8189;height:35" fillcolor="black" stroked="f"/>
            <w10:wrap type="none"/>
            <w10:anchorlock/>
          </v:group>
        </w:pict>
      </w:r>
    </w:p>
    <w:p w:rsidR="0086122E" w:rsidRPr="0086122E" w:rsidRDefault="0086122E" w:rsidP="00266E5D">
      <w:pPr>
        <w:tabs>
          <w:tab w:val="left" w:pos="8730"/>
        </w:tabs>
        <w:rPr>
          <w:color w:val="7030A0"/>
        </w:rPr>
      </w:pPr>
    </w:p>
    <w:p w:rsidR="00BC75D3" w:rsidRPr="006D7B2F" w:rsidRDefault="00BC75D3" w:rsidP="00BC75D3">
      <w:pPr>
        <w:pStyle w:val="BudgetHeading2"/>
        <w:numPr>
          <w:ilvl w:val="0"/>
          <w:numId w:val="0"/>
        </w:numPr>
        <w:rPr>
          <w:b w:val="0"/>
        </w:rPr>
      </w:pPr>
      <w:r w:rsidRPr="006D7B2F">
        <w:rPr>
          <w:b w:val="0"/>
        </w:rPr>
        <w:t>ATF conducts outreach with the industries to educate and encourage voluntary controls and cooperation with law enforcement officials.  ATF’s regulatory function is a key component in the effort to stem the flow of firearms to prohibited persons and criminal organizations.</w:t>
      </w:r>
    </w:p>
    <w:p w:rsidR="00D27876" w:rsidRPr="00C476A6" w:rsidRDefault="006D7B2F" w:rsidP="00D27876">
      <w:pPr>
        <w:pStyle w:val="BodyText"/>
        <w:spacing w:before="100" w:beforeAutospacing="1" w:after="100" w:afterAutospacing="1"/>
        <w:rPr>
          <w:rFonts w:eastAsia="Arial Unicode MS"/>
          <w:szCs w:val="24"/>
        </w:rPr>
      </w:pPr>
      <w:r w:rsidRPr="00762F09">
        <w:rPr>
          <w:szCs w:val="24"/>
        </w:rPr>
        <w:t>ATF enforc</w:t>
      </w:r>
      <w:r>
        <w:rPr>
          <w:szCs w:val="24"/>
        </w:rPr>
        <w:t>es</w:t>
      </w:r>
      <w:r w:rsidRPr="00762F09">
        <w:rPr>
          <w:szCs w:val="24"/>
        </w:rPr>
        <w:t xml:space="preserve"> the provisions of the Gun Control Act (GCA) </w:t>
      </w:r>
      <w:r>
        <w:rPr>
          <w:szCs w:val="24"/>
        </w:rPr>
        <w:t xml:space="preserve">of 1968 </w:t>
      </w:r>
      <w:r w:rsidRPr="00762F09">
        <w:rPr>
          <w:szCs w:val="24"/>
        </w:rPr>
        <w:t>and the National Firearms Act (NFA)</w:t>
      </w:r>
      <w:r>
        <w:rPr>
          <w:szCs w:val="24"/>
        </w:rPr>
        <w:t xml:space="preserve"> of 1934</w:t>
      </w:r>
      <w:r w:rsidR="00455383">
        <w:rPr>
          <w:szCs w:val="24"/>
        </w:rPr>
        <w:t>--</w:t>
      </w:r>
      <w:r w:rsidRPr="00762F09">
        <w:rPr>
          <w:szCs w:val="24"/>
        </w:rPr>
        <w:t xml:space="preserve">the two major laws enacted by Congress </w:t>
      </w:r>
      <w:r>
        <w:rPr>
          <w:szCs w:val="24"/>
        </w:rPr>
        <w:t>addressing</w:t>
      </w:r>
      <w:r w:rsidRPr="00762F09">
        <w:rPr>
          <w:szCs w:val="24"/>
        </w:rPr>
        <w:t xml:space="preserve"> firearms violence.  ATF </w:t>
      </w:r>
      <w:r w:rsidR="00455383">
        <w:rPr>
          <w:szCs w:val="24"/>
        </w:rPr>
        <w:t>oversees</w:t>
      </w:r>
      <w:r w:rsidRPr="00762F09">
        <w:rPr>
          <w:szCs w:val="24"/>
        </w:rPr>
        <w:t xml:space="preserve"> the importation of arms, ammunitions, and implements of war as authorized by the Arms Export Control Act</w:t>
      </w:r>
      <w:r>
        <w:rPr>
          <w:szCs w:val="24"/>
        </w:rPr>
        <w:t xml:space="preserve"> of 1976</w:t>
      </w:r>
      <w:r w:rsidRPr="00762F09">
        <w:rPr>
          <w:szCs w:val="24"/>
        </w:rPr>
        <w:t>.  ATF enforces</w:t>
      </w:r>
      <w:r>
        <w:rPr>
          <w:rFonts w:eastAsia="Arial Unicode MS"/>
          <w:szCs w:val="24"/>
        </w:rPr>
        <w:t xml:space="preserve"> the explosives and arson laws enacted by Title XI of the Organized Crime Control Act, as well as provisions of</w:t>
      </w:r>
      <w:r w:rsidRPr="00762F09">
        <w:rPr>
          <w:rFonts w:eastAsia="Arial Unicode MS"/>
          <w:szCs w:val="24"/>
        </w:rPr>
        <w:t xml:space="preserve"> </w:t>
      </w:r>
      <w:r w:rsidRPr="00762F09">
        <w:rPr>
          <w:szCs w:val="24"/>
        </w:rPr>
        <w:t>the Safe Explosives Act of 2002 (SEA)</w:t>
      </w:r>
      <w:r>
        <w:rPr>
          <w:szCs w:val="24"/>
        </w:rPr>
        <w:t>,</w:t>
      </w:r>
      <w:r w:rsidRPr="00762F09">
        <w:rPr>
          <w:szCs w:val="24"/>
        </w:rPr>
        <w:t xml:space="preserve"> which </w:t>
      </w:r>
      <w:r w:rsidRPr="00762F09">
        <w:rPr>
          <w:rFonts w:eastAsia="Arial Unicode MS"/>
          <w:szCs w:val="24"/>
        </w:rPr>
        <w:t xml:space="preserve">expanded the </w:t>
      </w:r>
      <w:r w:rsidR="00D31D89">
        <w:rPr>
          <w:rFonts w:eastAsia="Arial Unicode MS"/>
          <w:szCs w:val="24"/>
        </w:rPr>
        <w:t>Federal</w:t>
      </w:r>
      <w:r w:rsidR="00D568CF">
        <w:rPr>
          <w:rFonts w:eastAsia="Arial Unicode MS"/>
          <w:szCs w:val="24"/>
        </w:rPr>
        <w:t xml:space="preserve"> </w:t>
      </w:r>
      <w:r w:rsidRPr="00762F09">
        <w:rPr>
          <w:rFonts w:eastAsia="Arial Unicode MS"/>
          <w:szCs w:val="24"/>
        </w:rPr>
        <w:t xml:space="preserve">explosives </w:t>
      </w:r>
      <w:r>
        <w:rPr>
          <w:rFonts w:eastAsia="Arial Unicode MS"/>
          <w:szCs w:val="24"/>
        </w:rPr>
        <w:t xml:space="preserve">laws and </w:t>
      </w:r>
      <w:r w:rsidRPr="00762F09">
        <w:rPr>
          <w:rFonts w:eastAsia="Arial Unicode MS"/>
          <w:szCs w:val="24"/>
        </w:rPr>
        <w:t>regulations by placing controls on the intra</w:t>
      </w:r>
      <w:r w:rsidR="00D31D89">
        <w:rPr>
          <w:rFonts w:eastAsia="Arial Unicode MS"/>
          <w:szCs w:val="24"/>
        </w:rPr>
        <w:t>state</w:t>
      </w:r>
      <w:r w:rsidRPr="00762F09">
        <w:rPr>
          <w:rFonts w:eastAsia="Arial Unicode MS"/>
          <w:szCs w:val="24"/>
        </w:rPr>
        <w:t xml:space="preserve"> movement of explosives and mandating that all persons who receive explosives obtain a </w:t>
      </w:r>
      <w:r w:rsidR="00D31D89">
        <w:rPr>
          <w:rFonts w:eastAsia="Arial Unicode MS"/>
          <w:szCs w:val="24"/>
        </w:rPr>
        <w:t>Federal</w:t>
      </w:r>
      <w:r w:rsidRPr="00762F09">
        <w:rPr>
          <w:rFonts w:eastAsia="Arial Unicode MS"/>
          <w:szCs w:val="24"/>
        </w:rPr>
        <w:t xml:space="preserve"> </w:t>
      </w:r>
      <w:r>
        <w:rPr>
          <w:rFonts w:eastAsia="Arial Unicode MS"/>
          <w:szCs w:val="24"/>
        </w:rPr>
        <w:t xml:space="preserve">license or </w:t>
      </w:r>
      <w:r w:rsidRPr="00762F09">
        <w:rPr>
          <w:rFonts w:eastAsia="Arial Unicode MS"/>
          <w:szCs w:val="24"/>
        </w:rPr>
        <w:t xml:space="preserve">permit </w:t>
      </w:r>
      <w:r>
        <w:rPr>
          <w:rFonts w:eastAsia="Arial Unicode MS"/>
          <w:szCs w:val="24"/>
        </w:rPr>
        <w:t xml:space="preserve">and </w:t>
      </w:r>
      <w:r w:rsidRPr="00762F09">
        <w:rPr>
          <w:rFonts w:eastAsia="Arial Unicode MS"/>
          <w:szCs w:val="24"/>
        </w:rPr>
        <w:t>undergo a background check.</w:t>
      </w:r>
      <w:r w:rsidR="00D27876">
        <w:rPr>
          <w:rFonts w:eastAsia="Arial Unicode MS"/>
          <w:szCs w:val="24"/>
        </w:rPr>
        <w:t xml:space="preserve">  </w:t>
      </w:r>
      <w:r w:rsidR="00D27876">
        <w:t xml:space="preserve">ATF enforces the Contraband Cigarette Trafficking Act (CCTA), which focuses on detecting and disrupting tax evasion at the </w:t>
      </w:r>
      <w:r w:rsidR="00D31D89">
        <w:t>state</w:t>
      </w:r>
      <w:r w:rsidR="00D27876">
        <w:t xml:space="preserve"> and</w:t>
      </w:r>
      <w:r w:rsidR="004C3A2A">
        <w:t xml:space="preserve"> </w:t>
      </w:r>
      <w:r w:rsidR="004C3A2A" w:rsidRPr="00C476A6">
        <w:t>local levels in interstate commerce</w:t>
      </w:r>
      <w:r w:rsidR="00D27876" w:rsidRPr="00C476A6">
        <w:t xml:space="preserve">. </w:t>
      </w:r>
    </w:p>
    <w:p w:rsidR="00633BD0" w:rsidRDefault="00633BD0" w:rsidP="008B20F0">
      <w:pPr>
        <w:pStyle w:val="BodyText"/>
        <w:keepNext/>
        <w:rPr>
          <w:b/>
          <w:bCs/>
          <w:szCs w:val="24"/>
        </w:rPr>
      </w:pPr>
      <w:r>
        <w:rPr>
          <w:b/>
          <w:bCs/>
          <w:szCs w:val="24"/>
        </w:rPr>
        <w:t xml:space="preserve">D.  </w:t>
      </w:r>
      <w:r w:rsidR="007068E5">
        <w:rPr>
          <w:b/>
          <w:bCs/>
          <w:szCs w:val="24"/>
        </w:rPr>
        <w:t>Impacts on Violent Crime</w:t>
      </w:r>
      <w:r>
        <w:rPr>
          <w:b/>
          <w:bCs/>
          <w:szCs w:val="24"/>
        </w:rPr>
        <w:t>s</w:t>
      </w:r>
    </w:p>
    <w:p w:rsidR="00633BD0" w:rsidRDefault="00633BD0" w:rsidP="008B20F0">
      <w:pPr>
        <w:pStyle w:val="BodyText"/>
        <w:keepNext/>
        <w:rPr>
          <w:b/>
          <w:bCs/>
          <w:szCs w:val="24"/>
        </w:rPr>
      </w:pPr>
    </w:p>
    <w:p w:rsidR="00633BD0" w:rsidRPr="00633BD0" w:rsidRDefault="00633BD0" w:rsidP="008B20F0">
      <w:pPr>
        <w:pStyle w:val="BodyText"/>
        <w:keepNext/>
        <w:rPr>
          <w:bCs/>
          <w:szCs w:val="24"/>
        </w:rPr>
      </w:pPr>
      <w:r w:rsidRPr="00633BD0">
        <w:rPr>
          <w:bCs/>
          <w:szCs w:val="24"/>
        </w:rPr>
        <w:t>ATF has played a significant role in reducing viole</w:t>
      </w:r>
      <w:r>
        <w:rPr>
          <w:bCs/>
          <w:szCs w:val="24"/>
        </w:rPr>
        <w:t>nt crime in the Uni</w:t>
      </w:r>
      <w:r w:rsidR="004671E3">
        <w:rPr>
          <w:bCs/>
          <w:szCs w:val="24"/>
        </w:rPr>
        <w:t xml:space="preserve">ted </w:t>
      </w:r>
      <w:r w:rsidR="00D31D89">
        <w:rPr>
          <w:bCs/>
          <w:szCs w:val="24"/>
        </w:rPr>
        <w:t>State</w:t>
      </w:r>
      <w:r w:rsidR="004671E3">
        <w:rPr>
          <w:bCs/>
          <w:szCs w:val="24"/>
        </w:rPr>
        <w:t>s.  The following stati</w:t>
      </w:r>
      <w:r w:rsidR="00ED37A0">
        <w:rPr>
          <w:bCs/>
          <w:szCs w:val="24"/>
        </w:rPr>
        <w:t>sti</w:t>
      </w:r>
      <w:r w:rsidR="004671E3">
        <w:rPr>
          <w:bCs/>
          <w:szCs w:val="24"/>
        </w:rPr>
        <w:t xml:space="preserve">cs demonstrate ATF’s </w:t>
      </w:r>
      <w:r w:rsidR="00C34643">
        <w:rPr>
          <w:bCs/>
          <w:szCs w:val="24"/>
        </w:rPr>
        <w:t>performance</w:t>
      </w:r>
      <w:r w:rsidR="004671E3">
        <w:rPr>
          <w:bCs/>
          <w:szCs w:val="24"/>
        </w:rPr>
        <w:t>.</w:t>
      </w:r>
    </w:p>
    <w:p w:rsidR="00633BD0" w:rsidRPr="00633BD0" w:rsidRDefault="00633BD0" w:rsidP="00633BD0"/>
    <w:p w:rsidR="00633BD0" w:rsidRPr="00D10B2D" w:rsidRDefault="00633BD0" w:rsidP="00633BD0">
      <w:pPr>
        <w:pStyle w:val="ListParagraph"/>
        <w:numPr>
          <w:ilvl w:val="0"/>
          <w:numId w:val="55"/>
        </w:numPr>
      </w:pPr>
      <w:r w:rsidRPr="00D10B2D">
        <w:t xml:space="preserve">Between fiscal years 2003 and </w:t>
      </w:r>
      <w:r w:rsidR="005E7548" w:rsidRPr="00D10B2D">
        <w:t>2011</w:t>
      </w:r>
      <w:r w:rsidRPr="00D10B2D">
        <w:t xml:space="preserve">, across all of ATF’s violent crime programs, ATF recommended </w:t>
      </w:r>
      <w:r w:rsidR="005E7548" w:rsidRPr="00D10B2D">
        <w:t>110,650</w:t>
      </w:r>
      <w:r w:rsidRPr="00D10B2D">
        <w:t xml:space="preserve"> cases and </w:t>
      </w:r>
      <w:r w:rsidR="00F832F5" w:rsidRPr="00D10B2D">
        <w:t>162,577</w:t>
      </w:r>
      <w:r w:rsidRPr="00D10B2D">
        <w:t xml:space="preserve"> defendants for prosecution.  </w:t>
      </w:r>
    </w:p>
    <w:p w:rsidR="00633BD0" w:rsidRPr="00D10B2D" w:rsidRDefault="00F832F5" w:rsidP="00633BD0">
      <w:pPr>
        <w:pStyle w:val="ListParagraph"/>
        <w:numPr>
          <w:ilvl w:val="0"/>
          <w:numId w:val="55"/>
        </w:numPr>
      </w:pPr>
      <w:r w:rsidRPr="00D10B2D">
        <w:t xml:space="preserve">Over 61% </w:t>
      </w:r>
      <w:r w:rsidR="00633BD0" w:rsidRPr="00D10B2D">
        <w:t>of these defendants are previously convicted felons and 84% have prior arrest records.</w:t>
      </w:r>
    </w:p>
    <w:p w:rsidR="000729D9" w:rsidRPr="00D10B2D" w:rsidRDefault="00633BD0" w:rsidP="000729D9">
      <w:pPr>
        <w:pStyle w:val="ListParagraph"/>
        <w:numPr>
          <w:ilvl w:val="0"/>
          <w:numId w:val="55"/>
        </w:numPr>
      </w:pPr>
      <w:r w:rsidRPr="00D10B2D">
        <w:t xml:space="preserve">Of those recommended for prosecution, approximately </w:t>
      </w:r>
      <w:r w:rsidR="00F832F5" w:rsidRPr="00D10B2D">
        <w:t xml:space="preserve">84,000 </w:t>
      </w:r>
      <w:r w:rsidRPr="00D10B2D">
        <w:t xml:space="preserve">of the cases resulted in the indictment of about </w:t>
      </w:r>
      <w:r w:rsidR="00F832F5" w:rsidRPr="00D10B2D">
        <w:t xml:space="preserve">121,200 </w:t>
      </w:r>
      <w:r w:rsidRPr="00D10B2D">
        <w:t xml:space="preserve">defendants; of those, almost </w:t>
      </w:r>
      <w:r w:rsidR="00F832F5" w:rsidRPr="00D10B2D">
        <w:t xml:space="preserve">66,200 </w:t>
      </w:r>
      <w:r w:rsidRPr="00D10B2D">
        <w:t xml:space="preserve">cases resulted in the conviction of about </w:t>
      </w:r>
      <w:r w:rsidR="00F832F5" w:rsidRPr="00D10B2D">
        <w:t xml:space="preserve">92,000 </w:t>
      </w:r>
      <w:r w:rsidRPr="00D10B2D">
        <w:t xml:space="preserve">defendants.  </w:t>
      </w:r>
    </w:p>
    <w:p w:rsidR="000729D9" w:rsidRPr="00D10B2D" w:rsidRDefault="00F832F5" w:rsidP="000729D9">
      <w:pPr>
        <w:pStyle w:val="ListParagraph"/>
        <w:numPr>
          <w:ilvl w:val="0"/>
          <w:numId w:val="55"/>
        </w:numPr>
      </w:pPr>
      <w:r w:rsidRPr="00D10B2D">
        <w:t xml:space="preserve">Nearly 74,600 </w:t>
      </w:r>
      <w:r w:rsidR="00633BD0" w:rsidRPr="00D10B2D">
        <w:t xml:space="preserve">defendants sentenced to an average prison term of </w:t>
      </w:r>
      <w:r w:rsidRPr="00D10B2D">
        <w:t xml:space="preserve">170 </w:t>
      </w:r>
      <w:r w:rsidR="00633BD0" w:rsidRPr="00D10B2D">
        <w:t>months.</w:t>
      </w:r>
      <w:r w:rsidR="000729D9" w:rsidRPr="00D10B2D">
        <w:t xml:space="preserve"> </w:t>
      </w:r>
    </w:p>
    <w:p w:rsidR="000729D9" w:rsidRPr="00D10B2D" w:rsidRDefault="000729D9" w:rsidP="000729D9">
      <w:pPr>
        <w:pStyle w:val="ListParagraph"/>
        <w:numPr>
          <w:ilvl w:val="0"/>
          <w:numId w:val="55"/>
        </w:numPr>
      </w:pPr>
      <w:r w:rsidRPr="00D10B2D">
        <w:t>From FY 2003 through FY</w:t>
      </w:r>
      <w:r w:rsidR="00DC7A4D" w:rsidRPr="00D10B2D">
        <w:t xml:space="preserve"> </w:t>
      </w:r>
      <w:r w:rsidR="00F832F5" w:rsidRPr="00D10B2D">
        <w:t>2011</w:t>
      </w:r>
      <w:r w:rsidRPr="00D10B2D">
        <w:t xml:space="preserve">, ATF recommended prosecution of </w:t>
      </w:r>
      <w:r w:rsidR="00AE07D7" w:rsidRPr="00D10B2D">
        <w:t xml:space="preserve">15,613 </w:t>
      </w:r>
      <w:r w:rsidRPr="00D10B2D">
        <w:t xml:space="preserve">cases and </w:t>
      </w:r>
      <w:r w:rsidR="00AE07D7" w:rsidRPr="00D10B2D">
        <w:t xml:space="preserve">30,388 </w:t>
      </w:r>
      <w:r w:rsidRPr="00D10B2D">
        <w:t xml:space="preserve">defendants for firearms trafficking- related offenses involving an estimated </w:t>
      </w:r>
      <w:r w:rsidR="00AE07D7" w:rsidRPr="00D10B2D">
        <w:t xml:space="preserve">494,562 </w:t>
      </w:r>
      <w:r w:rsidRPr="00D10B2D">
        <w:t>weapons.</w:t>
      </w:r>
    </w:p>
    <w:p w:rsidR="00ED37A0" w:rsidRPr="00D10B2D" w:rsidRDefault="00ED37A0" w:rsidP="00ED37A0">
      <w:pPr>
        <w:pStyle w:val="ListParagraph"/>
        <w:numPr>
          <w:ilvl w:val="0"/>
          <w:numId w:val="55"/>
        </w:numPr>
      </w:pPr>
      <w:r w:rsidRPr="00D10B2D">
        <w:lastRenderedPageBreak/>
        <w:t>In FY</w:t>
      </w:r>
      <w:r w:rsidR="00DC7A4D" w:rsidRPr="00D10B2D">
        <w:t xml:space="preserve"> </w:t>
      </w:r>
      <w:r w:rsidR="00AE07D7" w:rsidRPr="00D10B2D">
        <w:t>2011</w:t>
      </w:r>
      <w:r w:rsidRPr="00D10B2D">
        <w:t>, ATF’s tobacco diversion program seized $</w:t>
      </w:r>
      <w:r w:rsidR="00AE07D7" w:rsidRPr="00D10B2D">
        <w:t>31.9</w:t>
      </w:r>
      <w:r w:rsidRPr="00D10B2D">
        <w:t xml:space="preserve"> million in crime proceeds in tobacco diversion.  These funds are either available for new </w:t>
      </w:r>
      <w:r w:rsidR="00987591">
        <w:t xml:space="preserve">tobacco diversion </w:t>
      </w:r>
      <w:r w:rsidRPr="00D10B2D">
        <w:t>cases or are recouped to the Asset Forfeiture Fund.</w:t>
      </w:r>
    </w:p>
    <w:p w:rsidR="000729D9" w:rsidRPr="00D10B2D" w:rsidRDefault="000729D9" w:rsidP="000729D9">
      <w:pPr>
        <w:pStyle w:val="ListParagraph"/>
        <w:numPr>
          <w:ilvl w:val="0"/>
          <w:numId w:val="55"/>
        </w:numPr>
      </w:pPr>
      <w:r w:rsidRPr="00D10B2D">
        <w:t xml:space="preserve">In FY 2009-10, ATF conducted an integrated training program focusing on firearms tracing, trafficking, and enforcement strategies for 2,892 </w:t>
      </w:r>
      <w:r w:rsidR="00D31D89" w:rsidRPr="00D10B2D">
        <w:t>Federal</w:t>
      </w:r>
      <w:r w:rsidRPr="00D10B2D">
        <w:t xml:space="preserve">, </w:t>
      </w:r>
      <w:r w:rsidR="00D31D89" w:rsidRPr="00D10B2D">
        <w:t>state</w:t>
      </w:r>
      <w:r w:rsidRPr="00D10B2D">
        <w:t>, and local law enforcement personnel.</w:t>
      </w:r>
    </w:p>
    <w:p w:rsidR="00633BD0" w:rsidRDefault="00633BD0" w:rsidP="000729D9">
      <w:pPr>
        <w:ind w:left="360"/>
      </w:pPr>
    </w:p>
    <w:p w:rsidR="000729D9" w:rsidRDefault="000729D9" w:rsidP="000729D9">
      <w:r>
        <w:t xml:space="preserve">ATF’s </w:t>
      </w:r>
      <w:r w:rsidR="00ED37A0">
        <w:t xml:space="preserve">active interdiction of </w:t>
      </w:r>
      <w:r>
        <w:t xml:space="preserve">firearms trafficking in the Southwest Border </w:t>
      </w:r>
      <w:r w:rsidR="00D31D89">
        <w:t>State</w:t>
      </w:r>
      <w:r w:rsidRPr="00A93EF9">
        <w:t>s</w:t>
      </w:r>
      <w:r>
        <w:t xml:space="preserve"> of Arizona, California, New Mexico, and Texas between FY 2005 and FY 201</w:t>
      </w:r>
      <w:r w:rsidR="00DC7A4D">
        <w:t>1</w:t>
      </w:r>
      <w:r w:rsidR="00ED37A0">
        <w:t xml:space="preserve"> is shown below.</w:t>
      </w:r>
    </w:p>
    <w:p w:rsidR="00AE07D7" w:rsidRPr="00AE07D7" w:rsidRDefault="00AE07D7" w:rsidP="000729D9">
      <w:pPr>
        <w:rPr>
          <w:color w:val="FF00FF"/>
        </w:rPr>
      </w:pPr>
    </w:p>
    <w:p w:rsidR="000729D9" w:rsidRPr="00D10B2D" w:rsidRDefault="00AE07D7" w:rsidP="000729D9">
      <w:pPr>
        <w:pStyle w:val="ListParagraph"/>
        <w:numPr>
          <w:ilvl w:val="0"/>
          <w:numId w:val="56"/>
        </w:numPr>
      </w:pPr>
      <w:r w:rsidRPr="00D10B2D">
        <w:t xml:space="preserve">1,471 </w:t>
      </w:r>
      <w:r w:rsidR="000729D9" w:rsidRPr="00D10B2D">
        <w:t>cases involving</w:t>
      </w:r>
      <w:r w:rsidRPr="00D10B2D">
        <w:t xml:space="preserve"> </w:t>
      </w:r>
      <w:r w:rsidR="005E7548" w:rsidRPr="00D10B2D">
        <w:t>3,438</w:t>
      </w:r>
      <w:r w:rsidRPr="00D10B2D">
        <w:t xml:space="preserve"> </w:t>
      </w:r>
      <w:r w:rsidR="000729D9" w:rsidRPr="00D10B2D">
        <w:t>defendants have been recommended for prosecution.</w:t>
      </w:r>
    </w:p>
    <w:p w:rsidR="000729D9" w:rsidRPr="00D10B2D" w:rsidRDefault="00AE07D7" w:rsidP="000729D9">
      <w:pPr>
        <w:pStyle w:val="ListParagraph"/>
        <w:numPr>
          <w:ilvl w:val="0"/>
          <w:numId w:val="56"/>
        </w:numPr>
      </w:pPr>
      <w:r w:rsidRPr="00D10B2D">
        <w:t xml:space="preserve">As of September 30, 2011, 2,376 </w:t>
      </w:r>
      <w:r w:rsidR="000729D9" w:rsidRPr="00D10B2D">
        <w:t xml:space="preserve">defendants have been arrested, </w:t>
      </w:r>
      <w:r w:rsidRPr="00D10B2D">
        <w:t xml:space="preserve">2,338 </w:t>
      </w:r>
      <w:r w:rsidR="000729D9" w:rsidRPr="00D10B2D">
        <w:t xml:space="preserve">defendants have been indicted, </w:t>
      </w:r>
      <w:r w:rsidRPr="00D10B2D">
        <w:t xml:space="preserve">1,549 </w:t>
      </w:r>
      <w:r w:rsidR="000729D9" w:rsidRPr="00D10B2D">
        <w:t xml:space="preserve">defendants have been convicted, and </w:t>
      </w:r>
      <w:r w:rsidRPr="00D10B2D">
        <w:t xml:space="preserve">1,070 </w:t>
      </w:r>
      <w:r w:rsidR="000729D9" w:rsidRPr="00D10B2D">
        <w:t xml:space="preserve">defendants have been sentenced to an average of </w:t>
      </w:r>
      <w:r w:rsidRPr="00D10B2D">
        <w:t>112</w:t>
      </w:r>
      <w:r w:rsidR="000729D9" w:rsidRPr="00D10B2D">
        <w:t xml:space="preserve"> months incarceration.</w:t>
      </w:r>
    </w:p>
    <w:p w:rsidR="000729D9" w:rsidRPr="00D10B2D" w:rsidRDefault="00DD2EEB" w:rsidP="000729D9">
      <w:pPr>
        <w:pStyle w:val="ListParagraph"/>
        <w:numPr>
          <w:ilvl w:val="0"/>
          <w:numId w:val="56"/>
        </w:numPr>
      </w:pPr>
      <w:r w:rsidRPr="00D10B2D">
        <w:t xml:space="preserve">442 </w:t>
      </w:r>
      <w:r w:rsidR="000729D9" w:rsidRPr="00D10B2D">
        <w:t xml:space="preserve">of the cases and </w:t>
      </w:r>
      <w:r w:rsidRPr="00D10B2D">
        <w:t xml:space="preserve">1,467 </w:t>
      </w:r>
      <w:r w:rsidR="000729D9" w:rsidRPr="00D10B2D">
        <w:t>of the defendants recommended for prosecution involve gang-related offenses.</w:t>
      </w:r>
    </w:p>
    <w:p w:rsidR="000729D9" w:rsidRPr="00D10B2D" w:rsidRDefault="00DD2EEB" w:rsidP="000729D9">
      <w:pPr>
        <w:pStyle w:val="ListParagraph"/>
        <w:numPr>
          <w:ilvl w:val="0"/>
          <w:numId w:val="56"/>
        </w:numPr>
      </w:pPr>
      <w:r w:rsidRPr="00D10B2D">
        <w:t xml:space="preserve">752 </w:t>
      </w:r>
      <w:r w:rsidR="000729D9" w:rsidRPr="00D10B2D">
        <w:t xml:space="preserve">cases have charged violations related to the trafficking of an estimated </w:t>
      </w:r>
      <w:r w:rsidRPr="00D10B2D">
        <w:t xml:space="preserve">26,129 </w:t>
      </w:r>
      <w:r w:rsidR="000729D9" w:rsidRPr="00D10B2D">
        <w:t xml:space="preserve">firearms.  A sub-set of </w:t>
      </w:r>
      <w:r w:rsidRPr="00D10B2D">
        <w:t>244</w:t>
      </w:r>
      <w:r w:rsidR="000729D9" w:rsidRPr="00D10B2D">
        <w:t xml:space="preserve"> of these cases involved gang- related trafficking of over </w:t>
      </w:r>
      <w:r w:rsidRPr="00D10B2D">
        <w:t xml:space="preserve">8,564 </w:t>
      </w:r>
      <w:r w:rsidR="000729D9" w:rsidRPr="00D10B2D">
        <w:t>firearms.</w:t>
      </w:r>
    </w:p>
    <w:p w:rsidR="000729D9" w:rsidRPr="00D10B2D" w:rsidRDefault="000729D9" w:rsidP="000729D9">
      <w:pPr>
        <w:pStyle w:val="ListParagraph"/>
        <w:numPr>
          <w:ilvl w:val="0"/>
          <w:numId w:val="56"/>
        </w:numPr>
      </w:pPr>
      <w:r w:rsidRPr="00D10B2D">
        <w:t xml:space="preserve">In all investigations, over </w:t>
      </w:r>
      <w:r w:rsidR="00DD2EEB" w:rsidRPr="00D10B2D">
        <w:t>10,5</w:t>
      </w:r>
      <w:r w:rsidR="006F123D" w:rsidRPr="00D10B2D">
        <w:t>00</w:t>
      </w:r>
      <w:r w:rsidR="00DC7A4D" w:rsidRPr="00D10B2D">
        <w:t xml:space="preserve"> </w:t>
      </w:r>
      <w:r w:rsidRPr="00D10B2D">
        <w:t xml:space="preserve">firearms </w:t>
      </w:r>
      <w:r w:rsidR="00DD2EEB" w:rsidRPr="00D10B2D">
        <w:t xml:space="preserve">and </w:t>
      </w:r>
      <w:r w:rsidR="006F123D" w:rsidRPr="00D10B2D">
        <w:t xml:space="preserve">approximately </w:t>
      </w:r>
      <w:r w:rsidR="00DD2EEB" w:rsidRPr="00D10B2D">
        <w:t>1,407,</w:t>
      </w:r>
      <w:r w:rsidR="006F123D" w:rsidRPr="00D10B2D">
        <w:t>000</w:t>
      </w:r>
      <w:r w:rsidR="00DD2EEB" w:rsidRPr="00D10B2D">
        <w:t xml:space="preserve"> rounds of ammunition </w:t>
      </w:r>
      <w:r w:rsidRPr="00D10B2D">
        <w:t>have been seized and are no longer available to violent criminals and gang members and Mexican drug cartels.</w:t>
      </w:r>
    </w:p>
    <w:p w:rsidR="00DC7A4D" w:rsidRDefault="00DC7A4D" w:rsidP="00DC7A4D">
      <w:pPr>
        <w:ind w:left="1440"/>
      </w:pPr>
    </w:p>
    <w:p w:rsidR="00DC7A4D" w:rsidRDefault="00DC7A4D" w:rsidP="0080366F">
      <w:pPr>
        <w:ind w:left="1440" w:right="720"/>
        <w:rPr>
          <w:i/>
        </w:rPr>
      </w:pPr>
      <w:r w:rsidRPr="0080366F">
        <w:rPr>
          <w:i/>
        </w:rPr>
        <w:t>“The violence fueled by firearms trafficking is demonstrated in the crisis on our Southwest Border. Through firearms trafficking interdiction efforts, the Department will work to decrease the availability of illicit firearms and prosecute those who illegally supply firearms to persons prohibited from possessing them.”</w:t>
      </w:r>
    </w:p>
    <w:p w:rsidR="0080366F" w:rsidRPr="0080366F" w:rsidRDefault="0080366F" w:rsidP="0080366F">
      <w:pPr>
        <w:ind w:left="1440" w:right="720"/>
        <w:rPr>
          <w:i/>
        </w:rPr>
      </w:pPr>
    </w:p>
    <w:p w:rsidR="000729D9" w:rsidRDefault="0080366F" w:rsidP="0080366F">
      <w:pPr>
        <w:ind w:left="360"/>
        <w:jc w:val="right"/>
      </w:pPr>
      <w:r>
        <w:t>US Department of Justice Fiscal Years 2012-2016 Strategic Plan, page 18</w:t>
      </w:r>
    </w:p>
    <w:p w:rsidR="0080366F" w:rsidRDefault="0080366F" w:rsidP="0080366F">
      <w:pPr>
        <w:ind w:left="360"/>
        <w:jc w:val="right"/>
      </w:pPr>
    </w:p>
    <w:p w:rsidR="008B20F0" w:rsidRDefault="00633BD0" w:rsidP="008B20F0">
      <w:pPr>
        <w:pStyle w:val="BodyText"/>
        <w:keepNext/>
        <w:rPr>
          <w:b/>
          <w:bCs/>
          <w:szCs w:val="24"/>
        </w:rPr>
      </w:pPr>
      <w:r>
        <w:rPr>
          <w:b/>
          <w:bCs/>
          <w:szCs w:val="24"/>
        </w:rPr>
        <w:t>E</w:t>
      </w:r>
      <w:r w:rsidR="008B20F0">
        <w:rPr>
          <w:b/>
          <w:bCs/>
          <w:szCs w:val="24"/>
        </w:rPr>
        <w:t>.  Environmental Management</w:t>
      </w:r>
    </w:p>
    <w:p w:rsidR="008B20F0" w:rsidRDefault="008B20F0" w:rsidP="008B20F0">
      <w:pPr>
        <w:pStyle w:val="BodyText"/>
        <w:keepNext/>
        <w:rPr>
          <w:b/>
          <w:bCs/>
          <w:szCs w:val="24"/>
        </w:rPr>
      </w:pPr>
    </w:p>
    <w:p w:rsidR="008B20F0" w:rsidRDefault="008B20F0" w:rsidP="008B20F0">
      <w:r>
        <w:rPr>
          <w:color w:val="000000"/>
        </w:rPr>
        <w:t xml:space="preserve">ATF has fully implemented Environmental Management Systems at its four laboratories, in fact the </w:t>
      </w:r>
      <w:r w:rsidR="00987591">
        <w:rPr>
          <w:color w:val="000000"/>
        </w:rPr>
        <w:t>Fire Research L</w:t>
      </w:r>
      <w:r>
        <w:rPr>
          <w:color w:val="000000"/>
        </w:rPr>
        <w:t>aboratory</w:t>
      </w:r>
      <w:r w:rsidR="00987591">
        <w:rPr>
          <w:color w:val="000000"/>
        </w:rPr>
        <w:t xml:space="preserve"> (FRL)</w:t>
      </w:r>
      <w:r>
        <w:rPr>
          <w:color w:val="000000"/>
        </w:rPr>
        <w:t xml:space="preserve"> was designed to be environmentally-friendly.  The FRL reuses 75% of the water utilized for fire suppression and controls it</w:t>
      </w:r>
      <w:r w:rsidR="00987591">
        <w:rPr>
          <w:color w:val="000000"/>
        </w:rPr>
        <w:t>s test fire</w:t>
      </w:r>
      <w:r>
        <w:rPr>
          <w:color w:val="000000"/>
        </w:rPr>
        <w:t xml:space="preserve"> emissions into the </w:t>
      </w:r>
      <w:r w:rsidR="00987591">
        <w:rPr>
          <w:color w:val="000000"/>
        </w:rPr>
        <w:t xml:space="preserve">outside </w:t>
      </w:r>
      <w:r>
        <w:rPr>
          <w:color w:val="000000"/>
        </w:rPr>
        <w:t>environment by using a wet electrostatic precipitator which virtually eliminates the exhaust contaminates.  </w:t>
      </w:r>
      <w:r w:rsidR="00987591">
        <w:rPr>
          <w:color w:val="000000"/>
        </w:rPr>
        <w:t xml:space="preserve">Additionally, </w:t>
      </w:r>
      <w:r w:rsidR="00B22774">
        <w:rPr>
          <w:color w:val="000000"/>
        </w:rPr>
        <w:t>A</w:t>
      </w:r>
      <w:r>
        <w:rPr>
          <w:color w:val="000000"/>
        </w:rPr>
        <w:t xml:space="preserve">TF has reviewed its acquisition </w:t>
      </w:r>
      <w:r w:rsidRPr="00E322CC">
        <w:rPr>
          <w:color w:val="000000"/>
        </w:rPr>
        <w:t>policy and procedures complying with the Department's Green Purchasing Program</w:t>
      </w:r>
      <w:r>
        <w:rPr>
          <w:color w:val="000000"/>
        </w:rPr>
        <w:t>. Green purchasing training has been conducted for all Contracting Officers and Purchase Card Holders. </w:t>
      </w:r>
      <w:r w:rsidR="00B22774">
        <w:rPr>
          <w:color w:val="000000"/>
        </w:rPr>
        <w:t xml:space="preserve"> </w:t>
      </w:r>
      <w:r>
        <w:rPr>
          <w:color w:val="000000"/>
        </w:rPr>
        <w:t xml:space="preserve">The </w:t>
      </w:r>
      <w:r w:rsidR="00987591">
        <w:rPr>
          <w:color w:val="000000"/>
        </w:rPr>
        <w:t>ATF</w:t>
      </w:r>
      <w:r>
        <w:rPr>
          <w:color w:val="000000"/>
        </w:rPr>
        <w:t xml:space="preserve"> established and met its </w:t>
      </w:r>
      <w:r w:rsidR="00987591">
        <w:rPr>
          <w:color w:val="000000"/>
        </w:rPr>
        <w:t xml:space="preserve">Green Purchasing Program </w:t>
      </w:r>
      <w:r>
        <w:rPr>
          <w:color w:val="000000"/>
        </w:rPr>
        <w:t>training goal</w:t>
      </w:r>
      <w:r w:rsidR="00987591">
        <w:rPr>
          <w:color w:val="000000"/>
        </w:rPr>
        <w:t>s</w:t>
      </w:r>
      <w:r>
        <w:rPr>
          <w:color w:val="000000"/>
        </w:rPr>
        <w:t xml:space="preserve"> </w:t>
      </w:r>
      <w:r w:rsidR="00987591">
        <w:rPr>
          <w:color w:val="000000"/>
        </w:rPr>
        <w:t>in</w:t>
      </w:r>
      <w:r>
        <w:rPr>
          <w:color w:val="000000"/>
        </w:rPr>
        <w:t xml:space="preserve"> June 2010.  ATF ensures that all new purchased and leased computers and monitors are EPEAT (Electronic Product Environmental Assessment Tool </w:t>
      </w:r>
      <w:r w:rsidRPr="0060589B">
        <w:rPr>
          <w:color w:val="000000"/>
        </w:rPr>
        <w:t>- </w:t>
      </w:r>
      <w:hyperlink r:id="rId16" w:tooltip="http://www.epeat.net/" w:history="1">
        <w:r w:rsidRPr="0060589B">
          <w:rPr>
            <w:color w:val="000000"/>
          </w:rPr>
          <w:t>www.epeat.net</w:t>
        </w:r>
      </w:hyperlink>
      <w:r>
        <w:rPr>
          <w:color w:val="000000"/>
        </w:rPr>
        <w:t xml:space="preserve">) – Silver rated and registered, and that IT service contracts and leases support EPEAT-registered products, ENERGY STAR features, environmentally sound management techniques, and do extend product lifecycles.  </w:t>
      </w:r>
      <w:r w:rsidRPr="0060589B">
        <w:rPr>
          <w:color w:val="000000"/>
        </w:rPr>
        <w:t xml:space="preserve">ATF is developing policy and procedures to </w:t>
      </w:r>
      <w:r w:rsidRPr="009007BE">
        <w:rPr>
          <w:color w:val="000000" w:themeColor="text1"/>
        </w:rPr>
        <w:t>ensure</w:t>
      </w:r>
      <w:r>
        <w:rPr>
          <w:color w:val="000000"/>
        </w:rPr>
        <w:t xml:space="preserve"> </w:t>
      </w:r>
      <w:r w:rsidRPr="0060589B">
        <w:rPr>
          <w:color w:val="000000"/>
        </w:rPr>
        <w:t xml:space="preserve">compliance with Executive Order 13423, </w:t>
      </w:r>
      <w:r>
        <w:rPr>
          <w:color w:val="000000"/>
        </w:rPr>
        <w:t>as it relates</w:t>
      </w:r>
      <w:r w:rsidRPr="0060589B">
        <w:rPr>
          <w:color w:val="000000"/>
        </w:rPr>
        <w:t xml:space="preserve"> to </w:t>
      </w:r>
      <w:r>
        <w:rPr>
          <w:color w:val="000000"/>
        </w:rPr>
        <w:t xml:space="preserve">Toxic and </w:t>
      </w:r>
      <w:r>
        <w:rPr>
          <w:color w:val="000000"/>
        </w:rPr>
        <w:lastRenderedPageBreak/>
        <w:t xml:space="preserve">Hazardous Chemical reduction, Sustainable Buildings, Energy Management, Transportation, Recycling, Water Management, Environmental Management Systems, and Electronics </w:t>
      </w:r>
      <w:r w:rsidRPr="00BA0135">
        <w:t>Stewardship</w:t>
      </w:r>
      <w:r>
        <w:rPr>
          <w:color w:val="000000"/>
        </w:rPr>
        <w:t xml:space="preserve">.  More information on </w:t>
      </w:r>
      <w:r w:rsidR="00D31D89">
        <w:rPr>
          <w:color w:val="000000"/>
        </w:rPr>
        <w:t>Federal</w:t>
      </w:r>
      <w:r>
        <w:rPr>
          <w:color w:val="000000"/>
        </w:rPr>
        <w:t xml:space="preserve"> Environmental Requirements and DOJ’s Environmental Programs can be found at </w:t>
      </w:r>
      <w:hyperlink r:id="rId17" w:history="1">
        <w:r w:rsidRPr="008E03AC">
          <w:rPr>
            <w:rStyle w:val="Hyperlink"/>
          </w:rPr>
          <w:t>www.usdoj.gov\jmd\ep</w:t>
        </w:r>
      </w:hyperlink>
      <w:r>
        <w:rPr>
          <w:color w:val="000000"/>
        </w:rPr>
        <w:t xml:space="preserve">. </w:t>
      </w:r>
    </w:p>
    <w:p w:rsidR="008B20F0" w:rsidRDefault="008B20F0" w:rsidP="008B20F0">
      <w:pPr>
        <w:rPr>
          <w:b/>
          <w:bCs/>
        </w:rPr>
      </w:pPr>
    </w:p>
    <w:p w:rsidR="008B20F0" w:rsidRPr="00F72B72" w:rsidRDefault="00633BD0" w:rsidP="008B20F0">
      <w:pPr>
        <w:pStyle w:val="BodyText"/>
        <w:keepNext/>
        <w:rPr>
          <w:b/>
          <w:bCs/>
          <w:szCs w:val="24"/>
        </w:rPr>
      </w:pPr>
      <w:r>
        <w:rPr>
          <w:b/>
          <w:bCs/>
          <w:szCs w:val="24"/>
        </w:rPr>
        <w:t>F</w:t>
      </w:r>
      <w:r w:rsidR="008B20F0">
        <w:rPr>
          <w:b/>
          <w:bCs/>
          <w:szCs w:val="24"/>
        </w:rPr>
        <w:t xml:space="preserve">.  </w:t>
      </w:r>
      <w:r w:rsidR="008B20F0" w:rsidRPr="00F72B72">
        <w:rPr>
          <w:b/>
          <w:bCs/>
          <w:szCs w:val="24"/>
        </w:rPr>
        <w:t>Strategic Management of Human Capital</w:t>
      </w:r>
    </w:p>
    <w:p w:rsidR="008B20F0" w:rsidRDefault="008B20F0" w:rsidP="008B20F0">
      <w:r>
        <w:t xml:space="preserve"> </w:t>
      </w:r>
    </w:p>
    <w:p w:rsidR="008B20F0" w:rsidRPr="00E75F0F" w:rsidRDefault="008B20F0" w:rsidP="008B20F0">
      <w:pPr>
        <w:rPr>
          <w:color w:val="C00000"/>
        </w:rPr>
      </w:pPr>
      <w:r w:rsidRPr="00C52FBE">
        <w:rPr>
          <w:bCs/>
        </w:rPr>
        <w:t>ATF determined that improvements in</w:t>
      </w:r>
      <w:r>
        <w:rPr>
          <w:bCs/>
        </w:rPr>
        <w:t xml:space="preserve"> human capital management </w:t>
      </w:r>
      <w:r w:rsidRPr="00C52FBE">
        <w:rPr>
          <w:bCs/>
        </w:rPr>
        <w:t>could be achieved through the integration of the human resources and training functions</w:t>
      </w:r>
      <w:r w:rsidR="005941A6">
        <w:rPr>
          <w:bCs/>
        </w:rPr>
        <w:t xml:space="preserve"> in the workforce</w:t>
      </w:r>
      <w:r w:rsidRPr="00C52FBE">
        <w:rPr>
          <w:bCs/>
        </w:rPr>
        <w:t xml:space="preserve">. </w:t>
      </w:r>
      <w:r w:rsidR="005941A6">
        <w:rPr>
          <w:bCs/>
        </w:rPr>
        <w:t xml:space="preserve"> </w:t>
      </w:r>
      <w:r w:rsidRPr="00C52FBE">
        <w:rPr>
          <w:bCs/>
        </w:rPr>
        <w:t xml:space="preserve">This resulted in a consolidation of the training functions in the Office of Training and Professional Development (TPD) and the human resource functions in the Office of Management (OM).  This consolidation established a single focal point for indentifying and addressing workforce issues, achieved a more comprehensive architecture and governance process for talent management, and ensured the alignment of human resource and training business processes to maximize the value of both.  ATF can now establish a fully integrated workforce management strategy, using a competency-based approach to link recruitment, training, skill sets, succession planning, continuous learning, and performance management. </w:t>
      </w:r>
    </w:p>
    <w:p w:rsidR="008B20F0" w:rsidRDefault="008B20F0" w:rsidP="008B20F0">
      <w:pPr>
        <w:rPr>
          <w:color w:val="000000"/>
        </w:rPr>
      </w:pPr>
    </w:p>
    <w:p w:rsidR="00FA3180" w:rsidRPr="00637B38" w:rsidRDefault="008B20F0" w:rsidP="00FA3180">
      <w:r w:rsidRPr="00637B38">
        <w:t xml:space="preserve">ATF continues to ensure that its promotion process is technically </w:t>
      </w:r>
      <w:r w:rsidR="004C3A2A" w:rsidRPr="00637B38">
        <w:t xml:space="preserve">and legally </w:t>
      </w:r>
      <w:r w:rsidRPr="00637B38">
        <w:t>sound</w:t>
      </w:r>
      <w:r w:rsidR="004C3A2A" w:rsidRPr="00637B38">
        <w:t>.</w:t>
      </w:r>
      <w:r w:rsidR="00ED37A0" w:rsidRPr="00637B38">
        <w:t xml:space="preserve"> </w:t>
      </w:r>
      <w:r w:rsidR="00637B38">
        <w:t xml:space="preserve"> </w:t>
      </w:r>
      <w:r w:rsidR="00ED37A0" w:rsidRPr="00637B38">
        <w:t>ATF continues to implement the President’s Hiring Reform memorandum issued on May 11, 2010.  The Hiring Reform memorandum included provisions for eliminating “essay questions” and narrative Knowledge, Skills, and Ability responses, allowing applications to apply with only a resume and increased the hiring manager’s responsibility and accountability for successful recruitment and hiring. ATF continues to leverage technology with the use of an automated hiring system that allows applicants to upload their resumes and notifies them as they progress through the hiring timeline.</w:t>
      </w:r>
      <w:r w:rsidR="00637B38" w:rsidRPr="00637B38">
        <w:t xml:space="preserve"> A</w:t>
      </w:r>
      <w:r w:rsidR="008062BD" w:rsidRPr="00637B38">
        <w:t xml:space="preserve">TF </w:t>
      </w:r>
      <w:r w:rsidR="00ED37A0" w:rsidRPr="00637B38">
        <w:t>is</w:t>
      </w:r>
      <w:r w:rsidR="008062BD" w:rsidRPr="00637B38">
        <w:t xml:space="preserve"> focused on implementing improvements in the management of the on-boarding process and assimilation of new employees in order to improve job satisfaction and retention rates.  </w:t>
      </w:r>
    </w:p>
    <w:p w:rsidR="00FA3180" w:rsidRPr="00FA3180" w:rsidRDefault="00FA3180" w:rsidP="00FA3180">
      <w:pPr>
        <w:rPr>
          <w:color w:val="943634" w:themeColor="accent2" w:themeShade="BF"/>
        </w:rPr>
      </w:pPr>
    </w:p>
    <w:p w:rsidR="00FA3180" w:rsidRPr="00637B38" w:rsidRDefault="008062BD" w:rsidP="00FA3180">
      <w:r w:rsidRPr="00637B38">
        <w:t xml:space="preserve">ATF </w:t>
      </w:r>
      <w:r w:rsidR="00637B38" w:rsidRPr="00637B38">
        <w:t xml:space="preserve">has </w:t>
      </w:r>
      <w:r w:rsidRPr="00637B38">
        <w:t xml:space="preserve">a significant technology-based training capability.  In FY 2010, ATF received the Office of Government Ethics Education and Communication award in recognition of </w:t>
      </w:r>
      <w:r w:rsidR="00637B38" w:rsidRPr="00637B38">
        <w:t xml:space="preserve">the use </w:t>
      </w:r>
      <w:r w:rsidRPr="00637B38">
        <w:t xml:space="preserve">of technology </w:t>
      </w:r>
      <w:r w:rsidR="00637B38" w:rsidRPr="00637B38">
        <w:t xml:space="preserve">to deliver </w:t>
      </w:r>
      <w:r w:rsidRPr="00637B38">
        <w:t>ethics training</w:t>
      </w:r>
      <w:r w:rsidR="00637B38" w:rsidRPr="00637B38">
        <w:t xml:space="preserve"> to its employees</w:t>
      </w:r>
      <w:r w:rsidRPr="00637B38">
        <w:t xml:space="preserve">.  ATF </w:t>
      </w:r>
      <w:r w:rsidR="00637B38" w:rsidRPr="00637B38">
        <w:t xml:space="preserve">utilizes a virtual classroom platform </w:t>
      </w:r>
      <w:r w:rsidR="00ED37A0" w:rsidRPr="00637B38">
        <w:t>“L</w:t>
      </w:r>
      <w:r w:rsidRPr="00637B38">
        <w:t>earnATF Live</w:t>
      </w:r>
      <w:r w:rsidR="00ED37A0" w:rsidRPr="00637B38">
        <w:t>”</w:t>
      </w:r>
      <w:r w:rsidR="00637B38" w:rsidRPr="00637B38">
        <w:t xml:space="preserve"> </w:t>
      </w:r>
      <w:r w:rsidRPr="00637B38">
        <w:t>generat</w:t>
      </w:r>
      <w:r w:rsidR="00637B38">
        <w:t>ing</w:t>
      </w:r>
      <w:r w:rsidRPr="00637B38">
        <w:t xml:space="preserve"> efficiencies </w:t>
      </w:r>
      <w:r w:rsidR="00637B38">
        <w:t xml:space="preserve">to </w:t>
      </w:r>
      <w:r w:rsidRPr="00637B38">
        <w:t xml:space="preserve">allow Bureau employees </w:t>
      </w:r>
      <w:r w:rsidR="00637B38" w:rsidRPr="00637B38">
        <w:t>nationwide to receive mandatory and professional training</w:t>
      </w:r>
      <w:r w:rsidRPr="00637B38">
        <w:t xml:space="preserve"> through the web while at their desks. </w:t>
      </w:r>
      <w:r w:rsidR="00637B38" w:rsidRPr="00637B38">
        <w:t xml:space="preserve"> </w:t>
      </w:r>
      <w:r w:rsidRPr="00637B38">
        <w:t>In FY 2011, on-line courseware was improved through the integration of video, most prominently in our Occupant Emergency Plan training and our Professionalism in ATF courses.  OPM has indicated an interest in the latter for potential availability to a wider government audience.</w:t>
      </w:r>
    </w:p>
    <w:p w:rsidR="00FA3180" w:rsidRPr="00FA3180" w:rsidRDefault="00FA3180" w:rsidP="00FA3180">
      <w:pPr>
        <w:rPr>
          <w:color w:val="943634" w:themeColor="accent2" w:themeShade="BF"/>
        </w:rPr>
      </w:pPr>
    </w:p>
    <w:p w:rsidR="00637B38" w:rsidRPr="00535EE2" w:rsidRDefault="008062BD" w:rsidP="00637B38">
      <w:r w:rsidRPr="00535EE2">
        <w:t>In March</w:t>
      </w:r>
      <w:r w:rsidR="00637B38" w:rsidRPr="00535EE2">
        <w:t xml:space="preserve"> of</w:t>
      </w:r>
      <w:r w:rsidRPr="00535EE2">
        <w:t xml:space="preserve"> 2011</w:t>
      </w:r>
      <w:r w:rsidR="00637B38" w:rsidRPr="00535EE2">
        <w:t>,</w:t>
      </w:r>
      <w:r w:rsidRPr="00535EE2">
        <w:t xml:space="preserve"> </w:t>
      </w:r>
      <w:r w:rsidR="00637B38" w:rsidRPr="00535EE2">
        <w:t>ATF’s first training program was accredited by the Federal Law Enforcement Training Accreditation (FLETA) Board.   ATF’s Explosives Detection Canine (EDC) Training Program was formally accre</w:t>
      </w:r>
      <w:r w:rsidR="001F49BD" w:rsidRPr="00535EE2">
        <w:t>dited</w:t>
      </w:r>
      <w:r w:rsidR="00637B38" w:rsidRPr="00535EE2">
        <w:t>.  Th</w:t>
      </w:r>
      <w:r w:rsidR="001F49BD" w:rsidRPr="00535EE2">
        <w:t>e</w:t>
      </w:r>
      <w:r w:rsidR="00637B38" w:rsidRPr="00535EE2">
        <w:t xml:space="preserve"> accreditation signifies that the EDC program meets extensive, training program standards for assessment, design, delivery, and evaluation.  </w:t>
      </w:r>
      <w:r w:rsidR="001F49BD" w:rsidRPr="00535EE2">
        <w:t>The successful accreditation process is ATF’s commitment to quality, professional training for our employees and stakeholders.</w:t>
      </w:r>
    </w:p>
    <w:p w:rsidR="001F49BD" w:rsidRPr="00535EE2" w:rsidRDefault="001F49BD" w:rsidP="00637B38"/>
    <w:p w:rsidR="00FA3180" w:rsidRPr="00535EE2" w:rsidRDefault="008062BD" w:rsidP="00FA3180">
      <w:r w:rsidRPr="00535EE2">
        <w:lastRenderedPageBreak/>
        <w:t>OPM approved a Voluntary Early Retirement Authority (VERA) and Voluntary Separation Incentive Payment (VSIP) for ATF in FY 2011, and these incentives were implemented in early FY 2012.  Through these incentives, ATF was able to accelerate attrition and reduce salary costs.</w:t>
      </w:r>
    </w:p>
    <w:p w:rsidR="009877D9" w:rsidRDefault="009877D9" w:rsidP="006D7B2F">
      <w:pPr>
        <w:pStyle w:val="BudgetHeading2"/>
        <w:numPr>
          <w:ilvl w:val="0"/>
          <w:numId w:val="0"/>
        </w:numPr>
      </w:pPr>
    </w:p>
    <w:p w:rsidR="002C47CF" w:rsidRPr="00E436B2" w:rsidRDefault="00E85E15" w:rsidP="006D7B2F">
      <w:pPr>
        <w:pStyle w:val="BudgetHeading2"/>
        <w:numPr>
          <w:ilvl w:val="0"/>
          <w:numId w:val="0"/>
        </w:numPr>
      </w:pPr>
      <w:r>
        <w:t>G</w:t>
      </w:r>
      <w:r w:rsidR="002C47CF">
        <w:t>.</w:t>
      </w:r>
      <w:r w:rsidR="00ED1288">
        <w:t xml:space="preserve"> </w:t>
      </w:r>
      <w:r w:rsidR="002C47CF">
        <w:t xml:space="preserve"> </w:t>
      </w:r>
      <w:r w:rsidR="002C47CF" w:rsidRPr="00E436B2">
        <w:t>Adjustments-to-Base (ATB)</w:t>
      </w:r>
      <w:r w:rsidR="005941A6">
        <w:t xml:space="preserve"> </w:t>
      </w:r>
      <w:r w:rsidR="005941A6" w:rsidRPr="00391AC8">
        <w:t>and Program Reductions</w:t>
      </w:r>
      <w:r w:rsidR="002C47CF" w:rsidRPr="00E436B2">
        <w:t>:</w:t>
      </w:r>
    </w:p>
    <w:p w:rsidR="001A2EE8" w:rsidRDefault="002F62C8" w:rsidP="002F62C8">
      <w:pPr>
        <w:pStyle w:val="BodyText"/>
        <w:spacing w:before="100" w:beforeAutospacing="1" w:after="100" w:afterAutospacing="1"/>
      </w:pPr>
      <w:r w:rsidRPr="001A2EE8">
        <w:t>ATF requests $</w:t>
      </w:r>
      <w:r w:rsidR="001318AA" w:rsidRPr="001A2EE8">
        <w:t>28,</w:t>
      </w:r>
      <w:r w:rsidR="008E5BF4">
        <w:t>239</w:t>
      </w:r>
      <w:r w:rsidR="001318AA" w:rsidRPr="001A2EE8">
        <w:t xml:space="preserve">,000 </w:t>
      </w:r>
      <w:r w:rsidRPr="001A2EE8">
        <w:t>in</w:t>
      </w:r>
      <w:r>
        <w:t xml:space="preserve"> net ATBs to maintain current services levels in firearms, explosives</w:t>
      </w:r>
      <w:r w:rsidR="00130D87">
        <w:t>,</w:t>
      </w:r>
      <w:r>
        <w:t xml:space="preserve"> and arson enforcement activities</w:t>
      </w:r>
      <w:r w:rsidR="00130D87">
        <w:t>;</w:t>
      </w:r>
      <w:r>
        <w:t xml:space="preserve"> regulation of the industries</w:t>
      </w:r>
      <w:r w:rsidR="00130D87">
        <w:t>;</w:t>
      </w:r>
      <w:r>
        <w:t xml:space="preserve"> and in meeting critical Administration priorities.  This </w:t>
      </w:r>
      <w:r w:rsidR="000E7649">
        <w:t xml:space="preserve">ATB </w:t>
      </w:r>
      <w:r>
        <w:t xml:space="preserve">level supports </w:t>
      </w:r>
      <w:r w:rsidR="005941A6">
        <w:t>additional rent costs for ATF’s 99 New York Avenue NE Headquarters.  Rent costs have increased due to the expiration of a GSA rent credit</w:t>
      </w:r>
      <w:r w:rsidR="00CD7385">
        <w:t xml:space="preserve"> associated with the acquisition of the </w:t>
      </w:r>
      <w:r w:rsidR="005941A6">
        <w:t>land on which ATF’s Headquarters was constructed.  P</w:t>
      </w:r>
      <w:r w:rsidR="00CD7385">
        <w:t>rior to construction</w:t>
      </w:r>
      <w:r w:rsidR="005941A6">
        <w:t>,</w:t>
      </w:r>
      <w:r w:rsidR="00CD7385">
        <w:t xml:space="preserve"> ATF </w:t>
      </w:r>
      <w:r w:rsidR="001A2EE8">
        <w:t>acquired the property at 99 New York Avenue for $15 Million.  That cost was amortized for the last five years against ATF’s monthly GSA rent at the Headquarters</w:t>
      </w:r>
      <w:r w:rsidR="005941A6">
        <w:t>, reducing the annual cost</w:t>
      </w:r>
      <w:r w:rsidR="001A2EE8">
        <w:t xml:space="preserve">.  This credit ends </w:t>
      </w:r>
      <w:r w:rsidR="005941A6">
        <w:t>in August 2012 and consequently</w:t>
      </w:r>
      <w:r w:rsidR="001A2EE8">
        <w:t xml:space="preserve"> ATF Headquarters rent will be increased.  </w:t>
      </w:r>
    </w:p>
    <w:p w:rsidR="00CD7385" w:rsidRDefault="00CD7385" w:rsidP="002F62C8">
      <w:pPr>
        <w:pStyle w:val="BodyText"/>
        <w:spacing w:before="100" w:beforeAutospacing="1" w:after="100" w:afterAutospacing="1"/>
      </w:pPr>
      <w:r>
        <w:t xml:space="preserve">ATF is experiencing personnel benefits and change in compensable days cost increases based on Federal Employees Retirement System (FERS), employee health insurance and employee retirement contribution increases and </w:t>
      </w:r>
      <w:r w:rsidR="001A2EE8">
        <w:t>the</w:t>
      </w:r>
      <w:r>
        <w:t xml:space="preserve"> </w:t>
      </w:r>
      <w:r w:rsidR="001A2EE8">
        <w:t>Employee Compensation</w:t>
      </w:r>
      <w:r w:rsidR="0073223C">
        <w:t xml:space="preserve"> Fund </w:t>
      </w:r>
      <w:r>
        <w:t xml:space="preserve">for FY 2013.  Additionally, the adjustments to base realize the increase for the FY 2013 pay raise. </w:t>
      </w:r>
    </w:p>
    <w:p w:rsidR="001A2EE8" w:rsidRDefault="00CD7385" w:rsidP="002F62C8">
      <w:pPr>
        <w:pStyle w:val="BodyText"/>
        <w:spacing w:before="100" w:beforeAutospacing="1" w:after="100" w:afterAutospacing="1"/>
      </w:pPr>
      <w:r>
        <w:t xml:space="preserve">In FY 2013, ATF will be responsible for centrally funded </w:t>
      </w:r>
      <w:r w:rsidR="001A2EE8">
        <w:t>radio and information technology telecommunication</w:t>
      </w:r>
      <w:r>
        <w:t xml:space="preserve"> </w:t>
      </w:r>
      <w:r w:rsidR="005941A6">
        <w:t xml:space="preserve">costs previously </w:t>
      </w:r>
      <w:r w:rsidR="001A2EE8">
        <w:t xml:space="preserve">managed by the Department. The transfer of this funding is critical to provide support to mission critical on site telecommunications in support of daily operations in the field.  </w:t>
      </w:r>
    </w:p>
    <w:p w:rsidR="00D5679D" w:rsidRPr="00BE6A0B" w:rsidRDefault="001A2EE8" w:rsidP="00D5679D">
      <w:pPr>
        <w:pStyle w:val="BodyText"/>
        <w:spacing w:before="100" w:beforeAutospacing="1" w:after="100" w:afterAutospacing="1"/>
      </w:pPr>
      <w:bookmarkStart w:id="2" w:name="OLE_LINK7"/>
      <w:bookmarkStart w:id="3" w:name="OLE_LINK8"/>
      <w:r>
        <w:t>ATF provided cost efficiencies in FY 2012 of $</w:t>
      </w:r>
      <w:r w:rsidR="0073223C">
        <w:t>13</w:t>
      </w:r>
      <w:r>
        <w:t>.</w:t>
      </w:r>
      <w:r w:rsidR="00112DCA">
        <w:t>5</w:t>
      </w:r>
      <w:r>
        <w:t xml:space="preserve"> </w:t>
      </w:r>
      <w:r w:rsidR="00D62A1F">
        <w:t>m</w:t>
      </w:r>
      <w:r>
        <w:t xml:space="preserve">illion </w:t>
      </w:r>
      <w:r w:rsidR="0073223C">
        <w:t xml:space="preserve">as noted in the FY 2012 Congressional spend plan highlighting </w:t>
      </w:r>
      <w:r w:rsidR="00D62A1F">
        <w:t>cost avoidance</w:t>
      </w:r>
      <w:r w:rsidR="0073223C">
        <w:t xml:space="preserve"> for the VERA/V</w:t>
      </w:r>
      <w:r w:rsidR="00D62A1F">
        <w:t>S</w:t>
      </w:r>
      <w:r w:rsidR="0073223C">
        <w:t xml:space="preserve">IP </w:t>
      </w:r>
      <w:r w:rsidR="00D62A1F">
        <w:t>personnel reductions, National Integrated Ballistic Information Network (NIBIN) consolidation, reductions</w:t>
      </w:r>
      <w:r w:rsidR="0073223C">
        <w:t xml:space="preserve"> in state and local training, task force consolidations, and office closures and space reductions.  In FY 2013, ATF will realize a payroll and benefit cost savings of approximately $2</w:t>
      </w:r>
      <w:r w:rsidR="00D5679D">
        <w:t>6.9</w:t>
      </w:r>
      <w:r w:rsidR="0073223C">
        <w:t xml:space="preserve"> </w:t>
      </w:r>
      <w:r w:rsidR="00D62A1F">
        <w:t>m</w:t>
      </w:r>
      <w:r w:rsidR="0073223C">
        <w:t xml:space="preserve">illion as a result of the payroll and benefits reductions of the FY 2012 </w:t>
      </w:r>
      <w:r w:rsidR="00F91B58">
        <w:t xml:space="preserve">staffing reductions, including the </w:t>
      </w:r>
      <w:r w:rsidR="0073223C">
        <w:t>VERA/V</w:t>
      </w:r>
      <w:r w:rsidR="00D62A1F">
        <w:t>S</w:t>
      </w:r>
      <w:r w:rsidR="0073223C">
        <w:t>IP a</w:t>
      </w:r>
      <w:r w:rsidR="00D62A1F">
        <w:t>ction</w:t>
      </w:r>
      <w:r w:rsidR="00F91B58">
        <w:t xml:space="preserve"> and hiring freeze, as well as general administrative and program </w:t>
      </w:r>
      <w:r w:rsidR="00D62A1F">
        <w:t xml:space="preserve">reductions. </w:t>
      </w:r>
      <w:r w:rsidR="00D5679D">
        <w:t xml:space="preserve"> The 2012 and 2013 cost efficiencies totaling $40.4 million will allow programs that are critical to public safety to continue at current rates in FY 2013.   </w:t>
      </w:r>
    </w:p>
    <w:bookmarkEnd w:id="2"/>
    <w:bookmarkEnd w:id="3"/>
    <w:p w:rsidR="00B4251D" w:rsidRPr="0086122E" w:rsidRDefault="002F62C8" w:rsidP="002F62C8">
      <w:pPr>
        <w:pStyle w:val="xl33"/>
        <w:spacing w:beforeAutospacing="1" w:afterAutospacing="1"/>
        <w:jc w:val="left"/>
        <w:rPr>
          <w:rFonts w:ascii="Times New Roman" w:hAnsi="Times New Roman"/>
          <w:b w:val="0"/>
          <w:szCs w:val="24"/>
        </w:rPr>
      </w:pPr>
      <w:r w:rsidRPr="00BE6A0B">
        <w:rPr>
          <w:rFonts w:ascii="Times New Roman" w:hAnsi="Times New Roman"/>
          <w:b w:val="0"/>
          <w:szCs w:val="24"/>
        </w:rPr>
        <w:t xml:space="preserve">ATF’s programs </w:t>
      </w:r>
      <w:r w:rsidR="001F6CE9">
        <w:rPr>
          <w:rFonts w:ascii="Times New Roman" w:hAnsi="Times New Roman"/>
          <w:b w:val="0"/>
          <w:szCs w:val="24"/>
        </w:rPr>
        <w:t>seek to</w:t>
      </w:r>
      <w:r w:rsidRPr="00BE6A0B">
        <w:rPr>
          <w:rFonts w:ascii="Times New Roman" w:hAnsi="Times New Roman"/>
          <w:b w:val="0"/>
          <w:szCs w:val="24"/>
        </w:rPr>
        <w:t xml:space="preserve"> reduc</w:t>
      </w:r>
      <w:r w:rsidR="001F6CE9">
        <w:rPr>
          <w:rFonts w:ascii="Times New Roman" w:hAnsi="Times New Roman"/>
          <w:b w:val="0"/>
          <w:szCs w:val="24"/>
        </w:rPr>
        <w:t>e</w:t>
      </w:r>
      <w:r w:rsidRPr="00BE6A0B">
        <w:rPr>
          <w:rFonts w:ascii="Times New Roman" w:hAnsi="Times New Roman"/>
          <w:b w:val="0"/>
          <w:szCs w:val="24"/>
        </w:rPr>
        <w:t xml:space="preserve"> violent crime, prevent terrorism, and protect the Nation.  ATF’s unique regulatory authority </w:t>
      </w:r>
      <w:r w:rsidR="004E32F2">
        <w:rPr>
          <w:rFonts w:ascii="Times New Roman" w:hAnsi="Times New Roman"/>
          <w:b w:val="0"/>
          <w:szCs w:val="24"/>
        </w:rPr>
        <w:t>over</w:t>
      </w:r>
      <w:r w:rsidRPr="00BE6A0B">
        <w:rPr>
          <w:rFonts w:ascii="Times New Roman" w:hAnsi="Times New Roman"/>
          <w:b w:val="0"/>
          <w:szCs w:val="24"/>
        </w:rPr>
        <w:t xml:space="preserve"> the firearms and explosives industries support</w:t>
      </w:r>
      <w:r w:rsidR="001F6CE9">
        <w:rPr>
          <w:rFonts w:ascii="Times New Roman" w:hAnsi="Times New Roman"/>
          <w:b w:val="0"/>
          <w:szCs w:val="24"/>
        </w:rPr>
        <w:t>s</w:t>
      </w:r>
      <w:r w:rsidRPr="00BE6A0B">
        <w:rPr>
          <w:rFonts w:ascii="Times New Roman" w:hAnsi="Times New Roman"/>
          <w:b w:val="0"/>
          <w:szCs w:val="24"/>
        </w:rPr>
        <w:t xml:space="preserve"> its law enforcement mission.</w:t>
      </w:r>
      <w:r>
        <w:rPr>
          <w:rFonts w:ascii="Times New Roman" w:hAnsi="Times New Roman"/>
          <w:b w:val="0"/>
          <w:szCs w:val="24"/>
        </w:rPr>
        <w:t xml:space="preserve">  </w:t>
      </w:r>
      <w:r w:rsidRPr="00BE6A0B">
        <w:rPr>
          <w:rFonts w:ascii="Times New Roman" w:hAnsi="Times New Roman"/>
          <w:b w:val="0"/>
          <w:szCs w:val="24"/>
        </w:rPr>
        <w:t xml:space="preserve">ATF’s mission </w:t>
      </w:r>
      <w:r w:rsidR="000E7649">
        <w:rPr>
          <w:rFonts w:ascii="Times New Roman" w:hAnsi="Times New Roman"/>
          <w:b w:val="0"/>
          <w:szCs w:val="24"/>
        </w:rPr>
        <w:t>and its FY 201</w:t>
      </w:r>
      <w:r w:rsidR="007F0E1A">
        <w:rPr>
          <w:rFonts w:ascii="Times New Roman" w:hAnsi="Times New Roman"/>
          <w:b w:val="0"/>
          <w:szCs w:val="24"/>
        </w:rPr>
        <w:t>3</w:t>
      </w:r>
      <w:r>
        <w:rPr>
          <w:rFonts w:ascii="Times New Roman" w:hAnsi="Times New Roman"/>
          <w:b w:val="0"/>
          <w:szCs w:val="24"/>
        </w:rPr>
        <w:t xml:space="preserve"> budget request </w:t>
      </w:r>
      <w:r w:rsidRPr="00BE6A0B">
        <w:rPr>
          <w:rFonts w:ascii="Times New Roman" w:hAnsi="Times New Roman"/>
          <w:b w:val="0"/>
          <w:szCs w:val="24"/>
        </w:rPr>
        <w:t xml:space="preserve">support the priorities of the Attorney General under the Department’s Strategic Goals </w:t>
      </w:r>
      <w:r>
        <w:rPr>
          <w:rFonts w:ascii="Times New Roman" w:hAnsi="Times New Roman"/>
          <w:b w:val="0"/>
          <w:szCs w:val="24"/>
        </w:rPr>
        <w:t>of</w:t>
      </w:r>
      <w:r w:rsidRPr="00BE6A0B">
        <w:rPr>
          <w:rFonts w:ascii="Times New Roman" w:hAnsi="Times New Roman"/>
          <w:b w:val="0"/>
          <w:szCs w:val="24"/>
        </w:rPr>
        <w:t xml:space="preserve"> </w:t>
      </w:r>
      <w:r>
        <w:rPr>
          <w:rFonts w:ascii="Times New Roman" w:hAnsi="Times New Roman"/>
          <w:b w:val="0"/>
          <w:szCs w:val="24"/>
        </w:rPr>
        <w:t>p</w:t>
      </w:r>
      <w:r w:rsidRPr="00BE6A0B">
        <w:rPr>
          <w:rFonts w:ascii="Times New Roman" w:hAnsi="Times New Roman"/>
          <w:b w:val="0"/>
          <w:szCs w:val="24"/>
        </w:rPr>
        <w:t>romot</w:t>
      </w:r>
      <w:r>
        <w:rPr>
          <w:rFonts w:ascii="Times New Roman" w:hAnsi="Times New Roman"/>
          <w:b w:val="0"/>
          <w:szCs w:val="24"/>
        </w:rPr>
        <w:t>ing</w:t>
      </w:r>
      <w:r w:rsidRPr="00BE6A0B">
        <w:rPr>
          <w:rFonts w:ascii="Times New Roman" w:hAnsi="Times New Roman"/>
          <w:b w:val="0"/>
          <w:szCs w:val="24"/>
        </w:rPr>
        <w:t xml:space="preserve"> the </w:t>
      </w:r>
      <w:r w:rsidR="00130D87">
        <w:rPr>
          <w:rFonts w:ascii="Times New Roman" w:hAnsi="Times New Roman"/>
          <w:b w:val="0"/>
          <w:szCs w:val="24"/>
        </w:rPr>
        <w:t>N</w:t>
      </w:r>
      <w:r w:rsidRPr="00BE6A0B">
        <w:rPr>
          <w:rFonts w:ascii="Times New Roman" w:hAnsi="Times New Roman"/>
          <w:b w:val="0"/>
          <w:szCs w:val="24"/>
        </w:rPr>
        <w:t xml:space="preserve">ation’s </w:t>
      </w:r>
      <w:r>
        <w:rPr>
          <w:rFonts w:ascii="Times New Roman" w:hAnsi="Times New Roman"/>
          <w:b w:val="0"/>
          <w:szCs w:val="24"/>
        </w:rPr>
        <w:t>s</w:t>
      </w:r>
      <w:r w:rsidRPr="00BE6A0B">
        <w:rPr>
          <w:rFonts w:ascii="Times New Roman" w:hAnsi="Times New Roman"/>
          <w:b w:val="0"/>
          <w:szCs w:val="24"/>
        </w:rPr>
        <w:t xml:space="preserve">ecurity and </w:t>
      </w:r>
      <w:r>
        <w:rPr>
          <w:rFonts w:ascii="Times New Roman" w:hAnsi="Times New Roman"/>
          <w:b w:val="0"/>
          <w:szCs w:val="24"/>
        </w:rPr>
        <w:t>p</w:t>
      </w:r>
      <w:r w:rsidRPr="00BE6A0B">
        <w:rPr>
          <w:rFonts w:ascii="Times New Roman" w:hAnsi="Times New Roman"/>
          <w:b w:val="0"/>
          <w:szCs w:val="24"/>
        </w:rPr>
        <w:t>revent</w:t>
      </w:r>
      <w:r>
        <w:rPr>
          <w:rFonts w:ascii="Times New Roman" w:hAnsi="Times New Roman"/>
          <w:b w:val="0"/>
          <w:szCs w:val="24"/>
        </w:rPr>
        <w:t>ing</w:t>
      </w:r>
      <w:r w:rsidRPr="00BE6A0B">
        <w:rPr>
          <w:rFonts w:ascii="Times New Roman" w:hAnsi="Times New Roman"/>
          <w:b w:val="0"/>
          <w:szCs w:val="24"/>
        </w:rPr>
        <w:t xml:space="preserve"> </w:t>
      </w:r>
      <w:r>
        <w:rPr>
          <w:rFonts w:ascii="Times New Roman" w:hAnsi="Times New Roman"/>
          <w:b w:val="0"/>
          <w:szCs w:val="24"/>
        </w:rPr>
        <w:t>c</w:t>
      </w:r>
      <w:r w:rsidRPr="00BE6A0B">
        <w:rPr>
          <w:rFonts w:ascii="Times New Roman" w:hAnsi="Times New Roman"/>
          <w:b w:val="0"/>
          <w:szCs w:val="24"/>
        </w:rPr>
        <w:t xml:space="preserve">rime, </w:t>
      </w:r>
      <w:r>
        <w:rPr>
          <w:rFonts w:ascii="Times New Roman" w:hAnsi="Times New Roman"/>
          <w:b w:val="0"/>
          <w:szCs w:val="24"/>
        </w:rPr>
        <w:t>e</w:t>
      </w:r>
      <w:r w:rsidRPr="00BE6A0B">
        <w:rPr>
          <w:rFonts w:ascii="Times New Roman" w:hAnsi="Times New Roman"/>
          <w:b w:val="0"/>
          <w:szCs w:val="24"/>
        </w:rPr>
        <w:t>nforc</w:t>
      </w:r>
      <w:r>
        <w:rPr>
          <w:rFonts w:ascii="Times New Roman" w:hAnsi="Times New Roman"/>
          <w:b w:val="0"/>
          <w:szCs w:val="24"/>
        </w:rPr>
        <w:t>ing</w:t>
      </w:r>
      <w:r w:rsidRPr="00BE6A0B">
        <w:rPr>
          <w:rFonts w:ascii="Times New Roman" w:hAnsi="Times New Roman"/>
          <w:b w:val="0"/>
          <w:szCs w:val="24"/>
        </w:rPr>
        <w:t xml:space="preserve"> </w:t>
      </w:r>
      <w:r w:rsidR="00D31D89">
        <w:rPr>
          <w:rFonts w:ascii="Times New Roman" w:hAnsi="Times New Roman"/>
          <w:b w:val="0"/>
          <w:szCs w:val="24"/>
        </w:rPr>
        <w:t>Federal</w:t>
      </w:r>
      <w:r w:rsidRPr="00BE6A0B">
        <w:rPr>
          <w:rFonts w:ascii="Times New Roman" w:hAnsi="Times New Roman"/>
          <w:b w:val="0"/>
          <w:szCs w:val="24"/>
        </w:rPr>
        <w:t xml:space="preserve"> </w:t>
      </w:r>
      <w:r>
        <w:rPr>
          <w:rFonts w:ascii="Times New Roman" w:hAnsi="Times New Roman"/>
          <w:b w:val="0"/>
          <w:szCs w:val="24"/>
        </w:rPr>
        <w:t>l</w:t>
      </w:r>
      <w:r w:rsidRPr="00BE6A0B">
        <w:rPr>
          <w:rFonts w:ascii="Times New Roman" w:hAnsi="Times New Roman"/>
          <w:b w:val="0"/>
          <w:szCs w:val="24"/>
        </w:rPr>
        <w:t xml:space="preserve">aws, and </w:t>
      </w:r>
      <w:r>
        <w:rPr>
          <w:rFonts w:ascii="Times New Roman" w:hAnsi="Times New Roman"/>
          <w:b w:val="0"/>
          <w:szCs w:val="24"/>
        </w:rPr>
        <w:t>r</w:t>
      </w:r>
      <w:r w:rsidRPr="00BE6A0B">
        <w:rPr>
          <w:rFonts w:ascii="Times New Roman" w:hAnsi="Times New Roman"/>
          <w:b w:val="0"/>
          <w:szCs w:val="24"/>
        </w:rPr>
        <w:t>epresent</w:t>
      </w:r>
      <w:r>
        <w:rPr>
          <w:rFonts w:ascii="Times New Roman" w:hAnsi="Times New Roman"/>
          <w:b w:val="0"/>
          <w:szCs w:val="24"/>
        </w:rPr>
        <w:t>ing the r</w:t>
      </w:r>
      <w:r w:rsidRPr="00BE6A0B">
        <w:rPr>
          <w:rFonts w:ascii="Times New Roman" w:hAnsi="Times New Roman"/>
          <w:b w:val="0"/>
          <w:szCs w:val="24"/>
        </w:rPr>
        <w:t xml:space="preserve">ights of the American </w:t>
      </w:r>
      <w:r>
        <w:rPr>
          <w:rFonts w:ascii="Times New Roman" w:hAnsi="Times New Roman"/>
          <w:b w:val="0"/>
          <w:szCs w:val="24"/>
        </w:rPr>
        <w:t>p</w:t>
      </w:r>
      <w:r w:rsidRPr="00BE6A0B">
        <w:rPr>
          <w:rFonts w:ascii="Times New Roman" w:hAnsi="Times New Roman"/>
          <w:b w:val="0"/>
          <w:szCs w:val="24"/>
        </w:rPr>
        <w:t xml:space="preserve">eople.  </w:t>
      </w:r>
    </w:p>
    <w:p w:rsidR="00016AE2" w:rsidRDefault="00016AE2" w:rsidP="002F62C8">
      <w:pPr>
        <w:pStyle w:val="xl33"/>
        <w:spacing w:beforeAutospacing="1" w:afterAutospacing="1"/>
        <w:jc w:val="left"/>
        <w:rPr>
          <w:rFonts w:ascii="Times New Roman" w:hAnsi="Times New Roman"/>
          <w:szCs w:val="24"/>
        </w:rPr>
      </w:pPr>
    </w:p>
    <w:p w:rsidR="00016AE2" w:rsidRDefault="00016AE2" w:rsidP="002F62C8">
      <w:pPr>
        <w:pStyle w:val="xl33"/>
        <w:spacing w:beforeAutospacing="1" w:afterAutospacing="1"/>
        <w:jc w:val="left"/>
        <w:rPr>
          <w:rFonts w:ascii="Times New Roman" w:hAnsi="Times New Roman"/>
          <w:szCs w:val="24"/>
        </w:rPr>
      </w:pPr>
    </w:p>
    <w:p w:rsidR="00006CDB" w:rsidRDefault="00E85E15" w:rsidP="002F62C8">
      <w:pPr>
        <w:pStyle w:val="xl33"/>
        <w:spacing w:beforeAutospacing="1" w:afterAutospacing="1"/>
        <w:jc w:val="left"/>
        <w:rPr>
          <w:rFonts w:ascii="Times New Roman" w:hAnsi="Times New Roman"/>
          <w:szCs w:val="24"/>
        </w:rPr>
      </w:pPr>
      <w:r>
        <w:rPr>
          <w:rFonts w:ascii="Times New Roman" w:hAnsi="Times New Roman"/>
          <w:szCs w:val="24"/>
        </w:rPr>
        <w:lastRenderedPageBreak/>
        <w:t>H</w:t>
      </w:r>
      <w:r w:rsidR="00006CDB" w:rsidRPr="00006CDB">
        <w:rPr>
          <w:rFonts w:ascii="Times New Roman" w:hAnsi="Times New Roman"/>
          <w:szCs w:val="24"/>
        </w:rPr>
        <w:t xml:space="preserve">. </w:t>
      </w:r>
      <w:r w:rsidR="00006CDB">
        <w:rPr>
          <w:rFonts w:ascii="Times New Roman" w:hAnsi="Times New Roman"/>
          <w:szCs w:val="24"/>
        </w:rPr>
        <w:t xml:space="preserve"> </w:t>
      </w:r>
      <w:r w:rsidR="00006CDB" w:rsidRPr="00006CDB">
        <w:rPr>
          <w:rFonts w:ascii="Times New Roman" w:hAnsi="Times New Roman"/>
          <w:szCs w:val="24"/>
        </w:rPr>
        <w:t>FY 201</w:t>
      </w:r>
      <w:r w:rsidR="002E022F">
        <w:rPr>
          <w:rFonts w:ascii="Times New Roman" w:hAnsi="Times New Roman"/>
          <w:szCs w:val="24"/>
        </w:rPr>
        <w:t>3</w:t>
      </w:r>
      <w:r w:rsidR="00006CDB" w:rsidRPr="00006CDB">
        <w:rPr>
          <w:rFonts w:ascii="Times New Roman" w:hAnsi="Times New Roman"/>
          <w:szCs w:val="24"/>
        </w:rPr>
        <w:t xml:space="preserve"> Decision Unit Profile</w:t>
      </w:r>
      <w:r w:rsidR="00006CDB">
        <w:rPr>
          <w:rFonts w:ascii="Times New Roman" w:hAnsi="Times New Roman"/>
          <w:szCs w:val="24"/>
        </w:rPr>
        <w:t>:</w:t>
      </w:r>
    </w:p>
    <w:p w:rsidR="00006CDB" w:rsidRDefault="00A36BF4" w:rsidP="00006CDB">
      <w:r>
        <w:t>In response to the FY 2012 budget enacted annualizations of $</w:t>
      </w:r>
      <w:r w:rsidR="00594A5C">
        <w:t>44.3</w:t>
      </w:r>
      <w:r>
        <w:t xml:space="preserve"> million for Southwest Border </w:t>
      </w:r>
      <w:r w:rsidR="004B09F8">
        <w:t>efforts</w:t>
      </w:r>
      <w:r>
        <w:t xml:space="preserve"> from previous appropriations, in FY 2013</w:t>
      </w:r>
      <w:r w:rsidR="00006CDB">
        <w:t xml:space="preserve"> ATF</w:t>
      </w:r>
      <w:r w:rsidR="00F17A98">
        <w:t xml:space="preserve"> realigned its</w:t>
      </w:r>
      <w:r w:rsidR="00006CDB">
        <w:t xml:space="preserve"> budget request to reflect a Decision Unit st</w:t>
      </w:r>
      <w:r>
        <w:t>ructure as follows:  Firearms</w:t>
      </w:r>
      <w:r w:rsidR="00DF650A">
        <w:t xml:space="preserve"> – 76 </w:t>
      </w:r>
      <w:r>
        <w:t>%; Arson &amp; Explosives</w:t>
      </w:r>
      <w:r w:rsidR="00DF650A">
        <w:t xml:space="preserve"> – 2</w:t>
      </w:r>
      <w:r>
        <w:t>2</w:t>
      </w:r>
      <w:r w:rsidR="00006CDB">
        <w:t>%; and Alcohol &amp; Tobacco Diversion</w:t>
      </w:r>
      <w:r w:rsidR="00DF650A">
        <w:t xml:space="preserve"> – 2</w:t>
      </w:r>
      <w:r w:rsidR="00006CDB">
        <w:t>%.</w:t>
      </w:r>
      <w:r w:rsidR="00F17A98">
        <w:t xml:space="preserve">  </w:t>
      </w:r>
      <w:r w:rsidR="00F17A98" w:rsidRPr="00DF650A">
        <w:t xml:space="preserve">This resource alignment is </w:t>
      </w:r>
      <w:r w:rsidRPr="00DF650A">
        <w:t>reflected below</w:t>
      </w:r>
      <w:r w:rsidR="00F17A98" w:rsidRPr="00DF650A">
        <w:t>.</w:t>
      </w:r>
    </w:p>
    <w:p w:rsidR="00A36BF4" w:rsidRPr="00A36BF4" w:rsidRDefault="00A36BF4" w:rsidP="00A36BF4">
      <w:bookmarkStart w:id="4" w:name="type02"/>
      <w:bookmarkStart w:id="5" w:name="type03"/>
      <w:bookmarkStart w:id="6" w:name="type06"/>
      <w:bookmarkStart w:id="7" w:name="type07"/>
      <w:bookmarkStart w:id="8" w:name="type08"/>
      <w:bookmarkStart w:id="9" w:name="type09"/>
      <w:bookmarkStart w:id="10" w:name="type10"/>
      <w:bookmarkStart w:id="11" w:name="type11"/>
      <w:bookmarkStart w:id="12" w:name="_Toc224026862"/>
      <w:bookmarkEnd w:id="4"/>
      <w:bookmarkEnd w:id="5"/>
      <w:bookmarkEnd w:id="6"/>
      <w:bookmarkEnd w:id="7"/>
      <w:bookmarkEnd w:id="8"/>
      <w:bookmarkEnd w:id="9"/>
      <w:bookmarkEnd w:id="10"/>
      <w:bookmarkEnd w:id="11"/>
    </w:p>
    <w:p w:rsidR="00B6650B" w:rsidRPr="003A6E33" w:rsidRDefault="00FA2AAB" w:rsidP="00802178">
      <w:pPr>
        <w:pStyle w:val="Heading1"/>
        <w:spacing w:before="100" w:beforeAutospacing="1" w:after="100" w:afterAutospacing="1"/>
        <w:rPr>
          <w:color w:val="FF0000"/>
        </w:rPr>
      </w:pPr>
      <w:r w:rsidRPr="00762F09">
        <w:rPr>
          <w:rFonts w:ascii="Times New Roman" w:hAnsi="Times New Roman"/>
          <w:szCs w:val="24"/>
        </w:rPr>
        <w:t xml:space="preserve">ATF Resource Profile FY </w:t>
      </w:r>
      <w:bookmarkEnd w:id="12"/>
      <w:r w:rsidR="003A1DEB" w:rsidRPr="00762F09">
        <w:rPr>
          <w:rFonts w:ascii="Times New Roman" w:hAnsi="Times New Roman"/>
          <w:szCs w:val="24"/>
        </w:rPr>
        <w:t>201</w:t>
      </w:r>
      <w:r w:rsidR="007F0E1A">
        <w:rPr>
          <w:rFonts w:ascii="Times New Roman" w:hAnsi="Times New Roman"/>
          <w:szCs w:val="24"/>
        </w:rPr>
        <w:t>3</w:t>
      </w:r>
      <w:r w:rsidR="00B62298">
        <w:rPr>
          <w:rFonts w:ascii="Times New Roman" w:hAnsi="Times New Roman"/>
          <w:szCs w:val="24"/>
        </w:rPr>
        <w:t xml:space="preserve"> </w:t>
      </w:r>
      <w:r w:rsidR="000B63CB">
        <w:rPr>
          <w:rFonts w:ascii="Times New Roman" w:hAnsi="Times New Roman"/>
          <w:szCs w:val="24"/>
        </w:rPr>
        <w:t xml:space="preserve">   </w:t>
      </w:r>
    </w:p>
    <w:p w:rsidR="00FA2AAB" w:rsidRPr="00762F09" w:rsidRDefault="00FA2AAB" w:rsidP="005027FD">
      <w:pPr>
        <w:pStyle w:val="Header"/>
        <w:tabs>
          <w:tab w:val="clear" w:pos="4320"/>
          <w:tab w:val="clear" w:pos="8640"/>
        </w:tabs>
        <w:spacing w:before="100" w:beforeAutospacing="1" w:after="100" w:afterAutospacing="1"/>
        <w:jc w:val="center"/>
        <w:rPr>
          <w:b/>
          <w:bCs/>
        </w:rPr>
      </w:pPr>
      <w:r w:rsidRPr="00762F09">
        <w:rPr>
          <w:b/>
          <w:bCs/>
        </w:rPr>
        <w:t>Resources in Support of DOJ Strategic Goals 1 &amp; 2</w:t>
      </w:r>
    </w:p>
    <w:tbl>
      <w:tblPr>
        <w:tblpPr w:leftFromText="180" w:rightFromText="180" w:vertAnchor="text" w:horzAnchor="margin" w:tblpX="108" w:tblpY="332"/>
        <w:tblW w:w="9163" w:type="dxa"/>
        <w:tblLayout w:type="fixed"/>
        <w:tblLook w:val="0000"/>
      </w:tblPr>
      <w:tblGrid>
        <w:gridCol w:w="1484"/>
        <w:gridCol w:w="1208"/>
        <w:gridCol w:w="1208"/>
        <w:gridCol w:w="1208"/>
        <w:gridCol w:w="1380"/>
        <w:gridCol w:w="1208"/>
        <w:gridCol w:w="1467"/>
      </w:tblGrid>
      <w:tr w:rsidR="00FA2AAB" w:rsidRPr="00762F09" w:rsidTr="00212E5A">
        <w:trPr>
          <w:trHeight w:val="797"/>
        </w:trPr>
        <w:tc>
          <w:tcPr>
            <w:tcW w:w="1484" w:type="dxa"/>
            <w:tcBorders>
              <w:left w:val="nil"/>
              <w:bottom w:val="double" w:sz="4" w:space="0" w:color="999999"/>
              <w:right w:val="single" w:sz="4" w:space="0" w:color="999999"/>
            </w:tcBorders>
            <w:vAlign w:val="center"/>
          </w:tcPr>
          <w:p w:rsidR="00FA2AAB" w:rsidRPr="00762F09" w:rsidRDefault="00FA2AAB" w:rsidP="005027FD">
            <w:pPr>
              <w:pStyle w:val="Header"/>
              <w:tabs>
                <w:tab w:val="clear" w:pos="4320"/>
                <w:tab w:val="clear" w:pos="8640"/>
              </w:tabs>
              <w:spacing w:before="100" w:beforeAutospacing="1" w:after="100" w:afterAutospacing="1"/>
              <w:jc w:val="center"/>
              <w:rPr>
                <w:b/>
                <w:bCs/>
              </w:rPr>
            </w:pPr>
            <w:r w:rsidRPr="00762F09">
              <w:rPr>
                <w:b/>
                <w:bCs/>
              </w:rPr>
              <w:t>Decision Unit</w:t>
            </w:r>
          </w:p>
        </w:tc>
        <w:tc>
          <w:tcPr>
            <w:tcW w:w="1208" w:type="dxa"/>
            <w:tcBorders>
              <w:bottom w:val="double" w:sz="4" w:space="0" w:color="999999"/>
            </w:tcBorders>
          </w:tcPr>
          <w:p w:rsidR="00FA2AAB" w:rsidRPr="00762F09" w:rsidRDefault="00FA2AAB" w:rsidP="007F0E1A">
            <w:pPr>
              <w:spacing w:before="100" w:beforeAutospacing="1" w:after="100" w:afterAutospacing="1"/>
              <w:jc w:val="center"/>
              <w:rPr>
                <w:b/>
                <w:bCs/>
              </w:rPr>
            </w:pPr>
            <w:r w:rsidRPr="00762F09">
              <w:rPr>
                <w:b/>
                <w:bCs/>
              </w:rPr>
              <w:t xml:space="preserve">FY </w:t>
            </w:r>
            <w:r w:rsidR="00ED3050" w:rsidRPr="00762F09">
              <w:rPr>
                <w:b/>
                <w:bCs/>
              </w:rPr>
              <w:t>20</w:t>
            </w:r>
            <w:r w:rsidR="00ED3050">
              <w:rPr>
                <w:b/>
                <w:bCs/>
              </w:rPr>
              <w:t>1</w:t>
            </w:r>
            <w:r w:rsidR="007F0E1A">
              <w:rPr>
                <w:b/>
                <w:bCs/>
              </w:rPr>
              <w:t>1</w:t>
            </w:r>
            <w:r w:rsidR="00ED3050" w:rsidRPr="00762F09">
              <w:rPr>
                <w:b/>
                <w:bCs/>
              </w:rPr>
              <w:t xml:space="preserve"> </w:t>
            </w:r>
            <w:r w:rsidR="000C1C2B">
              <w:rPr>
                <w:b/>
                <w:bCs/>
              </w:rPr>
              <w:t>Enacted</w:t>
            </w:r>
            <w:r w:rsidRPr="00762F09">
              <w:rPr>
                <w:b/>
                <w:bCs/>
              </w:rPr>
              <w:t xml:space="preserve"> </w:t>
            </w:r>
            <w:r w:rsidR="003A6E33">
              <w:rPr>
                <w:b/>
                <w:bCs/>
              </w:rPr>
              <w:t xml:space="preserve">    </w:t>
            </w:r>
            <w:r w:rsidRPr="00762F09">
              <w:rPr>
                <w:b/>
                <w:bCs/>
              </w:rPr>
              <w:t>FTE</w:t>
            </w:r>
          </w:p>
        </w:tc>
        <w:tc>
          <w:tcPr>
            <w:tcW w:w="1208" w:type="dxa"/>
            <w:tcBorders>
              <w:bottom w:val="double" w:sz="4" w:space="0" w:color="999999"/>
            </w:tcBorders>
          </w:tcPr>
          <w:p w:rsidR="00FA2AAB" w:rsidRPr="00762F09" w:rsidRDefault="00FA2AAB" w:rsidP="007F0E1A">
            <w:pPr>
              <w:pStyle w:val="xl33"/>
              <w:spacing w:beforeAutospacing="1" w:afterAutospacing="1"/>
              <w:rPr>
                <w:rFonts w:ascii="Times New Roman" w:hAnsi="Times New Roman"/>
                <w:bCs/>
                <w:szCs w:val="24"/>
              </w:rPr>
            </w:pPr>
            <w:r w:rsidRPr="00F03D4E">
              <w:rPr>
                <w:rFonts w:ascii="Times New Roman" w:hAnsi="Times New Roman"/>
              </w:rPr>
              <w:t xml:space="preserve">FY </w:t>
            </w:r>
            <w:r w:rsidR="00ED3050" w:rsidRPr="00F03D4E">
              <w:rPr>
                <w:rFonts w:ascii="Times New Roman" w:hAnsi="Times New Roman"/>
              </w:rPr>
              <w:t>20</w:t>
            </w:r>
            <w:r w:rsidR="00ED3050">
              <w:rPr>
                <w:rFonts w:ascii="Times New Roman" w:hAnsi="Times New Roman"/>
              </w:rPr>
              <w:t>1</w:t>
            </w:r>
            <w:r w:rsidR="007F0E1A">
              <w:rPr>
                <w:rFonts w:ascii="Times New Roman" w:hAnsi="Times New Roman"/>
              </w:rPr>
              <w:t>1</w:t>
            </w:r>
            <w:r w:rsidR="00ED3050" w:rsidRPr="00F03D4E">
              <w:rPr>
                <w:rFonts w:ascii="Times New Roman" w:hAnsi="Times New Roman"/>
              </w:rPr>
              <w:t xml:space="preserve"> </w:t>
            </w:r>
            <w:r w:rsidR="000C1C2B">
              <w:rPr>
                <w:rFonts w:ascii="Times New Roman" w:hAnsi="Times New Roman"/>
              </w:rPr>
              <w:t>Enacted</w:t>
            </w:r>
            <w:r w:rsidRPr="00F03D4E">
              <w:rPr>
                <w:rFonts w:ascii="Times New Roman" w:hAnsi="Times New Roman"/>
              </w:rPr>
              <w:t xml:space="preserve"> </w:t>
            </w:r>
            <w:r w:rsidRPr="00762F09">
              <w:rPr>
                <w:rFonts w:ascii="Times New Roman" w:hAnsi="Times New Roman"/>
                <w:bCs/>
                <w:szCs w:val="24"/>
              </w:rPr>
              <w:t>($000)</w:t>
            </w:r>
          </w:p>
        </w:tc>
        <w:tc>
          <w:tcPr>
            <w:tcW w:w="1208" w:type="dxa"/>
            <w:tcBorders>
              <w:bottom w:val="double" w:sz="4" w:space="0" w:color="999999"/>
            </w:tcBorders>
          </w:tcPr>
          <w:p w:rsidR="00FA2AAB" w:rsidRPr="00762F09" w:rsidRDefault="00FA2AAB" w:rsidP="007F0E1A">
            <w:pPr>
              <w:pStyle w:val="xl33"/>
              <w:spacing w:beforeAutospacing="1" w:afterAutospacing="1"/>
              <w:rPr>
                <w:rFonts w:ascii="Times New Roman" w:hAnsi="Times New Roman"/>
                <w:bCs/>
                <w:szCs w:val="24"/>
              </w:rPr>
            </w:pPr>
            <w:r w:rsidRPr="00762F09">
              <w:rPr>
                <w:rFonts w:ascii="Times New Roman" w:hAnsi="Times New Roman"/>
                <w:bCs/>
                <w:szCs w:val="24"/>
              </w:rPr>
              <w:t xml:space="preserve">FY </w:t>
            </w:r>
            <w:r w:rsidR="00ED3050" w:rsidRPr="00762F09">
              <w:rPr>
                <w:rFonts w:ascii="Times New Roman" w:hAnsi="Times New Roman"/>
                <w:bCs/>
                <w:szCs w:val="24"/>
              </w:rPr>
              <w:t>20</w:t>
            </w:r>
            <w:r w:rsidR="00ED3050">
              <w:rPr>
                <w:rFonts w:ascii="Times New Roman" w:hAnsi="Times New Roman"/>
                <w:bCs/>
                <w:szCs w:val="24"/>
              </w:rPr>
              <w:t>1</w:t>
            </w:r>
            <w:r w:rsidR="007F0E1A">
              <w:rPr>
                <w:rFonts w:ascii="Times New Roman" w:hAnsi="Times New Roman"/>
                <w:bCs/>
                <w:szCs w:val="24"/>
              </w:rPr>
              <w:t>2</w:t>
            </w:r>
            <w:r w:rsidR="00ED3050" w:rsidRPr="00762F09">
              <w:rPr>
                <w:rFonts w:ascii="Times New Roman" w:hAnsi="Times New Roman"/>
                <w:bCs/>
                <w:szCs w:val="24"/>
              </w:rPr>
              <w:t xml:space="preserve"> </w:t>
            </w:r>
            <w:r w:rsidR="000C1C2B">
              <w:rPr>
                <w:rFonts w:ascii="Times New Roman" w:hAnsi="Times New Roman"/>
                <w:bCs/>
                <w:szCs w:val="24"/>
              </w:rPr>
              <w:t>Enacted</w:t>
            </w:r>
            <w:r w:rsidRPr="00762F09">
              <w:rPr>
                <w:rFonts w:ascii="Times New Roman" w:hAnsi="Times New Roman"/>
                <w:bCs/>
                <w:szCs w:val="24"/>
              </w:rPr>
              <w:t xml:space="preserve"> </w:t>
            </w:r>
            <w:r w:rsidR="00802178">
              <w:rPr>
                <w:rFonts w:ascii="Times New Roman" w:hAnsi="Times New Roman"/>
                <w:bCs/>
                <w:szCs w:val="24"/>
              </w:rPr>
              <w:t xml:space="preserve">     </w:t>
            </w:r>
            <w:r w:rsidRPr="00762F09">
              <w:rPr>
                <w:rFonts w:ascii="Times New Roman" w:hAnsi="Times New Roman"/>
                <w:bCs/>
                <w:szCs w:val="24"/>
              </w:rPr>
              <w:t>FTE</w:t>
            </w:r>
          </w:p>
        </w:tc>
        <w:tc>
          <w:tcPr>
            <w:tcW w:w="1380" w:type="dxa"/>
            <w:tcBorders>
              <w:bottom w:val="double" w:sz="4" w:space="0" w:color="999999"/>
            </w:tcBorders>
          </w:tcPr>
          <w:p w:rsidR="00FA2AAB" w:rsidRPr="00762F09" w:rsidRDefault="00FA2AAB" w:rsidP="007F0E1A">
            <w:pPr>
              <w:pStyle w:val="xl33"/>
              <w:spacing w:beforeAutospacing="1" w:afterAutospacing="1"/>
              <w:rPr>
                <w:rFonts w:ascii="Times New Roman" w:hAnsi="Times New Roman"/>
                <w:szCs w:val="24"/>
              </w:rPr>
            </w:pPr>
            <w:r w:rsidRPr="00F03D4E">
              <w:rPr>
                <w:rFonts w:ascii="Times New Roman" w:hAnsi="Times New Roman"/>
              </w:rPr>
              <w:t xml:space="preserve">FY </w:t>
            </w:r>
            <w:r w:rsidR="00ED3050" w:rsidRPr="00F03D4E">
              <w:rPr>
                <w:rFonts w:ascii="Times New Roman" w:hAnsi="Times New Roman"/>
              </w:rPr>
              <w:t>20</w:t>
            </w:r>
            <w:r w:rsidR="00ED3050">
              <w:rPr>
                <w:rFonts w:ascii="Times New Roman" w:hAnsi="Times New Roman"/>
              </w:rPr>
              <w:t>1</w:t>
            </w:r>
            <w:r w:rsidR="007F0E1A">
              <w:rPr>
                <w:rFonts w:ascii="Times New Roman" w:hAnsi="Times New Roman"/>
              </w:rPr>
              <w:t>2</w:t>
            </w:r>
            <w:r w:rsidR="00ED3050" w:rsidRPr="00F03D4E">
              <w:rPr>
                <w:rFonts w:ascii="Times New Roman" w:hAnsi="Times New Roman"/>
              </w:rPr>
              <w:t xml:space="preserve"> </w:t>
            </w:r>
            <w:r w:rsidR="000C1C2B">
              <w:rPr>
                <w:rFonts w:ascii="Times New Roman" w:hAnsi="Times New Roman"/>
              </w:rPr>
              <w:t>Enacted</w:t>
            </w:r>
            <w:r w:rsidRPr="00762F09">
              <w:rPr>
                <w:rFonts w:ascii="Times New Roman" w:hAnsi="Times New Roman"/>
                <w:bCs/>
                <w:szCs w:val="24"/>
              </w:rPr>
              <w:t xml:space="preserve"> </w:t>
            </w:r>
            <w:r w:rsidR="00802178">
              <w:rPr>
                <w:rFonts w:ascii="Times New Roman" w:hAnsi="Times New Roman"/>
                <w:bCs/>
                <w:szCs w:val="24"/>
              </w:rPr>
              <w:t xml:space="preserve">    </w:t>
            </w:r>
            <w:r w:rsidRPr="00762F09">
              <w:rPr>
                <w:rFonts w:ascii="Times New Roman" w:hAnsi="Times New Roman"/>
                <w:szCs w:val="24"/>
              </w:rPr>
              <w:t>($000)</w:t>
            </w:r>
          </w:p>
        </w:tc>
        <w:tc>
          <w:tcPr>
            <w:tcW w:w="1208" w:type="dxa"/>
            <w:tcBorders>
              <w:bottom w:val="double" w:sz="4" w:space="0" w:color="999999"/>
            </w:tcBorders>
          </w:tcPr>
          <w:p w:rsidR="00FA2AAB" w:rsidRPr="00D62A1F" w:rsidRDefault="00FA2AAB" w:rsidP="007F0E1A">
            <w:pPr>
              <w:pStyle w:val="xl33"/>
              <w:spacing w:beforeAutospacing="1" w:afterAutospacing="1"/>
              <w:rPr>
                <w:rFonts w:ascii="Times New Roman" w:hAnsi="Times New Roman"/>
                <w:bCs/>
                <w:szCs w:val="24"/>
              </w:rPr>
            </w:pPr>
            <w:r w:rsidRPr="00D62A1F">
              <w:rPr>
                <w:rFonts w:ascii="Times New Roman" w:hAnsi="Times New Roman"/>
                <w:bCs/>
                <w:szCs w:val="24"/>
              </w:rPr>
              <w:t xml:space="preserve">FY </w:t>
            </w:r>
            <w:r w:rsidR="00ED3050" w:rsidRPr="00D62A1F">
              <w:rPr>
                <w:rFonts w:ascii="Times New Roman" w:hAnsi="Times New Roman"/>
                <w:bCs/>
                <w:szCs w:val="24"/>
              </w:rPr>
              <w:t>201</w:t>
            </w:r>
            <w:r w:rsidR="007F0E1A" w:rsidRPr="00D62A1F">
              <w:rPr>
                <w:rFonts w:ascii="Times New Roman" w:hAnsi="Times New Roman"/>
                <w:bCs/>
                <w:szCs w:val="24"/>
              </w:rPr>
              <w:t>3</w:t>
            </w:r>
            <w:r w:rsidR="00ED3050" w:rsidRPr="00D62A1F">
              <w:rPr>
                <w:rFonts w:ascii="Times New Roman" w:hAnsi="Times New Roman"/>
                <w:bCs/>
                <w:szCs w:val="24"/>
              </w:rPr>
              <w:t xml:space="preserve"> </w:t>
            </w:r>
            <w:r w:rsidRPr="00D62A1F">
              <w:rPr>
                <w:rFonts w:ascii="Times New Roman" w:hAnsi="Times New Roman"/>
                <w:bCs/>
                <w:szCs w:val="24"/>
              </w:rPr>
              <w:t>Request FTE</w:t>
            </w:r>
          </w:p>
        </w:tc>
        <w:tc>
          <w:tcPr>
            <w:tcW w:w="1467" w:type="dxa"/>
            <w:tcBorders>
              <w:bottom w:val="double" w:sz="4" w:space="0" w:color="999999"/>
            </w:tcBorders>
          </w:tcPr>
          <w:p w:rsidR="00FA2AAB" w:rsidRPr="00D62A1F" w:rsidRDefault="00FA2AAB" w:rsidP="007F0E1A">
            <w:pPr>
              <w:spacing w:before="100" w:beforeAutospacing="1" w:after="100" w:afterAutospacing="1"/>
              <w:jc w:val="center"/>
              <w:rPr>
                <w:b/>
                <w:bCs/>
              </w:rPr>
            </w:pPr>
            <w:r w:rsidRPr="00D62A1F">
              <w:rPr>
                <w:b/>
                <w:bCs/>
              </w:rPr>
              <w:t xml:space="preserve">FY </w:t>
            </w:r>
            <w:r w:rsidR="00ED3050" w:rsidRPr="00D62A1F">
              <w:rPr>
                <w:b/>
                <w:bCs/>
              </w:rPr>
              <w:t>201</w:t>
            </w:r>
            <w:r w:rsidR="007F0E1A" w:rsidRPr="00D62A1F">
              <w:rPr>
                <w:b/>
                <w:bCs/>
              </w:rPr>
              <w:t>3</w:t>
            </w:r>
            <w:r w:rsidR="00ED3050" w:rsidRPr="00D62A1F">
              <w:rPr>
                <w:b/>
                <w:bCs/>
              </w:rPr>
              <w:t xml:space="preserve"> </w:t>
            </w:r>
            <w:r w:rsidRPr="00D62A1F">
              <w:rPr>
                <w:b/>
                <w:bCs/>
              </w:rPr>
              <w:t>Request ($000)</w:t>
            </w:r>
          </w:p>
        </w:tc>
      </w:tr>
      <w:tr w:rsidR="00FA2AAB" w:rsidRPr="00762F09" w:rsidTr="00212E5A">
        <w:trPr>
          <w:trHeight w:val="423"/>
        </w:trPr>
        <w:tc>
          <w:tcPr>
            <w:tcW w:w="1484" w:type="dxa"/>
            <w:tcBorders>
              <w:top w:val="double" w:sz="4" w:space="0" w:color="999999"/>
              <w:left w:val="nil"/>
              <w:right w:val="single" w:sz="4" w:space="0" w:color="999999"/>
            </w:tcBorders>
            <w:vAlign w:val="center"/>
          </w:tcPr>
          <w:p w:rsidR="00FA2AAB" w:rsidRPr="00762F09" w:rsidRDefault="00FA2AAB" w:rsidP="005027FD">
            <w:pPr>
              <w:autoSpaceDE w:val="0"/>
              <w:autoSpaceDN w:val="0"/>
              <w:adjustRightInd w:val="0"/>
              <w:spacing w:before="100" w:beforeAutospacing="1" w:after="100" w:afterAutospacing="1"/>
              <w:jc w:val="center"/>
            </w:pPr>
            <w:r w:rsidRPr="00762F09">
              <w:rPr>
                <w:sz w:val="22"/>
                <w:szCs w:val="22"/>
              </w:rPr>
              <w:t>Firearms</w:t>
            </w:r>
          </w:p>
        </w:tc>
        <w:tc>
          <w:tcPr>
            <w:tcW w:w="1208" w:type="dxa"/>
            <w:tcBorders>
              <w:top w:val="double" w:sz="4" w:space="0" w:color="999999"/>
            </w:tcBorders>
            <w:vAlign w:val="center"/>
          </w:tcPr>
          <w:p w:rsidR="00FA2AAB" w:rsidRPr="00762F09" w:rsidRDefault="00FA2AAB" w:rsidP="009463AA">
            <w:pPr>
              <w:tabs>
                <w:tab w:val="left" w:pos="822"/>
              </w:tabs>
              <w:autoSpaceDE w:val="0"/>
              <w:autoSpaceDN w:val="0"/>
              <w:adjustRightInd w:val="0"/>
              <w:spacing w:before="100" w:beforeAutospacing="1" w:after="100" w:afterAutospacing="1"/>
              <w:jc w:val="center"/>
            </w:pPr>
            <w:r w:rsidRPr="00762F09">
              <w:rPr>
                <w:sz w:val="22"/>
                <w:szCs w:val="22"/>
              </w:rPr>
              <w:t>3,</w:t>
            </w:r>
            <w:r w:rsidR="00ED3050">
              <w:rPr>
                <w:sz w:val="22"/>
                <w:szCs w:val="22"/>
              </w:rPr>
              <w:t>6</w:t>
            </w:r>
            <w:r w:rsidR="009463AA">
              <w:rPr>
                <w:sz w:val="22"/>
                <w:szCs w:val="22"/>
              </w:rPr>
              <w:t>98</w:t>
            </w:r>
          </w:p>
        </w:tc>
        <w:tc>
          <w:tcPr>
            <w:tcW w:w="1208" w:type="dxa"/>
            <w:tcBorders>
              <w:top w:val="double" w:sz="4" w:space="0" w:color="999999"/>
            </w:tcBorders>
            <w:vAlign w:val="center"/>
          </w:tcPr>
          <w:p w:rsidR="00FA2AAB" w:rsidRPr="00762F09" w:rsidRDefault="00FA2AAB" w:rsidP="009463AA">
            <w:pPr>
              <w:autoSpaceDE w:val="0"/>
              <w:autoSpaceDN w:val="0"/>
              <w:adjustRightInd w:val="0"/>
              <w:spacing w:before="100" w:beforeAutospacing="1" w:after="100" w:afterAutospacing="1"/>
              <w:jc w:val="center"/>
            </w:pPr>
            <w:r w:rsidRPr="00762F09">
              <w:rPr>
                <w:sz w:val="22"/>
                <w:szCs w:val="22"/>
              </w:rPr>
              <w:t>$</w:t>
            </w:r>
            <w:r w:rsidR="009463AA">
              <w:rPr>
                <w:sz w:val="22"/>
                <w:szCs w:val="22"/>
              </w:rPr>
              <w:t>834</w:t>
            </w:r>
            <w:r w:rsidR="00ED3050">
              <w:rPr>
                <w:sz w:val="22"/>
                <w:szCs w:val="22"/>
              </w:rPr>
              <w:t>,</w:t>
            </w:r>
            <w:r w:rsidR="009463AA">
              <w:rPr>
                <w:sz w:val="22"/>
                <w:szCs w:val="22"/>
              </w:rPr>
              <w:t>407</w:t>
            </w:r>
          </w:p>
        </w:tc>
        <w:tc>
          <w:tcPr>
            <w:tcW w:w="1208" w:type="dxa"/>
            <w:tcBorders>
              <w:top w:val="double" w:sz="4" w:space="0" w:color="999999"/>
            </w:tcBorders>
            <w:vAlign w:val="center"/>
          </w:tcPr>
          <w:p w:rsidR="00FA2AAB" w:rsidRPr="00D62A1F" w:rsidRDefault="0027527D" w:rsidP="00016AE2">
            <w:pPr>
              <w:tabs>
                <w:tab w:val="left" w:pos="758"/>
              </w:tabs>
              <w:autoSpaceDE w:val="0"/>
              <w:autoSpaceDN w:val="0"/>
              <w:adjustRightInd w:val="0"/>
              <w:spacing w:before="100" w:beforeAutospacing="1" w:after="100" w:afterAutospacing="1"/>
              <w:jc w:val="center"/>
            </w:pPr>
            <w:r w:rsidRPr="00D62A1F">
              <w:rPr>
                <w:sz w:val="22"/>
                <w:szCs w:val="22"/>
              </w:rPr>
              <w:t>3,</w:t>
            </w:r>
            <w:r w:rsidR="00016AE2">
              <w:rPr>
                <w:sz w:val="22"/>
                <w:szCs w:val="22"/>
              </w:rPr>
              <w:t>769</w:t>
            </w:r>
          </w:p>
        </w:tc>
        <w:tc>
          <w:tcPr>
            <w:tcW w:w="1380" w:type="dxa"/>
            <w:tcBorders>
              <w:top w:val="double" w:sz="4" w:space="0" w:color="999999"/>
            </w:tcBorders>
            <w:vAlign w:val="center"/>
          </w:tcPr>
          <w:p w:rsidR="00FA2AAB" w:rsidRPr="00762F09" w:rsidRDefault="00FA2AAB" w:rsidP="009463AA">
            <w:pPr>
              <w:tabs>
                <w:tab w:val="left" w:pos="758"/>
              </w:tabs>
              <w:autoSpaceDE w:val="0"/>
              <w:autoSpaceDN w:val="0"/>
              <w:adjustRightInd w:val="0"/>
              <w:spacing w:before="100" w:beforeAutospacing="1" w:after="100" w:afterAutospacing="1"/>
              <w:jc w:val="center"/>
            </w:pPr>
            <w:r w:rsidRPr="00762F09">
              <w:rPr>
                <w:sz w:val="22"/>
                <w:szCs w:val="22"/>
              </w:rPr>
              <w:t>$</w:t>
            </w:r>
            <w:r w:rsidR="00751BEE">
              <w:rPr>
                <w:sz w:val="22"/>
                <w:szCs w:val="22"/>
              </w:rPr>
              <w:t>8</w:t>
            </w:r>
            <w:r w:rsidR="009463AA">
              <w:rPr>
                <w:sz w:val="22"/>
                <w:szCs w:val="22"/>
              </w:rPr>
              <w:t>75,520</w:t>
            </w:r>
          </w:p>
        </w:tc>
        <w:tc>
          <w:tcPr>
            <w:tcW w:w="1208" w:type="dxa"/>
            <w:tcBorders>
              <w:top w:val="double" w:sz="4" w:space="0" w:color="999999"/>
            </w:tcBorders>
            <w:vAlign w:val="center"/>
          </w:tcPr>
          <w:p w:rsidR="00FA2AAB" w:rsidRPr="00D62A1F" w:rsidRDefault="008D2323" w:rsidP="00016AE2">
            <w:pPr>
              <w:tabs>
                <w:tab w:val="left" w:pos="758"/>
              </w:tabs>
              <w:autoSpaceDE w:val="0"/>
              <w:autoSpaceDN w:val="0"/>
              <w:adjustRightInd w:val="0"/>
              <w:spacing w:before="100" w:beforeAutospacing="1" w:after="100" w:afterAutospacing="1"/>
              <w:jc w:val="center"/>
            </w:pPr>
            <w:r w:rsidRPr="00D62A1F">
              <w:rPr>
                <w:sz w:val="22"/>
                <w:szCs w:val="22"/>
              </w:rPr>
              <w:t>3,</w:t>
            </w:r>
            <w:r w:rsidR="00016AE2">
              <w:rPr>
                <w:sz w:val="22"/>
                <w:szCs w:val="22"/>
              </w:rPr>
              <w:t>694</w:t>
            </w:r>
          </w:p>
        </w:tc>
        <w:tc>
          <w:tcPr>
            <w:tcW w:w="1467" w:type="dxa"/>
            <w:tcBorders>
              <w:top w:val="double" w:sz="4" w:space="0" w:color="999999"/>
            </w:tcBorders>
            <w:vAlign w:val="center"/>
          </w:tcPr>
          <w:p w:rsidR="00FA2AAB" w:rsidRPr="00D62A1F" w:rsidRDefault="00ED3050" w:rsidP="008D3F1B">
            <w:pPr>
              <w:autoSpaceDE w:val="0"/>
              <w:autoSpaceDN w:val="0"/>
              <w:adjustRightInd w:val="0"/>
              <w:spacing w:before="100" w:beforeAutospacing="1" w:after="100" w:afterAutospacing="1"/>
              <w:jc w:val="center"/>
            </w:pPr>
            <w:r w:rsidRPr="00D62A1F">
              <w:rPr>
                <w:sz w:val="22"/>
                <w:szCs w:val="22"/>
              </w:rPr>
              <w:t>$</w:t>
            </w:r>
            <w:r w:rsidR="008D4F8E" w:rsidRPr="00D62A1F">
              <w:rPr>
                <w:sz w:val="22"/>
                <w:szCs w:val="22"/>
              </w:rPr>
              <w:t>876,</w:t>
            </w:r>
            <w:r w:rsidR="008D3F1B">
              <w:rPr>
                <w:sz w:val="22"/>
                <w:szCs w:val="22"/>
              </w:rPr>
              <w:t>542</w:t>
            </w:r>
          </w:p>
        </w:tc>
      </w:tr>
      <w:tr w:rsidR="00FA2AAB" w:rsidRPr="00762F09" w:rsidTr="00212E5A">
        <w:trPr>
          <w:trHeight w:val="247"/>
        </w:trPr>
        <w:tc>
          <w:tcPr>
            <w:tcW w:w="1484" w:type="dxa"/>
            <w:tcBorders>
              <w:left w:val="nil"/>
              <w:right w:val="single" w:sz="4" w:space="0" w:color="999999"/>
            </w:tcBorders>
            <w:vAlign w:val="center"/>
          </w:tcPr>
          <w:p w:rsidR="00FA2AAB" w:rsidRPr="00762F09" w:rsidRDefault="00FA2AAB" w:rsidP="005027FD">
            <w:pPr>
              <w:autoSpaceDE w:val="0"/>
              <w:autoSpaceDN w:val="0"/>
              <w:adjustRightInd w:val="0"/>
              <w:spacing w:before="100" w:beforeAutospacing="1" w:after="100" w:afterAutospacing="1"/>
              <w:jc w:val="center"/>
            </w:pPr>
          </w:p>
        </w:tc>
        <w:tc>
          <w:tcPr>
            <w:tcW w:w="1208"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208"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208" w:type="dxa"/>
            <w:vAlign w:val="center"/>
          </w:tcPr>
          <w:p w:rsidR="00FA2AAB" w:rsidRPr="00D62A1F" w:rsidRDefault="00FA2AAB" w:rsidP="005027FD">
            <w:pPr>
              <w:autoSpaceDE w:val="0"/>
              <w:autoSpaceDN w:val="0"/>
              <w:adjustRightInd w:val="0"/>
              <w:spacing w:before="100" w:beforeAutospacing="1" w:after="100" w:afterAutospacing="1"/>
              <w:jc w:val="center"/>
            </w:pPr>
          </w:p>
        </w:tc>
        <w:tc>
          <w:tcPr>
            <w:tcW w:w="1380"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208" w:type="dxa"/>
            <w:vAlign w:val="center"/>
          </w:tcPr>
          <w:p w:rsidR="00FA2AAB" w:rsidRPr="00D62A1F" w:rsidRDefault="00FA2AAB" w:rsidP="005027FD">
            <w:pPr>
              <w:autoSpaceDE w:val="0"/>
              <w:autoSpaceDN w:val="0"/>
              <w:adjustRightInd w:val="0"/>
              <w:spacing w:before="100" w:beforeAutospacing="1" w:after="100" w:afterAutospacing="1"/>
              <w:jc w:val="center"/>
            </w:pPr>
          </w:p>
        </w:tc>
        <w:tc>
          <w:tcPr>
            <w:tcW w:w="1467" w:type="dxa"/>
            <w:vAlign w:val="center"/>
          </w:tcPr>
          <w:p w:rsidR="00FA2AAB" w:rsidRPr="00D62A1F" w:rsidRDefault="00FA2AAB" w:rsidP="005027FD">
            <w:pPr>
              <w:autoSpaceDE w:val="0"/>
              <w:autoSpaceDN w:val="0"/>
              <w:adjustRightInd w:val="0"/>
              <w:spacing w:before="100" w:beforeAutospacing="1" w:after="100" w:afterAutospacing="1"/>
              <w:jc w:val="center"/>
            </w:pPr>
          </w:p>
        </w:tc>
      </w:tr>
      <w:tr w:rsidR="00FA2AAB" w:rsidRPr="00762F09" w:rsidTr="00212E5A">
        <w:trPr>
          <w:trHeight w:val="532"/>
        </w:trPr>
        <w:tc>
          <w:tcPr>
            <w:tcW w:w="1484" w:type="dxa"/>
            <w:tcBorders>
              <w:left w:val="nil"/>
              <w:right w:val="single" w:sz="4" w:space="0" w:color="999999"/>
            </w:tcBorders>
            <w:vAlign w:val="center"/>
          </w:tcPr>
          <w:p w:rsidR="00FA2AAB" w:rsidRPr="00762F09" w:rsidRDefault="00FA2AAB" w:rsidP="005027FD">
            <w:pPr>
              <w:autoSpaceDE w:val="0"/>
              <w:autoSpaceDN w:val="0"/>
              <w:adjustRightInd w:val="0"/>
              <w:spacing w:before="100" w:beforeAutospacing="1" w:after="100" w:afterAutospacing="1"/>
              <w:jc w:val="center"/>
            </w:pPr>
            <w:r w:rsidRPr="00762F09">
              <w:rPr>
                <w:sz w:val="22"/>
                <w:szCs w:val="22"/>
              </w:rPr>
              <w:t>Arson and Explosives</w:t>
            </w:r>
          </w:p>
        </w:tc>
        <w:tc>
          <w:tcPr>
            <w:tcW w:w="1208" w:type="dxa"/>
            <w:vAlign w:val="center"/>
          </w:tcPr>
          <w:p w:rsidR="00FA2AAB" w:rsidRPr="00762F09" w:rsidRDefault="00FA2AAB" w:rsidP="009463AA">
            <w:pPr>
              <w:autoSpaceDE w:val="0"/>
              <w:autoSpaceDN w:val="0"/>
              <w:adjustRightInd w:val="0"/>
              <w:spacing w:before="100" w:beforeAutospacing="1" w:after="100" w:afterAutospacing="1"/>
              <w:jc w:val="center"/>
            </w:pPr>
            <w:r w:rsidRPr="00762F09">
              <w:rPr>
                <w:sz w:val="22"/>
                <w:szCs w:val="22"/>
              </w:rPr>
              <w:t>1,</w:t>
            </w:r>
            <w:r w:rsidR="009463AA">
              <w:rPr>
                <w:sz w:val="22"/>
                <w:szCs w:val="22"/>
              </w:rPr>
              <w:t>237</w:t>
            </w:r>
          </w:p>
        </w:tc>
        <w:tc>
          <w:tcPr>
            <w:tcW w:w="1208" w:type="dxa"/>
            <w:vAlign w:val="center"/>
          </w:tcPr>
          <w:p w:rsidR="00FA2AAB" w:rsidRPr="00762F09" w:rsidRDefault="00FA2AAB" w:rsidP="009463AA">
            <w:pPr>
              <w:autoSpaceDE w:val="0"/>
              <w:autoSpaceDN w:val="0"/>
              <w:adjustRightInd w:val="0"/>
              <w:spacing w:before="100" w:beforeAutospacing="1" w:after="100" w:afterAutospacing="1"/>
              <w:jc w:val="center"/>
            </w:pPr>
            <w:r w:rsidRPr="00762F09">
              <w:rPr>
                <w:sz w:val="22"/>
                <w:szCs w:val="22"/>
              </w:rPr>
              <w:t>$</w:t>
            </w:r>
            <w:r w:rsidR="00ED3050">
              <w:rPr>
                <w:sz w:val="22"/>
                <w:szCs w:val="22"/>
              </w:rPr>
              <w:t>2</w:t>
            </w:r>
            <w:r w:rsidR="009463AA">
              <w:rPr>
                <w:sz w:val="22"/>
                <w:szCs w:val="22"/>
              </w:rPr>
              <w:t>55</w:t>
            </w:r>
            <w:r w:rsidR="00ED3050">
              <w:rPr>
                <w:sz w:val="22"/>
                <w:szCs w:val="22"/>
              </w:rPr>
              <w:t>,8</w:t>
            </w:r>
            <w:r w:rsidR="009463AA">
              <w:rPr>
                <w:sz w:val="22"/>
                <w:szCs w:val="22"/>
              </w:rPr>
              <w:t>85</w:t>
            </w:r>
          </w:p>
        </w:tc>
        <w:tc>
          <w:tcPr>
            <w:tcW w:w="1208" w:type="dxa"/>
            <w:vAlign w:val="center"/>
          </w:tcPr>
          <w:p w:rsidR="00FA2AAB" w:rsidRPr="00D62A1F" w:rsidRDefault="0027527D" w:rsidP="00016AE2">
            <w:pPr>
              <w:autoSpaceDE w:val="0"/>
              <w:autoSpaceDN w:val="0"/>
              <w:adjustRightInd w:val="0"/>
              <w:spacing w:before="100" w:beforeAutospacing="1" w:after="100" w:afterAutospacing="1"/>
              <w:jc w:val="center"/>
            </w:pPr>
            <w:r w:rsidRPr="00D62A1F">
              <w:rPr>
                <w:sz w:val="22"/>
                <w:szCs w:val="22"/>
              </w:rPr>
              <w:t>1,</w:t>
            </w:r>
            <w:r w:rsidR="00016AE2">
              <w:rPr>
                <w:sz w:val="22"/>
                <w:szCs w:val="22"/>
              </w:rPr>
              <w:t>156</w:t>
            </w:r>
          </w:p>
        </w:tc>
        <w:tc>
          <w:tcPr>
            <w:tcW w:w="1380" w:type="dxa"/>
            <w:vAlign w:val="center"/>
          </w:tcPr>
          <w:p w:rsidR="00FA2AAB" w:rsidRPr="00762F09" w:rsidRDefault="00FA2AAB" w:rsidP="009463AA">
            <w:pPr>
              <w:autoSpaceDE w:val="0"/>
              <w:autoSpaceDN w:val="0"/>
              <w:adjustRightInd w:val="0"/>
              <w:spacing w:before="100" w:beforeAutospacing="1" w:after="100" w:afterAutospacing="1"/>
              <w:jc w:val="center"/>
            </w:pPr>
            <w:r w:rsidRPr="00762F09">
              <w:rPr>
                <w:sz w:val="22"/>
                <w:szCs w:val="22"/>
              </w:rPr>
              <w:t>$</w:t>
            </w:r>
            <w:r w:rsidR="005C570C">
              <w:rPr>
                <w:sz w:val="22"/>
                <w:szCs w:val="22"/>
              </w:rPr>
              <w:t>2</w:t>
            </w:r>
            <w:r w:rsidR="009463AA">
              <w:rPr>
                <w:sz w:val="22"/>
                <w:szCs w:val="22"/>
              </w:rPr>
              <w:t>53</w:t>
            </w:r>
            <w:r w:rsidR="00751BEE">
              <w:rPr>
                <w:sz w:val="22"/>
                <w:szCs w:val="22"/>
              </w:rPr>
              <w:t>,</w:t>
            </w:r>
            <w:r w:rsidR="009463AA">
              <w:rPr>
                <w:sz w:val="22"/>
                <w:szCs w:val="22"/>
              </w:rPr>
              <w:t>440</w:t>
            </w:r>
          </w:p>
        </w:tc>
        <w:tc>
          <w:tcPr>
            <w:tcW w:w="1208" w:type="dxa"/>
            <w:vAlign w:val="center"/>
          </w:tcPr>
          <w:p w:rsidR="00FA2AAB" w:rsidRPr="00D62A1F" w:rsidRDefault="008D2323" w:rsidP="00016AE2">
            <w:pPr>
              <w:autoSpaceDE w:val="0"/>
              <w:autoSpaceDN w:val="0"/>
              <w:adjustRightInd w:val="0"/>
              <w:spacing w:before="100" w:beforeAutospacing="1" w:after="100" w:afterAutospacing="1"/>
              <w:jc w:val="center"/>
            </w:pPr>
            <w:r w:rsidRPr="00D62A1F">
              <w:rPr>
                <w:sz w:val="22"/>
                <w:szCs w:val="22"/>
              </w:rPr>
              <w:t>1,</w:t>
            </w:r>
            <w:r w:rsidR="00016AE2">
              <w:rPr>
                <w:sz w:val="22"/>
                <w:szCs w:val="22"/>
              </w:rPr>
              <w:t>070</w:t>
            </w:r>
          </w:p>
        </w:tc>
        <w:tc>
          <w:tcPr>
            <w:tcW w:w="1467" w:type="dxa"/>
            <w:vAlign w:val="center"/>
          </w:tcPr>
          <w:p w:rsidR="00FA2AAB" w:rsidRPr="00D62A1F" w:rsidRDefault="00ED3050" w:rsidP="008D3F1B">
            <w:pPr>
              <w:autoSpaceDE w:val="0"/>
              <w:autoSpaceDN w:val="0"/>
              <w:adjustRightInd w:val="0"/>
              <w:spacing w:before="100" w:beforeAutospacing="1" w:after="100" w:afterAutospacing="1"/>
              <w:jc w:val="center"/>
            </w:pPr>
            <w:r w:rsidRPr="00D62A1F">
              <w:rPr>
                <w:sz w:val="22"/>
                <w:szCs w:val="22"/>
              </w:rPr>
              <w:t>$</w:t>
            </w:r>
            <w:r w:rsidR="008D4F8E" w:rsidRPr="00D62A1F">
              <w:rPr>
                <w:sz w:val="22"/>
                <w:szCs w:val="22"/>
              </w:rPr>
              <w:t>253,</w:t>
            </w:r>
            <w:r w:rsidR="008D3F1B">
              <w:rPr>
                <w:sz w:val="22"/>
                <w:szCs w:val="22"/>
              </w:rPr>
              <w:t>736</w:t>
            </w:r>
          </w:p>
        </w:tc>
      </w:tr>
      <w:tr w:rsidR="00FA2AAB" w:rsidRPr="00762F09" w:rsidTr="00212E5A">
        <w:trPr>
          <w:trHeight w:val="265"/>
        </w:trPr>
        <w:tc>
          <w:tcPr>
            <w:tcW w:w="1484" w:type="dxa"/>
            <w:tcBorders>
              <w:left w:val="nil"/>
              <w:right w:val="single" w:sz="4" w:space="0" w:color="999999"/>
            </w:tcBorders>
            <w:vAlign w:val="center"/>
          </w:tcPr>
          <w:p w:rsidR="00FA2AAB" w:rsidRPr="00762F09" w:rsidRDefault="00FA2AAB" w:rsidP="005027FD">
            <w:pPr>
              <w:autoSpaceDE w:val="0"/>
              <w:autoSpaceDN w:val="0"/>
              <w:adjustRightInd w:val="0"/>
              <w:spacing w:before="100" w:beforeAutospacing="1" w:after="100" w:afterAutospacing="1"/>
              <w:jc w:val="center"/>
            </w:pPr>
          </w:p>
        </w:tc>
        <w:tc>
          <w:tcPr>
            <w:tcW w:w="1208"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208"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208" w:type="dxa"/>
            <w:vAlign w:val="center"/>
          </w:tcPr>
          <w:p w:rsidR="00FA2AAB" w:rsidRPr="00D62A1F" w:rsidRDefault="00FA2AAB" w:rsidP="005027FD">
            <w:pPr>
              <w:autoSpaceDE w:val="0"/>
              <w:autoSpaceDN w:val="0"/>
              <w:adjustRightInd w:val="0"/>
              <w:spacing w:before="100" w:beforeAutospacing="1" w:after="100" w:afterAutospacing="1"/>
              <w:jc w:val="center"/>
            </w:pPr>
          </w:p>
        </w:tc>
        <w:tc>
          <w:tcPr>
            <w:tcW w:w="1380" w:type="dxa"/>
            <w:vAlign w:val="center"/>
          </w:tcPr>
          <w:p w:rsidR="00FA2AAB" w:rsidRPr="00762F09" w:rsidRDefault="00FA2AAB" w:rsidP="005027FD">
            <w:pPr>
              <w:autoSpaceDE w:val="0"/>
              <w:autoSpaceDN w:val="0"/>
              <w:adjustRightInd w:val="0"/>
              <w:spacing w:before="100" w:beforeAutospacing="1" w:after="100" w:afterAutospacing="1"/>
              <w:jc w:val="center"/>
            </w:pPr>
          </w:p>
        </w:tc>
        <w:tc>
          <w:tcPr>
            <w:tcW w:w="1208" w:type="dxa"/>
            <w:vAlign w:val="center"/>
          </w:tcPr>
          <w:p w:rsidR="00FA2AAB" w:rsidRPr="00D62A1F" w:rsidRDefault="00FA2AAB" w:rsidP="005027FD">
            <w:pPr>
              <w:autoSpaceDE w:val="0"/>
              <w:autoSpaceDN w:val="0"/>
              <w:adjustRightInd w:val="0"/>
              <w:spacing w:before="100" w:beforeAutospacing="1" w:after="100" w:afterAutospacing="1"/>
              <w:jc w:val="center"/>
            </w:pPr>
          </w:p>
        </w:tc>
        <w:tc>
          <w:tcPr>
            <w:tcW w:w="1467" w:type="dxa"/>
            <w:vAlign w:val="center"/>
          </w:tcPr>
          <w:p w:rsidR="00FA2AAB" w:rsidRPr="00D62A1F" w:rsidRDefault="00FA2AAB" w:rsidP="005027FD">
            <w:pPr>
              <w:autoSpaceDE w:val="0"/>
              <w:autoSpaceDN w:val="0"/>
              <w:adjustRightInd w:val="0"/>
              <w:spacing w:before="100" w:beforeAutospacing="1" w:after="100" w:afterAutospacing="1"/>
              <w:jc w:val="center"/>
            </w:pPr>
          </w:p>
        </w:tc>
      </w:tr>
      <w:tr w:rsidR="00FA2AAB" w:rsidRPr="00762F09" w:rsidTr="00212E5A">
        <w:trPr>
          <w:trHeight w:val="797"/>
        </w:trPr>
        <w:tc>
          <w:tcPr>
            <w:tcW w:w="1484" w:type="dxa"/>
            <w:tcBorders>
              <w:left w:val="nil"/>
              <w:right w:val="single" w:sz="4" w:space="0" w:color="999999"/>
            </w:tcBorders>
            <w:vAlign w:val="center"/>
          </w:tcPr>
          <w:p w:rsidR="00FA2AAB" w:rsidRPr="00762F09" w:rsidRDefault="00FA2AAB" w:rsidP="005027FD">
            <w:pPr>
              <w:autoSpaceDE w:val="0"/>
              <w:autoSpaceDN w:val="0"/>
              <w:adjustRightInd w:val="0"/>
              <w:spacing w:before="100" w:beforeAutospacing="1" w:after="100" w:afterAutospacing="1"/>
              <w:jc w:val="center"/>
            </w:pPr>
            <w:r w:rsidRPr="00762F09">
              <w:rPr>
                <w:sz w:val="22"/>
                <w:szCs w:val="22"/>
              </w:rPr>
              <w:t>Alcohol and Tobacco Diversion</w:t>
            </w:r>
          </w:p>
        </w:tc>
        <w:tc>
          <w:tcPr>
            <w:tcW w:w="1208" w:type="dxa"/>
            <w:vAlign w:val="center"/>
          </w:tcPr>
          <w:p w:rsidR="00FA2AAB" w:rsidRPr="00762F09" w:rsidRDefault="00FA2AAB" w:rsidP="005027FD">
            <w:pPr>
              <w:autoSpaceDE w:val="0"/>
              <w:autoSpaceDN w:val="0"/>
              <w:adjustRightInd w:val="0"/>
              <w:spacing w:before="100" w:beforeAutospacing="1" w:after="100" w:afterAutospacing="1"/>
              <w:jc w:val="center"/>
            </w:pPr>
            <w:r w:rsidRPr="00762F09">
              <w:rPr>
                <w:sz w:val="22"/>
                <w:szCs w:val="22"/>
              </w:rPr>
              <w:t xml:space="preserve">    90</w:t>
            </w:r>
          </w:p>
        </w:tc>
        <w:tc>
          <w:tcPr>
            <w:tcW w:w="1208" w:type="dxa"/>
            <w:vAlign w:val="center"/>
          </w:tcPr>
          <w:p w:rsidR="00FA2AAB" w:rsidRPr="00762F09" w:rsidRDefault="00FA2AAB" w:rsidP="009463AA">
            <w:pPr>
              <w:autoSpaceDE w:val="0"/>
              <w:autoSpaceDN w:val="0"/>
              <w:adjustRightInd w:val="0"/>
              <w:spacing w:before="100" w:beforeAutospacing="1" w:after="100" w:afterAutospacing="1"/>
              <w:jc w:val="center"/>
            </w:pPr>
            <w:r w:rsidRPr="00762F09">
              <w:rPr>
                <w:sz w:val="22"/>
                <w:szCs w:val="22"/>
              </w:rPr>
              <w:t xml:space="preserve"> $</w:t>
            </w:r>
            <w:r w:rsidR="00ED3050">
              <w:rPr>
                <w:sz w:val="22"/>
                <w:szCs w:val="22"/>
              </w:rPr>
              <w:t>22,2</w:t>
            </w:r>
            <w:r w:rsidR="009463AA">
              <w:rPr>
                <w:sz w:val="22"/>
                <w:szCs w:val="22"/>
              </w:rPr>
              <w:t>50</w:t>
            </w:r>
          </w:p>
        </w:tc>
        <w:tc>
          <w:tcPr>
            <w:tcW w:w="1208" w:type="dxa"/>
            <w:vAlign w:val="center"/>
          </w:tcPr>
          <w:p w:rsidR="00FA2AAB" w:rsidRPr="00D62A1F" w:rsidRDefault="00FA2AAB" w:rsidP="00016AE2">
            <w:pPr>
              <w:tabs>
                <w:tab w:val="left" w:pos="758"/>
              </w:tabs>
              <w:autoSpaceDE w:val="0"/>
              <w:autoSpaceDN w:val="0"/>
              <w:adjustRightInd w:val="0"/>
              <w:spacing w:before="100" w:beforeAutospacing="1" w:after="100" w:afterAutospacing="1"/>
              <w:jc w:val="center"/>
            </w:pPr>
            <w:r w:rsidRPr="00D62A1F">
              <w:rPr>
                <w:sz w:val="22"/>
                <w:szCs w:val="22"/>
              </w:rPr>
              <w:t xml:space="preserve">    </w:t>
            </w:r>
            <w:r w:rsidR="00016AE2">
              <w:rPr>
                <w:sz w:val="22"/>
                <w:szCs w:val="22"/>
              </w:rPr>
              <w:t>100</w:t>
            </w:r>
          </w:p>
        </w:tc>
        <w:tc>
          <w:tcPr>
            <w:tcW w:w="1380" w:type="dxa"/>
            <w:vAlign w:val="center"/>
          </w:tcPr>
          <w:p w:rsidR="00FA2AAB" w:rsidRPr="00762F09" w:rsidRDefault="00FA2AAB" w:rsidP="009463AA">
            <w:pPr>
              <w:tabs>
                <w:tab w:val="left" w:pos="758"/>
              </w:tabs>
              <w:autoSpaceDE w:val="0"/>
              <w:autoSpaceDN w:val="0"/>
              <w:adjustRightInd w:val="0"/>
              <w:spacing w:before="100" w:beforeAutospacing="1" w:after="100" w:afterAutospacing="1"/>
              <w:jc w:val="center"/>
            </w:pPr>
            <w:r w:rsidRPr="00762F09">
              <w:rPr>
                <w:sz w:val="22"/>
                <w:szCs w:val="22"/>
              </w:rPr>
              <w:t xml:space="preserve"> $</w:t>
            </w:r>
            <w:r w:rsidR="00751BEE">
              <w:rPr>
                <w:sz w:val="22"/>
                <w:szCs w:val="22"/>
              </w:rPr>
              <w:t>2</w:t>
            </w:r>
            <w:r w:rsidR="009463AA">
              <w:rPr>
                <w:sz w:val="22"/>
                <w:szCs w:val="22"/>
              </w:rPr>
              <w:t>3</w:t>
            </w:r>
            <w:r w:rsidR="00751BEE">
              <w:rPr>
                <w:sz w:val="22"/>
                <w:szCs w:val="22"/>
              </w:rPr>
              <w:t>,</w:t>
            </w:r>
            <w:r w:rsidR="009463AA">
              <w:rPr>
                <w:sz w:val="22"/>
                <w:szCs w:val="22"/>
              </w:rPr>
              <w:t>040</w:t>
            </w:r>
          </w:p>
        </w:tc>
        <w:tc>
          <w:tcPr>
            <w:tcW w:w="1208" w:type="dxa"/>
            <w:vAlign w:val="center"/>
          </w:tcPr>
          <w:p w:rsidR="00FA2AAB" w:rsidRPr="00D62A1F" w:rsidRDefault="00016AE2" w:rsidP="00016AE2">
            <w:pPr>
              <w:tabs>
                <w:tab w:val="left" w:pos="758"/>
              </w:tabs>
              <w:autoSpaceDE w:val="0"/>
              <w:autoSpaceDN w:val="0"/>
              <w:adjustRightInd w:val="0"/>
              <w:spacing w:before="100" w:beforeAutospacing="1" w:after="100" w:afterAutospacing="1"/>
              <w:jc w:val="center"/>
            </w:pPr>
            <w:r>
              <w:rPr>
                <w:sz w:val="22"/>
                <w:szCs w:val="22"/>
              </w:rPr>
              <w:t>9</w:t>
            </w:r>
            <w:r w:rsidR="008D2323" w:rsidRPr="00D62A1F">
              <w:rPr>
                <w:sz w:val="22"/>
                <w:szCs w:val="22"/>
              </w:rPr>
              <w:t>7</w:t>
            </w:r>
          </w:p>
        </w:tc>
        <w:tc>
          <w:tcPr>
            <w:tcW w:w="1467" w:type="dxa"/>
            <w:vAlign w:val="center"/>
          </w:tcPr>
          <w:p w:rsidR="00FA2AAB" w:rsidRPr="00D62A1F" w:rsidRDefault="00ED3050" w:rsidP="008D3F1B">
            <w:pPr>
              <w:autoSpaceDE w:val="0"/>
              <w:autoSpaceDN w:val="0"/>
              <w:adjustRightInd w:val="0"/>
              <w:spacing w:before="100" w:beforeAutospacing="1" w:after="100" w:afterAutospacing="1"/>
              <w:jc w:val="center"/>
            </w:pPr>
            <w:r w:rsidRPr="00D62A1F">
              <w:rPr>
                <w:sz w:val="22"/>
                <w:szCs w:val="22"/>
              </w:rPr>
              <w:t>$</w:t>
            </w:r>
            <w:r w:rsidR="008D4F8E" w:rsidRPr="00D62A1F">
              <w:rPr>
                <w:sz w:val="22"/>
                <w:szCs w:val="22"/>
              </w:rPr>
              <w:t>23,0</w:t>
            </w:r>
            <w:r w:rsidR="008D3F1B">
              <w:rPr>
                <w:sz w:val="22"/>
                <w:szCs w:val="22"/>
              </w:rPr>
              <w:t>67</w:t>
            </w:r>
          </w:p>
        </w:tc>
      </w:tr>
      <w:tr w:rsidR="00FA2AAB" w:rsidRPr="00762F09" w:rsidTr="00212E5A">
        <w:trPr>
          <w:trHeight w:val="287"/>
        </w:trPr>
        <w:tc>
          <w:tcPr>
            <w:tcW w:w="1484" w:type="dxa"/>
            <w:tcBorders>
              <w:left w:val="nil"/>
              <w:right w:val="single" w:sz="4" w:space="0" w:color="999999"/>
            </w:tcBorders>
            <w:vAlign w:val="center"/>
          </w:tcPr>
          <w:p w:rsidR="00FA2AAB" w:rsidRPr="00762F09" w:rsidRDefault="00FA2AAB" w:rsidP="005027FD">
            <w:pPr>
              <w:pStyle w:val="Heading7"/>
              <w:spacing w:before="100" w:beforeAutospacing="1" w:after="100" w:afterAutospacing="1"/>
              <w:ind w:right="0"/>
              <w:jc w:val="center"/>
              <w:rPr>
                <w:sz w:val="22"/>
                <w:szCs w:val="22"/>
              </w:rPr>
            </w:pPr>
          </w:p>
        </w:tc>
        <w:tc>
          <w:tcPr>
            <w:tcW w:w="1208" w:type="dxa"/>
            <w:vAlign w:val="center"/>
          </w:tcPr>
          <w:p w:rsidR="00FA2AAB" w:rsidRPr="00762F09" w:rsidRDefault="00FA2AAB" w:rsidP="005027FD">
            <w:pPr>
              <w:spacing w:before="100" w:beforeAutospacing="1" w:after="100" w:afterAutospacing="1"/>
              <w:jc w:val="center"/>
              <w:rPr>
                <w:b/>
              </w:rPr>
            </w:pPr>
          </w:p>
        </w:tc>
        <w:tc>
          <w:tcPr>
            <w:tcW w:w="1208" w:type="dxa"/>
            <w:vAlign w:val="center"/>
          </w:tcPr>
          <w:p w:rsidR="00FA2AAB" w:rsidRPr="00762F09" w:rsidRDefault="00FA2AAB" w:rsidP="005027FD">
            <w:pPr>
              <w:spacing w:before="100" w:beforeAutospacing="1" w:after="100" w:afterAutospacing="1"/>
              <w:jc w:val="center"/>
              <w:rPr>
                <w:b/>
              </w:rPr>
            </w:pPr>
          </w:p>
        </w:tc>
        <w:tc>
          <w:tcPr>
            <w:tcW w:w="1208" w:type="dxa"/>
            <w:vAlign w:val="center"/>
          </w:tcPr>
          <w:p w:rsidR="00FA2AAB" w:rsidRPr="00762F09" w:rsidRDefault="00FA2AAB" w:rsidP="005027FD">
            <w:pPr>
              <w:spacing w:before="100" w:beforeAutospacing="1" w:after="100" w:afterAutospacing="1"/>
              <w:jc w:val="center"/>
              <w:rPr>
                <w:b/>
              </w:rPr>
            </w:pPr>
          </w:p>
        </w:tc>
        <w:tc>
          <w:tcPr>
            <w:tcW w:w="1380" w:type="dxa"/>
            <w:vAlign w:val="center"/>
          </w:tcPr>
          <w:p w:rsidR="00FA2AAB" w:rsidRPr="00762F09" w:rsidRDefault="00FA2AAB" w:rsidP="005027FD">
            <w:pPr>
              <w:spacing w:before="100" w:beforeAutospacing="1" w:after="100" w:afterAutospacing="1"/>
              <w:jc w:val="center"/>
              <w:rPr>
                <w:b/>
              </w:rPr>
            </w:pPr>
          </w:p>
        </w:tc>
        <w:tc>
          <w:tcPr>
            <w:tcW w:w="1208" w:type="dxa"/>
            <w:vAlign w:val="center"/>
          </w:tcPr>
          <w:p w:rsidR="00FA2AAB" w:rsidRPr="00D62A1F" w:rsidRDefault="00FA2AAB" w:rsidP="001115EC">
            <w:pPr>
              <w:spacing w:before="100" w:beforeAutospacing="1" w:after="100" w:afterAutospacing="1"/>
              <w:jc w:val="center"/>
              <w:rPr>
                <w:b/>
              </w:rPr>
            </w:pPr>
          </w:p>
        </w:tc>
        <w:tc>
          <w:tcPr>
            <w:tcW w:w="1467" w:type="dxa"/>
            <w:vAlign w:val="center"/>
          </w:tcPr>
          <w:p w:rsidR="00FA2AAB" w:rsidRPr="00D62A1F" w:rsidRDefault="00FA2AAB" w:rsidP="005027FD">
            <w:pPr>
              <w:spacing w:before="100" w:beforeAutospacing="1" w:after="100" w:afterAutospacing="1"/>
              <w:jc w:val="center"/>
              <w:rPr>
                <w:b/>
              </w:rPr>
            </w:pPr>
          </w:p>
        </w:tc>
      </w:tr>
      <w:tr w:rsidR="00FA2AAB" w:rsidRPr="00762F09" w:rsidTr="00212E5A">
        <w:trPr>
          <w:trHeight w:val="287"/>
        </w:trPr>
        <w:tc>
          <w:tcPr>
            <w:tcW w:w="1484" w:type="dxa"/>
            <w:tcBorders>
              <w:left w:val="nil"/>
              <w:right w:val="single" w:sz="4" w:space="0" w:color="999999"/>
            </w:tcBorders>
            <w:vAlign w:val="center"/>
          </w:tcPr>
          <w:p w:rsidR="00FA2AAB" w:rsidRPr="00762F09" w:rsidRDefault="00212E5A" w:rsidP="005027FD">
            <w:pPr>
              <w:pStyle w:val="Heading7"/>
              <w:spacing w:before="100" w:beforeAutospacing="1" w:after="100" w:afterAutospacing="1"/>
              <w:ind w:right="0"/>
              <w:jc w:val="center"/>
              <w:rPr>
                <w:sz w:val="22"/>
                <w:szCs w:val="22"/>
              </w:rPr>
            </w:pPr>
            <w:r>
              <w:rPr>
                <w:sz w:val="22"/>
                <w:szCs w:val="22"/>
              </w:rPr>
              <w:t>T</w:t>
            </w:r>
            <w:r w:rsidR="00FA2AAB" w:rsidRPr="00762F09">
              <w:rPr>
                <w:sz w:val="22"/>
                <w:szCs w:val="22"/>
              </w:rPr>
              <w:t>otal ATF S&amp;E</w:t>
            </w:r>
          </w:p>
        </w:tc>
        <w:tc>
          <w:tcPr>
            <w:tcW w:w="1208" w:type="dxa"/>
            <w:vAlign w:val="center"/>
          </w:tcPr>
          <w:p w:rsidR="00FA2AAB" w:rsidRPr="00762F09" w:rsidRDefault="00ED3050" w:rsidP="005027FD">
            <w:pPr>
              <w:spacing w:before="100" w:beforeAutospacing="1" w:after="100" w:afterAutospacing="1"/>
              <w:jc w:val="center"/>
              <w:rPr>
                <w:b/>
              </w:rPr>
            </w:pPr>
            <w:r>
              <w:rPr>
                <w:b/>
                <w:sz w:val="22"/>
                <w:szCs w:val="22"/>
              </w:rPr>
              <w:t>5,025</w:t>
            </w:r>
          </w:p>
        </w:tc>
        <w:tc>
          <w:tcPr>
            <w:tcW w:w="1208" w:type="dxa"/>
            <w:vAlign w:val="center"/>
          </w:tcPr>
          <w:p w:rsidR="00FA2AAB" w:rsidRPr="00762F09" w:rsidRDefault="00FA2AAB" w:rsidP="009463AA">
            <w:pPr>
              <w:spacing w:before="100" w:beforeAutospacing="1" w:after="100" w:afterAutospacing="1"/>
              <w:jc w:val="center"/>
              <w:rPr>
                <w:b/>
              </w:rPr>
            </w:pPr>
            <w:r w:rsidRPr="00762F09">
              <w:rPr>
                <w:b/>
                <w:sz w:val="22"/>
                <w:szCs w:val="22"/>
              </w:rPr>
              <w:t>$</w:t>
            </w:r>
            <w:r>
              <w:rPr>
                <w:b/>
                <w:sz w:val="22"/>
                <w:szCs w:val="22"/>
              </w:rPr>
              <w:t>1,</w:t>
            </w:r>
            <w:r w:rsidR="00ED3050">
              <w:rPr>
                <w:b/>
                <w:sz w:val="22"/>
                <w:szCs w:val="22"/>
              </w:rPr>
              <w:t>11</w:t>
            </w:r>
            <w:r w:rsidR="009463AA">
              <w:rPr>
                <w:b/>
                <w:sz w:val="22"/>
                <w:szCs w:val="22"/>
              </w:rPr>
              <w:t>2,54</w:t>
            </w:r>
            <w:r w:rsidR="00ED3050">
              <w:rPr>
                <w:b/>
                <w:sz w:val="22"/>
                <w:szCs w:val="22"/>
              </w:rPr>
              <w:t>2</w:t>
            </w:r>
          </w:p>
        </w:tc>
        <w:tc>
          <w:tcPr>
            <w:tcW w:w="1208" w:type="dxa"/>
            <w:vAlign w:val="center"/>
          </w:tcPr>
          <w:p w:rsidR="00FA2AAB" w:rsidRPr="00762F09" w:rsidRDefault="00FA2AAB" w:rsidP="009463AA">
            <w:pPr>
              <w:spacing w:before="100" w:beforeAutospacing="1" w:after="100" w:afterAutospacing="1"/>
              <w:jc w:val="center"/>
              <w:rPr>
                <w:b/>
              </w:rPr>
            </w:pPr>
            <w:r>
              <w:rPr>
                <w:b/>
                <w:sz w:val="22"/>
                <w:szCs w:val="22"/>
              </w:rPr>
              <w:t>5</w:t>
            </w:r>
            <w:r w:rsidRPr="00762F09">
              <w:rPr>
                <w:b/>
                <w:sz w:val="22"/>
                <w:szCs w:val="22"/>
              </w:rPr>
              <w:t>,</w:t>
            </w:r>
            <w:r w:rsidR="009463AA">
              <w:rPr>
                <w:b/>
                <w:sz w:val="22"/>
                <w:szCs w:val="22"/>
              </w:rPr>
              <w:t>025</w:t>
            </w:r>
          </w:p>
        </w:tc>
        <w:tc>
          <w:tcPr>
            <w:tcW w:w="1380" w:type="dxa"/>
            <w:vAlign w:val="center"/>
          </w:tcPr>
          <w:p w:rsidR="00FA2AAB" w:rsidRPr="00762F09" w:rsidRDefault="00FA2AAB" w:rsidP="009463AA">
            <w:pPr>
              <w:spacing w:before="100" w:beforeAutospacing="1" w:after="100" w:afterAutospacing="1"/>
              <w:jc w:val="center"/>
              <w:rPr>
                <w:b/>
              </w:rPr>
            </w:pPr>
            <w:r w:rsidRPr="00762F09">
              <w:rPr>
                <w:b/>
                <w:sz w:val="22"/>
                <w:szCs w:val="22"/>
              </w:rPr>
              <w:t>$1,</w:t>
            </w:r>
            <w:r w:rsidR="00ED3050">
              <w:rPr>
                <w:b/>
                <w:sz w:val="22"/>
                <w:szCs w:val="22"/>
              </w:rPr>
              <w:t>1</w:t>
            </w:r>
            <w:r w:rsidR="009463AA">
              <w:rPr>
                <w:b/>
                <w:sz w:val="22"/>
                <w:szCs w:val="22"/>
              </w:rPr>
              <w:t>52</w:t>
            </w:r>
            <w:r w:rsidR="00ED3050">
              <w:rPr>
                <w:b/>
                <w:sz w:val="22"/>
                <w:szCs w:val="22"/>
              </w:rPr>
              <w:t>,</w:t>
            </w:r>
            <w:r w:rsidR="009463AA">
              <w:rPr>
                <w:b/>
                <w:sz w:val="22"/>
                <w:szCs w:val="22"/>
              </w:rPr>
              <w:t>000</w:t>
            </w:r>
          </w:p>
        </w:tc>
        <w:tc>
          <w:tcPr>
            <w:tcW w:w="1208" w:type="dxa"/>
            <w:vAlign w:val="center"/>
          </w:tcPr>
          <w:p w:rsidR="00FA2AAB" w:rsidRPr="00D62A1F" w:rsidRDefault="008D2323" w:rsidP="00830315">
            <w:pPr>
              <w:spacing w:before="100" w:beforeAutospacing="1" w:after="100" w:afterAutospacing="1"/>
              <w:jc w:val="center"/>
              <w:rPr>
                <w:b/>
              </w:rPr>
            </w:pPr>
            <w:r w:rsidRPr="00D62A1F">
              <w:rPr>
                <w:b/>
                <w:sz w:val="22"/>
                <w:szCs w:val="22"/>
              </w:rPr>
              <w:t>4,861</w:t>
            </w:r>
          </w:p>
        </w:tc>
        <w:tc>
          <w:tcPr>
            <w:tcW w:w="1467" w:type="dxa"/>
            <w:vAlign w:val="center"/>
          </w:tcPr>
          <w:p w:rsidR="00FA2AAB" w:rsidRPr="00D62A1F" w:rsidRDefault="00FA2AAB" w:rsidP="00CF0F3A">
            <w:pPr>
              <w:spacing w:before="100" w:beforeAutospacing="1" w:after="100" w:afterAutospacing="1"/>
              <w:jc w:val="center"/>
              <w:rPr>
                <w:b/>
              </w:rPr>
            </w:pPr>
            <w:r w:rsidRPr="00D62A1F">
              <w:rPr>
                <w:b/>
                <w:sz w:val="22"/>
                <w:szCs w:val="22"/>
              </w:rPr>
              <w:t>$</w:t>
            </w:r>
            <w:r w:rsidR="00CF0F3A" w:rsidRPr="00D62A1F">
              <w:rPr>
                <w:b/>
                <w:sz w:val="22"/>
                <w:szCs w:val="22"/>
              </w:rPr>
              <w:t>1,153,</w:t>
            </w:r>
            <w:r w:rsidR="008D5B9A">
              <w:rPr>
                <w:b/>
                <w:sz w:val="22"/>
                <w:szCs w:val="22"/>
              </w:rPr>
              <w:t>345</w:t>
            </w:r>
          </w:p>
        </w:tc>
      </w:tr>
      <w:tr w:rsidR="00FA2AAB" w:rsidRPr="00762F09" w:rsidTr="00212E5A">
        <w:trPr>
          <w:trHeight w:val="287"/>
        </w:trPr>
        <w:tc>
          <w:tcPr>
            <w:tcW w:w="1484" w:type="dxa"/>
            <w:tcBorders>
              <w:left w:val="nil"/>
              <w:right w:val="single" w:sz="4" w:space="0" w:color="999999"/>
            </w:tcBorders>
            <w:vAlign w:val="center"/>
          </w:tcPr>
          <w:p w:rsidR="00FA2AAB" w:rsidRPr="00762F09" w:rsidRDefault="00FA2AAB" w:rsidP="005027FD">
            <w:pPr>
              <w:pStyle w:val="Heading7"/>
              <w:spacing w:before="100" w:beforeAutospacing="1" w:after="100" w:afterAutospacing="1"/>
              <w:ind w:right="0"/>
              <w:jc w:val="center"/>
              <w:rPr>
                <w:sz w:val="22"/>
                <w:szCs w:val="22"/>
              </w:rPr>
            </w:pPr>
          </w:p>
        </w:tc>
        <w:tc>
          <w:tcPr>
            <w:tcW w:w="1208" w:type="dxa"/>
            <w:vAlign w:val="center"/>
          </w:tcPr>
          <w:p w:rsidR="00FA2AAB" w:rsidRPr="00762F09" w:rsidRDefault="00FA2AAB" w:rsidP="005027FD">
            <w:pPr>
              <w:spacing w:before="100" w:beforeAutospacing="1" w:after="100" w:afterAutospacing="1"/>
              <w:jc w:val="center"/>
              <w:rPr>
                <w:b/>
              </w:rPr>
            </w:pPr>
          </w:p>
        </w:tc>
        <w:tc>
          <w:tcPr>
            <w:tcW w:w="1208" w:type="dxa"/>
            <w:vAlign w:val="center"/>
          </w:tcPr>
          <w:p w:rsidR="00FA2AAB" w:rsidRPr="00762F09" w:rsidRDefault="00FA2AAB" w:rsidP="005027FD">
            <w:pPr>
              <w:spacing w:before="100" w:beforeAutospacing="1" w:after="100" w:afterAutospacing="1"/>
              <w:jc w:val="center"/>
              <w:rPr>
                <w:b/>
              </w:rPr>
            </w:pPr>
          </w:p>
        </w:tc>
        <w:tc>
          <w:tcPr>
            <w:tcW w:w="1208" w:type="dxa"/>
            <w:vAlign w:val="center"/>
          </w:tcPr>
          <w:p w:rsidR="00FA2AAB" w:rsidRPr="00762F09" w:rsidRDefault="00FA2AAB" w:rsidP="005027FD">
            <w:pPr>
              <w:spacing w:before="100" w:beforeAutospacing="1" w:after="100" w:afterAutospacing="1"/>
              <w:jc w:val="center"/>
              <w:rPr>
                <w:b/>
              </w:rPr>
            </w:pPr>
          </w:p>
        </w:tc>
        <w:tc>
          <w:tcPr>
            <w:tcW w:w="1380" w:type="dxa"/>
            <w:vAlign w:val="center"/>
          </w:tcPr>
          <w:p w:rsidR="00FA2AAB" w:rsidRPr="00762F09" w:rsidRDefault="00FA2AAB" w:rsidP="005027FD">
            <w:pPr>
              <w:spacing w:before="100" w:beforeAutospacing="1" w:after="100" w:afterAutospacing="1"/>
              <w:jc w:val="center"/>
              <w:rPr>
                <w:b/>
              </w:rPr>
            </w:pPr>
          </w:p>
        </w:tc>
        <w:tc>
          <w:tcPr>
            <w:tcW w:w="1208" w:type="dxa"/>
            <w:vAlign w:val="center"/>
          </w:tcPr>
          <w:p w:rsidR="00FA2AAB" w:rsidRPr="00762F09" w:rsidRDefault="00FA2AAB" w:rsidP="005027FD">
            <w:pPr>
              <w:spacing w:before="100" w:beforeAutospacing="1" w:after="100" w:afterAutospacing="1"/>
              <w:jc w:val="center"/>
              <w:rPr>
                <w:b/>
              </w:rPr>
            </w:pPr>
          </w:p>
        </w:tc>
        <w:tc>
          <w:tcPr>
            <w:tcW w:w="1467" w:type="dxa"/>
            <w:vAlign w:val="center"/>
          </w:tcPr>
          <w:p w:rsidR="00FA2AAB" w:rsidRPr="00B24A13" w:rsidRDefault="00FA2AAB" w:rsidP="005027FD">
            <w:pPr>
              <w:spacing w:before="100" w:beforeAutospacing="1" w:after="100" w:afterAutospacing="1"/>
              <w:jc w:val="center"/>
              <w:rPr>
                <w:b/>
                <w:highlight w:val="yellow"/>
              </w:rPr>
            </w:pPr>
          </w:p>
        </w:tc>
      </w:tr>
    </w:tbl>
    <w:p w:rsidR="00FA2AAB" w:rsidRPr="00762F09" w:rsidRDefault="00FA2AAB" w:rsidP="005027FD">
      <w:pPr>
        <w:pStyle w:val="Header"/>
        <w:tabs>
          <w:tab w:val="clear" w:pos="4320"/>
          <w:tab w:val="clear" w:pos="8640"/>
        </w:tabs>
        <w:spacing w:before="100" w:beforeAutospacing="1" w:after="100" w:afterAutospacing="1"/>
        <w:jc w:val="center"/>
        <w:rPr>
          <w:bCs/>
        </w:rPr>
      </w:pPr>
      <w:r w:rsidRPr="00762F09">
        <w:rPr>
          <w:b/>
          <w:bCs/>
        </w:rPr>
        <w:br w:type="page"/>
      </w:r>
      <w:r w:rsidRPr="00762F09">
        <w:rPr>
          <w:b/>
          <w:bCs/>
        </w:rPr>
        <w:lastRenderedPageBreak/>
        <w:t>S&amp;E Resources in Support of DOJ Strategic Goals 1 &amp; 2</w:t>
      </w:r>
    </w:p>
    <w:p w:rsidR="00FA2AAB" w:rsidRPr="00762F09" w:rsidRDefault="00FA2AAB" w:rsidP="005027FD">
      <w:pPr>
        <w:pStyle w:val="Header"/>
        <w:tabs>
          <w:tab w:val="clear" w:pos="4320"/>
          <w:tab w:val="clear" w:pos="8640"/>
        </w:tabs>
        <w:spacing w:before="100" w:beforeAutospacing="1" w:after="100" w:afterAutospacing="1"/>
        <w:jc w:val="center"/>
        <w:rPr>
          <w:b/>
          <w:bCs/>
        </w:rPr>
      </w:pPr>
      <w:r w:rsidRPr="00762F09">
        <w:rPr>
          <w:b/>
          <w:bCs/>
        </w:rPr>
        <w:t xml:space="preserve">By Decision Units and Counterterrorism Crosscut </w:t>
      </w:r>
    </w:p>
    <w:p w:rsidR="00FA2AAB" w:rsidRPr="00762F09" w:rsidRDefault="00FA2AAB" w:rsidP="005027FD">
      <w:pPr>
        <w:pStyle w:val="xl19"/>
        <w:spacing w:before="100" w:beforeAutospacing="1" w:after="100" w:afterAutospacing="1"/>
        <w:jc w:val="center"/>
        <w:rPr>
          <w:b/>
          <w:bCs/>
        </w:rPr>
      </w:pPr>
      <w:r w:rsidRPr="00762F09">
        <w:rPr>
          <w:b/>
          <w:bCs/>
        </w:rPr>
        <w:t xml:space="preserve"> Decision Units</w:t>
      </w:r>
    </w:p>
    <w:p w:rsidR="00FA2AAB" w:rsidRPr="00762F09" w:rsidRDefault="006C7F18" w:rsidP="005027FD">
      <w:pPr>
        <w:pStyle w:val="xl19"/>
        <w:spacing w:before="100" w:beforeAutospacing="1" w:after="100" w:afterAutospacing="1"/>
        <w:jc w:val="center"/>
      </w:pPr>
      <w:r>
        <w:pict>
          <v:group id="_x0000_s1800" editas="canvas" alt="The first graphic on page 9 portrays the policy resource breakout and Decision Unit structure for ATF.  Firearms programs - 76%; Arson &amp; Explosives programs - 22%; Alcohol &amp; Tobacco Diversion programs - 2%." style="width:322.5pt;height:184.5pt;mso-position-horizontal-relative:char;mso-position-vertical-relative:line" coordsize="6450,3690">
            <o:lock v:ext="edit" aspectratio="t"/>
            <v:shape id="_x0000_s1801" type="#_x0000_t75" style="position:absolute;width:6450;height:3690" o:preferrelative="f" stroked="t" strokeweight=".5pt">
              <v:fill o:detectmouseclick="t"/>
              <v:path o:extrusionok="t" o:connecttype="none"/>
              <o:lock v:ext="edit" text="t"/>
            </v:shape>
            <v:shape id="_x0000_s1802" style="position:absolute;left:3049;top:1425;width:196;height:894" coordsize="196,894" path="m196,431l,,,464,196,894r,-463xe" fillcolor="black" stroked="f">
              <v:fill r:id="rId18" o:title="" type="tile"/>
              <v:path arrowok="t"/>
            </v:shape>
            <v:shape id="_x0000_s1803" style="position:absolute;left:3049;top:1425;width:196;height:894" coordsize="196,894" path="m196,431l,,,464,196,894r,-463xe" filled="f" strokeweight="44e-5mm">
              <v:path arrowok="t"/>
            </v:shape>
            <v:shape id="_x0000_s1804" style="position:absolute;left:3049;top:1425;width:196;height:431" coordsize="196,431" path="m,l49,r98,l196,r,431l,xe" fillcolor="black" stroked="f">
              <v:fill r:id="rId19" o:title="" type="tile"/>
              <v:path arrowok="t"/>
            </v:shape>
            <v:shape id="_x0000_s1805" style="position:absolute;left:3049;top:1425;width:196;height:431" coordsize="196,431" path="m,l49,r98,l196,r,431l,xe" filled="f" strokeweight="44e-5mm">
              <v:path arrowok="t"/>
            </v:shape>
            <v:shape id="_x0000_s1806" style="position:absolute;left:3131;top:895;width:326;height:530" coordsize="20,32" path="m20,l14,,,32e" filled="f" strokeweight="44e-5mm">
              <v:path arrowok="t"/>
            </v:shape>
            <v:shape id="_x0000_s1807" style="position:absolute;left:1419;top:1889;width:16;height:530" coordsize="16,530" path="m16,66l,49,,33r,l,16,,,,,,464r,l,480r,17l,497r,16l16,530,16,66xe" fillcolor="black" stroked="f">
              <v:fill r:id="rId20" o:title="" type="tile"/>
              <v:path arrowok="t"/>
            </v:shape>
            <v:shape id="_x0000_s1808" style="position:absolute;left:1419;top:1889;width:16;height:530" coordsize="16,530" path="m16,66l,49,,33r,l,16,,,,,,464r,l,480r,17l,497r,16l16,530,16,66xe" filled="f" strokeweight="44e-5mm">
              <v:path arrowok="t"/>
            </v:shape>
            <v:shape id="_x0000_s1809" style="position:absolute;left:1435;top:1889;width:1614;height:530" coordsize="1614,530" path="m1614,l,66,,530,1614,464,1614,xe" fillcolor="black" stroked="f">
              <v:fill r:id="rId20" o:title="" type="tile"/>
              <v:path arrowok="t"/>
            </v:shape>
            <v:shape id="_x0000_s1810" style="position:absolute;left:1435;top:1889;width:1614;height:530" coordsize="1614,530" path="m1614,l,66,,530,1614,464,1614,xe" filled="f" strokeweight="44e-5mm">
              <v:path arrowok="t"/>
            </v:shape>
            <v:shape id="_x0000_s1811" style="position:absolute;left:1419;top:1458;width:1630;height:497" coordsize="1630,497" path="m16,497l,464r,l,431,,414,,398,,381,16,364,32,348,49,315,65,298,81,282r33,-17l130,248r49,-16l195,215r49,-16l277,182r49,-16l375,149r49,-17l473,116r49,l587,99,619,83,701,66r49,l815,50r82,l945,33r82,l1076,17r81,l1206,17,1288,r65,l1435,r195,431l16,497xe" fillcolor="black" stroked="f">
              <v:fill r:id="rId21" o:title="" type="tile"/>
              <v:path arrowok="t"/>
            </v:shape>
            <v:shape id="_x0000_s1812" style="position:absolute;left:1419;top:1458;width:1630;height:497" coordsize="1630,497" path="m16,497l,464r,l,431,,414,,398,,381,16,364,32,348,49,315,65,298,81,282r33,-17l130,248r49,-16l195,215r49,-16l277,182r49,-16l375,149r49,-17l473,116r49,l587,99,619,83,701,66r49,l815,50r82,l945,33r82,l1076,17r81,l1206,17,1288,r65,l1435,r195,431l16,497xe" filled="f" strokeweight="44e-5mm">
              <v:path arrowok="t"/>
            </v:shape>
            <v:shape id="_x0000_s1813" style="position:absolute;left:1435;top:1325;width:294;height:299" coordsize="18,18" path="m,l6,,18,18e" filled="f" strokeweight="44e-5mm">
              <v:path arrowok="t"/>
            </v:shape>
            <v:shape id="_x0000_s1814" style="position:absolute;left:1843;top:1972;width:3261;height:894" coordsize="3261,894" path="m3261,r,16l3245,33r,16l3228,66r-16,33l3196,116r-16,16l3147,149r-16,16l3098,182r-49,16l3016,215r-32,16l2951,248r-65,17l2853,281r-49,17l2739,314r-49,l2625,331r-49,16l2511,364r-65,l2380,381r-65,l2266,397r-81,l2103,414r-65,l1956,414r-48,l1810,430r-82,l1679,430r-98,l1533,430r-82,l1386,414r-82,l1223,414r-49,l1092,397r-65,l945,397,880,381,831,364r-81,l701,347r-65,l570,331,521,314,456,298,424,281,358,265,310,248r-33,l228,231,195,215,163,198,130,182,98,149,65,132,49,116,32,99,16,82,,66,,530r16,16l32,563r17,16l65,596r33,17l130,646r33,16l195,679r33,16l277,712r33,l358,729r66,16l456,762r65,16l570,795r66,16l701,811r49,17l831,828r49,16l945,861r82,l1092,861r82,17l1223,878r81,l1386,878r65,16l1533,894r48,l1679,894r49,l1810,894r98,-16l1956,878r82,l2103,878r82,-17l2266,861r49,-17l2380,844r66,-16l2511,828r65,-17l2625,795r65,-17l2739,778r65,-16l2853,745r33,-16l2951,712r33,-17l3016,679r33,-17l3098,646r33,-17l3147,613r33,-17l3196,579r16,-16l3228,530r17,-17l3245,497r16,-17l3261,463,3261,xe" fillcolor="black" stroked="f">
              <v:fill r:id="rId22" o:title="" type="tile"/>
              <v:path arrowok="t"/>
            </v:shape>
            <v:shape id="_x0000_s1815" style="position:absolute;left:1843;top:1972;width:3261;height:894" coordsize="3261,894" path="m3261,r,16l3245,33r,16l3228,66r-16,33l3196,116r-16,16l3147,149r-16,16l3098,182r-49,16l3016,215r-32,16l2951,248r-65,17l2853,281r-49,17l2739,314r-49,l2625,331r-49,16l2511,364r-65,l2380,381r-65,l2266,397r-81,l2103,414r-65,l1956,414r-48,l1810,430r-82,l1679,430r-98,l1533,430r-82,l1386,414r-82,l1223,414r-49,l1092,397r-65,l945,397,880,381,831,364r-81,l701,347r-65,l570,331,521,314,456,298,424,281,358,265,310,248r-33,l228,231,195,215,163,198,130,182,98,149,65,132,49,116,32,99,16,82,,66,,530r16,16l32,563r17,16l65,596r33,17l130,646r33,16l195,679r33,16l277,712r33,l358,729r66,16l456,762r65,16l570,795r66,16l701,811r49,17l831,828r49,16l945,861r82,l1092,861r82,17l1223,878r81,l1386,878r65,16l1533,894r48,l1679,894r49,l1810,894r98,-16l1956,878r82,l2103,878r82,-17l2266,861r49,-17l2380,844r66,-16l2511,828r65,-17l2625,795r65,-17l2739,778r65,-16l2853,745r33,-16l2951,712r33,-17l3016,679r33,-17l3098,646r33,-17l3147,613r33,-17l3196,579r16,-16l3228,530r17,-17l3245,497r16,-17l3261,463,3261,xe" filled="f" strokeweight="44e-5mm">
              <v:path arrowok="t"/>
            </v:shape>
            <v:shape id="_x0000_s1816" style="position:absolute;left:1843;top:1541;width:3261;height:861" coordsize="3261,861" path="m1614,r98,l1761,r81,l1924,r65,l2071,16r49,l2201,16r82,17l2332,33r81,16l2495,66r32,l2609,83r65,16l2707,99r65,17l2821,132r49,17l2935,165r33,17l3000,199r49,16l3082,232r32,16l3147,265r16,16l3196,315r16,l3228,348r17,16l3245,381r16,16l3261,431r,16l3245,464r,16l3228,497r-16,33l3196,530r-16,33l3147,580r-16,16l3098,613r-49,16l3016,646r-32,16l2935,679r-49,17l2837,712r-33,17l2739,745r-65,17l2625,762r-65,16l2495,795r-49,l2364,812r-81,16l2234,828r-82,l2103,845r-81,l1924,845r-49,l1793,861r-81,l1647,861r-82,l1467,861r-49,l1337,845r-65,l1190,845r-81,-17l1060,828r-82,l897,812r-49,l766,795,701,778r-49,l587,762,538,745,473,729,424,712r-49,l326,696,277,679,244,662,195,646,163,629,130,613,98,580r-17,l49,547,32,530,16,513,,497,1614,431,1614,xe" fillcolor="black" stroked="f">
              <v:fill r:id="rId23" o:title="" type="tile"/>
              <v:path arrowok="t"/>
            </v:shape>
            <v:shape id="_x0000_s1817" style="position:absolute;left:1843;top:1541;width:3261;height:861" coordsize="3261,861" path="m1614,r98,l1761,r81,l1924,r65,l2071,16r49,l2201,16r82,17l2332,33r81,16l2495,66r32,l2609,83r65,16l2707,99r65,17l2821,132r49,17l2935,165r33,17l3000,199r49,16l3082,232r32,16l3147,265r16,16l3196,315r16,l3228,348r17,16l3245,381r16,16l3261,431r,16l3245,464r,16l3228,497r-16,33l3196,530r-16,33l3147,580r-16,16l3098,613r-49,16l3016,646r-32,16l2935,679r-49,17l2837,712r-33,17l2739,745r-65,17l2625,762r-65,16l2495,795r-49,l2364,812r-81,16l2234,828r-82,l2103,845r-81,l1924,845r-49,l1793,861r-81,l1647,861r-82,l1467,861r-49,l1337,845r-65,l1190,845r-81,-17l1060,828r-82,l897,812r-49,l766,795,701,778r-49,l587,762,538,745,473,729,424,712r-49,l326,696,277,679,244,662,195,646,163,629,130,613,98,580r-17,l49,547,32,530,16,513,,497,1614,431,1614,xe" filled="f" strokeweight="44e-5mm">
              <v:path arrowok="t"/>
            </v:shape>
            <v:shape id="_x0000_s1818" style="position:absolute;left:4713;top:2717;width:244;height:331" coordsize="15,20" path="m15,20r-6,l,e" filled="f" strokeweight="44e-5mm">
              <v:path arrowok="t"/>
            </v:shape>
            <v:rect id="_x0000_s1819" style="position:absolute;left:538;top:911;width:854;height:276;mso-wrap-style:none" filled="f" stroked="f">
              <v:textbox style="mso-next-textbox:#_x0000_s1819;mso-fit-shape-to-text:t" inset="0,0,0,0">
                <w:txbxContent>
                  <w:p w:rsidR="0091746E" w:rsidRDefault="0091746E" w:rsidP="0000140E">
                    <w:r>
                      <w:rPr>
                        <w:rFonts w:ascii="Arial" w:hAnsi="Arial" w:cs="Arial"/>
                        <w:color w:val="000000"/>
                      </w:rPr>
                      <w:t xml:space="preserve">Arson &amp; </w:t>
                    </w:r>
                  </w:p>
                </w:txbxContent>
              </v:textbox>
            </v:rect>
            <v:rect id="_x0000_s1820" style="position:absolute;left:408;top:1193;width:1148;height:276;mso-wrap-style:none" filled="f" stroked="f">
              <v:textbox style="mso-next-textbox:#_x0000_s1820;mso-fit-shape-to-text:t" inset="0,0,0,0">
                <w:txbxContent>
                  <w:p w:rsidR="0091746E" w:rsidRDefault="0091746E" w:rsidP="0000140E">
                    <w:r>
                      <w:rPr>
                        <w:rFonts w:ascii="Arial" w:hAnsi="Arial" w:cs="Arial"/>
                        <w:color w:val="000000"/>
                      </w:rPr>
                      <w:t>Explosives</w:t>
                    </w:r>
                  </w:p>
                </w:txbxContent>
              </v:textbox>
            </v:rect>
            <v:rect id="_x0000_s1821" style="position:absolute;left:701;top:1475;width:481;height:276;mso-wrap-style:none" filled="f" stroked="f">
              <v:textbox style="mso-next-textbox:#_x0000_s1821;mso-fit-shape-to-text:t" inset="0,0,0,0">
                <w:txbxContent>
                  <w:p w:rsidR="0091746E" w:rsidRDefault="0091746E" w:rsidP="0000140E">
                    <w:r>
                      <w:rPr>
                        <w:rFonts w:ascii="Arial" w:hAnsi="Arial" w:cs="Arial"/>
                        <w:color w:val="000000"/>
                      </w:rPr>
                      <w:t>22%</w:t>
                    </w:r>
                  </w:p>
                </w:txbxContent>
              </v:textbox>
            </v:rect>
            <v:rect id="_x0000_s1822" style="position:absolute;left:3490;top:331;width:1014;height:276;mso-wrap-style:none" filled="f" stroked="f">
              <v:textbox style="mso-next-textbox:#_x0000_s1822;mso-fit-shape-to-text:t" inset="0,0,0,0">
                <w:txbxContent>
                  <w:p w:rsidR="0091746E" w:rsidRDefault="0091746E" w:rsidP="0000140E">
                    <w:r>
                      <w:rPr>
                        <w:rFonts w:ascii="Arial" w:hAnsi="Arial" w:cs="Arial"/>
                        <w:color w:val="000000"/>
                      </w:rPr>
                      <w:t xml:space="preserve">Alcohol &amp; </w:t>
                    </w:r>
                  </w:p>
                </w:txbxContent>
              </v:textbox>
            </v:rect>
            <v:rect id="_x0000_s1823" style="position:absolute;left:3555;top:613;width:921;height:276;mso-wrap-style:none" filled="f" stroked="f">
              <v:textbox style="mso-next-textbox:#_x0000_s1823;mso-fit-shape-to-text:t" inset="0,0,0,0">
                <w:txbxContent>
                  <w:p w:rsidR="0091746E" w:rsidRDefault="0091746E" w:rsidP="0000140E">
                    <w:r>
                      <w:rPr>
                        <w:rFonts w:ascii="Arial" w:hAnsi="Arial" w:cs="Arial"/>
                        <w:color w:val="000000"/>
                      </w:rPr>
                      <w:t xml:space="preserve">Tobacco </w:t>
                    </w:r>
                  </w:p>
                </w:txbxContent>
              </v:textbox>
            </v:rect>
            <v:rect id="_x0000_s1824" style="position:absolute;left:3522;top:895;width:1001;height:276;mso-wrap-style:none" filled="f" stroked="f">
              <v:textbox style="mso-next-textbox:#_x0000_s1824;mso-fit-shape-to-text:t" inset="0,0,0,0">
                <w:txbxContent>
                  <w:p w:rsidR="0091746E" w:rsidRDefault="0091746E" w:rsidP="0000140E">
                    <w:r>
                      <w:rPr>
                        <w:rFonts w:ascii="Arial" w:hAnsi="Arial" w:cs="Arial"/>
                        <w:color w:val="000000"/>
                      </w:rPr>
                      <w:t>Diversion</w:t>
                    </w:r>
                  </w:p>
                </w:txbxContent>
              </v:textbox>
            </v:rect>
            <v:rect id="_x0000_s1825" style="position:absolute;left:3799;top:1176;width:347;height:276;mso-wrap-style:none" filled="f" stroked="f">
              <v:textbox style="mso-next-textbox:#_x0000_s1825;mso-fit-shape-to-text:t" inset="0,0,0,0">
                <w:txbxContent>
                  <w:p w:rsidR="0091746E" w:rsidRDefault="0091746E" w:rsidP="0000140E">
                    <w:r>
                      <w:rPr>
                        <w:rFonts w:ascii="Arial" w:hAnsi="Arial" w:cs="Arial"/>
                        <w:color w:val="000000"/>
                      </w:rPr>
                      <w:t>2%</w:t>
                    </w:r>
                  </w:p>
                </w:txbxContent>
              </v:textbox>
            </v:rect>
            <v:rect id="_x0000_s1826" style="position:absolute;left:4990;top:2767;width:947;height:276;mso-wrap-style:none" filled="f" stroked="f">
              <v:textbox style="mso-next-textbox:#_x0000_s1826;mso-fit-shape-to-text:t" inset="0,0,0,0">
                <w:txbxContent>
                  <w:p w:rsidR="0091746E" w:rsidRDefault="0091746E" w:rsidP="0000140E">
                    <w:r>
                      <w:rPr>
                        <w:rFonts w:ascii="Arial" w:hAnsi="Arial" w:cs="Arial"/>
                        <w:color w:val="000000"/>
                      </w:rPr>
                      <w:t>Firearms</w:t>
                    </w:r>
                  </w:p>
                </w:txbxContent>
              </v:textbox>
            </v:rect>
            <v:rect id="_x0000_s1827" style="position:absolute;left:5202;top:3048;width:481;height:276;mso-wrap-style:none" filled="f" stroked="f">
              <v:textbox style="mso-next-textbox:#_x0000_s1827;mso-fit-shape-to-text:t" inset="0,0,0,0">
                <w:txbxContent>
                  <w:p w:rsidR="0091746E" w:rsidRDefault="0091746E" w:rsidP="0000140E">
                    <w:r>
                      <w:rPr>
                        <w:rFonts w:ascii="Arial" w:hAnsi="Arial" w:cs="Arial"/>
                        <w:color w:val="000000"/>
                      </w:rPr>
                      <w:t>76%</w:t>
                    </w:r>
                  </w:p>
                </w:txbxContent>
              </v:textbox>
            </v:rect>
            <w10:wrap type="none"/>
            <w10:anchorlock/>
          </v:group>
        </w:pict>
      </w:r>
    </w:p>
    <w:p w:rsidR="003B1411" w:rsidRDefault="003B1411">
      <w:pPr>
        <w:rPr>
          <w:b/>
        </w:rPr>
      </w:pPr>
    </w:p>
    <w:p w:rsidR="00FA2AAB" w:rsidRPr="00762F09" w:rsidRDefault="00FA2AAB" w:rsidP="005027FD">
      <w:pPr>
        <w:pStyle w:val="BodyText"/>
        <w:spacing w:before="100" w:beforeAutospacing="1" w:after="100" w:afterAutospacing="1"/>
        <w:jc w:val="center"/>
        <w:rPr>
          <w:b/>
          <w:szCs w:val="24"/>
        </w:rPr>
      </w:pPr>
      <w:r w:rsidRPr="00762F09">
        <w:rPr>
          <w:b/>
          <w:szCs w:val="24"/>
        </w:rPr>
        <w:t>ATF Homeland Security Counterterrorism Crosscut</w:t>
      </w:r>
    </w:p>
    <w:p w:rsidR="00FA2AAB" w:rsidRPr="00762F09" w:rsidRDefault="00FA2AAB" w:rsidP="005027FD">
      <w:pPr>
        <w:pStyle w:val="BodyText"/>
        <w:spacing w:before="100" w:beforeAutospacing="1" w:after="100" w:afterAutospacing="1"/>
        <w:jc w:val="center"/>
        <w:rPr>
          <w:b/>
          <w:szCs w:val="24"/>
        </w:rPr>
      </w:pPr>
    </w:p>
    <w:p w:rsidR="00FA2AAB" w:rsidRPr="00762F09" w:rsidRDefault="006C7F18" w:rsidP="005027FD">
      <w:pPr>
        <w:pStyle w:val="BodyText"/>
        <w:spacing w:before="100" w:beforeAutospacing="1" w:after="100" w:afterAutospacing="1"/>
        <w:jc w:val="center"/>
        <w:rPr>
          <w:bCs/>
          <w:szCs w:val="24"/>
        </w:rPr>
      </w:pPr>
      <w:r>
        <w:rPr>
          <w:bCs/>
          <w:szCs w:val="24"/>
        </w:rPr>
      </w:r>
      <w:r>
        <w:rPr>
          <w:bCs/>
          <w:szCs w:val="24"/>
        </w:rPr>
        <w:pict>
          <v:group id="_x0000_s1828" editas="canvas" alt="The second graphic on page 9 portrays the policy resource breakout between Counter terrorism/Homeland Security and Other activities.  Homeland Security accounts for 40% of ATF's total resources and Other activities account for the balance of 60% of total resources." style="width:328.95pt;height:183.4pt;mso-position-horizontal-relative:char;mso-position-vertical-relative:line" coordsize="6579,3668">
            <o:lock v:ext="edit" aspectratio="t"/>
            <v:shape id="_x0000_s1829" type="#_x0000_t75" style="position:absolute;width:6579;height:3668" o:preferrelative="f" stroked="t" strokeweight=".5pt">
              <v:fill o:detectmouseclick="t"/>
              <v:path o:extrusionok="t" o:connecttype="none"/>
              <o:lock v:ext="edit" text="t"/>
            </v:shape>
            <v:shape id="_x0000_s1830" style="position:absolute;left:3823;top:1515;width:1437;height:920" coordsize="1437,920" path="m1437,r,15l1422,29r,30l1408,74r,15l1393,104r-30,29l1348,148r-14,15l1304,178r-15,15l1245,208r-30,14l1185,237r-29,15l1111,267r-44,15l1022,297r-29,15l948,312r-59,29l845,341r-45,15l741,371r-74,15l622,386r-44,15l519,401r-60,15l385,416r-59,14l267,430r-60,l118,445r-59,l,445,,920r59,l118,920r89,-14l267,906r59,l385,891r74,l519,876r59,l622,861r45,l741,846r59,-15l845,816r44,l948,787r45,l1022,772r45,-15l1111,742r45,-15l1185,713r30,-15l1245,683r44,-15l1304,653r30,-15l1348,623r15,-14l1393,579r15,-15l1408,549r14,-15l1422,505r15,-15l1437,475,1437,xe" fillcolor="black" stroked="f">
              <v:fill r:id="rId24" o:title="" type="tile"/>
              <v:path arrowok="t"/>
            </v:shape>
            <v:shape id="_x0000_s1831" style="position:absolute;left:3823;top:1515;width:1437;height:920" coordsize="1437,920" path="m1437,r,15l1422,29r,30l1408,74r,15l1393,104r-30,29l1348,148r-14,15l1304,178r-15,15l1245,208r-30,14l1185,237r-29,15l1111,267r-44,15l1022,297r-29,15l948,312r-59,29l845,341r-45,15l741,371r-74,15l622,386r-44,15l519,401r-60,15l385,416r-59,14l267,430r-60,l118,445r-59,l,445,,920r59,l118,920r89,-14l267,906r59,l385,891r74,l519,876r59,l622,861r45,l741,846r59,-15l845,816r44,l948,787r45,l1022,772r45,-15l1111,742r45,-15l1185,713r30,-15l1245,683r44,-15l1304,653r30,-15l1348,623r15,-14l1393,579r15,-15l1408,549r14,-15l1422,505r15,-15l1437,475,1437,xe" filled="f">
              <v:path arrowok="t"/>
            </v:shape>
            <v:shape id="_x0000_s1832" style="position:absolute;left:2282;top:1203;width:1245;height:787" coordsize="1245,787" path="m1245,312l,,,475,1245,787r,-475xe" fillcolor="black" stroked="f">
              <v:fill r:id="rId24" o:title="" type="tile"/>
              <v:path arrowok="t"/>
            </v:shape>
            <v:shape id="_x0000_s1833" style="position:absolute;left:2282;top:1203;width:1245;height:787" coordsize="1245,787" path="m1245,312l,,,475,1245,787r,-475xe" filled="f">
              <v:path arrowok="t"/>
            </v:shape>
            <v:shape id="_x0000_s1834" style="position:absolute;left:3527;top:1515;width:296;height:920" coordsize="296,920" path="m,l296,445r,475l,475,,xe" fillcolor="black" stroked="f">
              <v:fill r:id="rId24" o:title="" type="tile"/>
              <v:path arrowok="t"/>
            </v:shape>
            <v:shape id="_x0000_s1835" style="position:absolute;left:3527;top:1515;width:296;height:920" coordsize="296,920" path="m,l296,445r,475l,475,,xe" filled="f">
              <v:path arrowok="t"/>
            </v:shape>
            <v:shape id="_x0000_s1836" style="position:absolute;left:2282;top:1069;width:2978;height:891" coordsize="2978,891" path="m,134l44,119r74,-15l163,104,207,89,281,74,341,60r44,l459,45r60,l578,30r74,l711,15r59,l859,15,919,r59,l1037,r89,l1185,r60,l1333,r60,l1452,r89,l1600,r59,15l1748,15r60,l1867,30r89,l2000,45r60,l2134,60r59,14l2237,74r74,15l2356,104r44,15l2474,134r30,l2549,149r59,15l2652,178r30,15l2726,223r30,l2786,238r29,15l2845,282r30,15l2889,312r30,15l2934,342r15,15l2963,386r,15l2963,416r15,30l2978,461r,14l2963,490r,15l2949,535r-15,15l2919,565r-15,14l2875,609r-30,15l2830,639r-44,15l2756,668r-30,15l2682,698r-30,15l2608,728r-59,15l2504,758r-30,14l2430,787r-74,15l2311,802r-44,15l2193,832r-59,l2089,847r-89,15l1956,862r-59,14l1808,876r-60,l1689,891r-89,l1541,891,1245,446,,134xe" fillcolor="black" stroked="f">
              <v:fill r:id="rId25" o:title="" type="tile"/>
              <v:path arrowok="t"/>
            </v:shape>
            <v:shape id="_x0000_s1837" style="position:absolute;left:2282;top:1069;width:2978;height:891" coordsize="2978,891" path="m,134l44,119r74,-15l163,104,207,89,281,74,341,60r44,l459,45r60,l578,30r74,l711,15r59,l859,15,919,r59,l1037,r89,l1185,r60,l1333,r60,l1452,r89,l1600,r59,15l1748,15r60,l1867,30r89,l2000,45r60,l2134,60r59,14l2237,74r74,15l2356,104r44,15l2474,134r30,l2549,149r59,15l2652,178r30,15l2726,223r30,l2786,238r29,15l2845,282r30,15l2889,312r30,15l2934,342r15,15l2963,386r,15l2963,416r15,30l2978,461r,14l2963,490r,15l2949,535r-15,15l2919,565r-15,14l2875,609r-30,15l2830,639r-44,15l2756,668r-30,15l2682,698r-30,15l2608,728r-59,15l2504,758r-30,14l2430,787r-74,15l2311,802r-44,15l2193,832r-59,l2089,847r-89,15l1956,862r-59,14l1808,876r-60,l1689,891r-89,l1541,891,1245,446,,134xe" filled="f">
              <v:path arrowok="t"/>
            </v:shape>
            <v:shape id="_x0000_s1838" style="position:absolute;left:5053;top:1025;width:281;height:282" coordsize="19,19" path="m19,l12,,,19e" filled="f">
              <v:path arrowok="t"/>
            </v:shape>
            <v:shape id="_x0000_s1839" style="position:absolute;left:1719;top:1515;width:2015;height:935" coordsize="2015,935" path="m2015,445r-59,l1896,460r-88,l1748,460r-59,l1630,460r-89,l1482,445r-60,l1363,445r-59,l1215,430r-59,l1096,430r-44,-14l963,416,919,401r-60,l815,386r-59,l681,371,637,356,593,341r-45,l474,312r-30,l400,297,355,282,326,267,281,252,237,237,207,222,178,208,148,193,118,178,104,163,74,148,59,133,44,104,29,89,15,74r,-15l,29,,15,,,,475r,15l,505r15,29l15,549r14,15l44,579r15,30l74,623r30,15l118,653r30,15l178,683r29,15l237,713r44,14l326,742r29,15l400,772r44,15l474,787r74,29l593,816r44,15l681,846r75,15l815,861r44,15l919,876r44,15l1052,891r44,15l1156,906r59,l1304,920r59,l1422,920r60,l1541,935r89,l1689,935r59,l1808,935r88,l1956,920r59,l2015,445xe" fillcolor="black" stroked="f">
              <v:fill r:id="rId26" o:title="" type="tile"/>
              <v:path arrowok="t"/>
            </v:shape>
            <v:shape id="_x0000_s1840" style="position:absolute;left:1719;top:1515;width:2015;height:935" coordsize="2015,935" path="m2015,445r-59,l1896,460r-88,l1748,460r-59,l1630,460r-89,l1482,445r-60,l1363,445r-59,l1215,430r-59,l1096,430r-44,-14l963,416,919,401r-60,l815,386r-59,l681,371,637,356,593,341r-45,l474,312r-30,l400,297,355,282,326,267,281,252,237,237,207,222,178,208,148,193,118,178,104,163,74,148,59,133,44,104,29,89,15,74r,-15l,29,,15,,,,475r,15l,505r15,29l15,549r14,15l44,579r15,30l74,623r30,15l118,653r30,15l178,683r29,15l237,713r44,14l326,742r29,15l400,772r44,15l474,787r74,29l593,816r44,15l681,846r75,15l815,861r44,15l919,876r44,15l1052,891r44,15l1156,906r59,l1304,920r59,l1422,920r60,l1541,935r89,l1689,935r59,l1808,935r88,l1956,920r59,l2015,445xe" filled="f">
              <v:path arrowok="t"/>
            </v:shape>
            <v:shape id="_x0000_s1841" style="position:absolute;left:1719;top:1203;width:2015;height:772" coordsize="2015,772" path="m2015,757r-59,l1867,772r-59,l1748,772r-59,l1600,772r-59,l1482,757r-89,l1333,757r-59,l1215,742r-89,l1082,742r-60,-14l933,713r-44,l830,698r-45,l711,683,667,668r-60,l548,653,504,638,459,624,415,609,355,594,326,579,296,564,237,549,207,534,178,520,163,505,118,490,104,475,74,460,59,431,44,416,29,401,15,386,,356,,341,,327,,312,,297,,282,15,267,29,237r,-14l44,208,74,178,89,163r15,-15l133,134r45,-15l192,104,222,89,281,74,311,59,341,44,385,30,444,15,474,,1719,312r296,445xe" fillcolor="black" stroked="f">
              <v:fill r:id="rId27" o:title="" type="tile"/>
              <v:path arrowok="t"/>
            </v:shape>
            <v:shape id="_x0000_s1842" style="position:absolute;left:1719;top:1203;width:2015;height:772" coordsize="2015,772" path="m2015,757r-59,l1867,772r-59,l1748,772r-59,l1600,772r-59,l1482,757r-89,l1333,757r-59,l1215,742r-89,l1082,742r-60,-14l933,713r-44,l830,698r-45,l711,683,667,668r-60,l548,653,504,638,459,624,415,609,355,594,326,579,296,564,237,549,207,534,178,520,163,505,118,490,104,475,74,460,59,431,44,416,29,401,15,386,,356,,341,,327,,312,,297,,282,15,267,29,237r,-14l44,208,74,178,89,163r15,-15l133,134r45,-15l192,104,222,89,281,74,311,59,341,44,385,30,444,15,474,,1719,312r296,445xe" filled="f">
              <v:path arrowok="t"/>
            </v:shape>
            <v:shape id="_x0000_s1843" style="position:absolute;left:1704;top:2198;width:207;height:579" coordsize="14,39" path="m,39r7,l14,e" filled="f">
              <v:path arrowok="t"/>
            </v:shape>
            <v:rect id="_x0000_s1844" style="position:absolute;left:5203;top:673;width:1211;height:207;mso-wrap-style:none;v-text-anchor:top" filled="f" stroked="f">
              <v:textbox style="mso-fit-shape-to-text:t" inset="0,0,0,0">
                <w:txbxContent>
                  <w:p w:rsidR="0091746E" w:rsidRDefault="0091746E" w:rsidP="0000140E">
                    <w:r>
                      <w:rPr>
                        <w:rFonts w:ascii="Arial" w:hAnsi="Arial" w:cs="Arial"/>
                        <w:color w:val="000000"/>
                        <w:sz w:val="18"/>
                        <w:szCs w:val="18"/>
                      </w:rPr>
                      <w:t>Other Activities</w:t>
                    </w:r>
                  </w:p>
                </w:txbxContent>
              </v:textbox>
            </v:rect>
            <v:rect id="_x0000_s1845" style="position:absolute;left:5408;top:1025;width:361;height:207;mso-wrap-style:none;v-text-anchor:top" filled="f" stroked="f">
              <v:textbox style="mso-fit-shape-to-text:t" inset="0,0,0,0">
                <w:txbxContent>
                  <w:p w:rsidR="0091746E" w:rsidRDefault="0091746E" w:rsidP="0000140E">
                    <w:r>
                      <w:rPr>
                        <w:rFonts w:ascii="Arial" w:hAnsi="Arial" w:cs="Arial"/>
                        <w:color w:val="000000"/>
                        <w:sz w:val="18"/>
                        <w:szCs w:val="18"/>
                      </w:rPr>
                      <w:t xml:space="preserve">60% </w:t>
                    </w:r>
                  </w:p>
                </w:txbxContent>
              </v:textbox>
            </v:rect>
            <v:rect id="_x0000_s1846" style="position:absolute;left:489;top:2228;width:1201;height:184;mso-wrap-style:none;v-text-anchor:top" filled="f" stroked="f">
              <v:textbox style="mso-fit-shape-to-text:t" inset="0,0,0,0">
                <w:txbxContent>
                  <w:p w:rsidR="0091746E" w:rsidRDefault="0091746E" w:rsidP="0000140E">
                    <w:r>
                      <w:rPr>
                        <w:rFonts w:ascii="Arial" w:hAnsi="Arial" w:cs="Arial"/>
                        <w:color w:val="000000"/>
                        <w:sz w:val="16"/>
                        <w:szCs w:val="16"/>
                      </w:rPr>
                      <w:t xml:space="preserve">Counterterrorism </w:t>
                    </w:r>
                  </w:p>
                </w:txbxContent>
              </v:textbox>
            </v:rect>
            <v:rect id="_x0000_s1847" style="position:absolute;left:741;top:2450;width:730;height:184;mso-wrap-style:none;v-text-anchor:top" filled="f" stroked="f">
              <v:textbox style="mso-fit-shape-to-text:t" inset="0,0,0,0">
                <w:txbxContent>
                  <w:p w:rsidR="0091746E" w:rsidRDefault="0091746E" w:rsidP="0000140E">
                    <w:r>
                      <w:rPr>
                        <w:rFonts w:ascii="Arial" w:hAnsi="Arial" w:cs="Arial"/>
                        <w:color w:val="000000"/>
                        <w:sz w:val="16"/>
                        <w:szCs w:val="16"/>
                      </w:rPr>
                      <w:t xml:space="preserve">Homeland </w:t>
                    </w:r>
                  </w:p>
                </w:txbxContent>
              </v:textbox>
            </v:rect>
            <v:rect id="_x0000_s1848" style="position:absolute;left:800;top:2673;width:578;height:184;mso-wrap-style:none;v-text-anchor:top" filled="f" stroked="f">
              <v:textbox style="mso-fit-shape-to-text:t" inset="0,0,0,0">
                <w:txbxContent>
                  <w:p w:rsidR="0091746E" w:rsidRDefault="0091746E" w:rsidP="0000140E">
                    <w:r>
                      <w:rPr>
                        <w:rFonts w:ascii="Arial" w:hAnsi="Arial" w:cs="Arial"/>
                        <w:color w:val="000000"/>
                        <w:sz w:val="16"/>
                        <w:szCs w:val="16"/>
                      </w:rPr>
                      <w:t xml:space="preserve">Security </w:t>
                    </w:r>
                  </w:p>
                </w:txbxContent>
              </v:textbox>
            </v:rect>
            <v:rect id="_x0000_s1849" style="position:absolute;left:771;top:2935;width:676;height:184;mso-wrap-style:none;v-text-anchor:top" filled="f" stroked="f">
              <v:textbox style="mso-fit-shape-to-text:t" inset="0,0,0,0">
                <w:txbxContent>
                  <w:p w:rsidR="0091746E" w:rsidRDefault="0091746E" w:rsidP="0000140E">
                    <w:r>
                      <w:rPr>
                        <w:rFonts w:ascii="Arial" w:hAnsi="Arial" w:cs="Arial"/>
                        <w:color w:val="000000"/>
                        <w:sz w:val="16"/>
                        <w:szCs w:val="16"/>
                      </w:rPr>
                      <w:t>Crosscutt</w:t>
                    </w:r>
                  </w:p>
                </w:txbxContent>
              </v:textbox>
            </v:rect>
            <v:rect id="_x0000_s1850" style="position:absolute;left:934;top:3119;width:321;height:184;mso-wrap-style:none;v-text-anchor:top" filled="f" stroked="f">
              <v:textbox style="mso-fit-shape-to-text:t" inset="0,0,0,0">
                <w:txbxContent>
                  <w:p w:rsidR="0091746E" w:rsidRDefault="0091746E" w:rsidP="0000140E">
                    <w:r>
                      <w:rPr>
                        <w:rFonts w:ascii="Arial" w:hAnsi="Arial" w:cs="Arial"/>
                        <w:color w:val="000000"/>
                        <w:sz w:val="16"/>
                        <w:szCs w:val="16"/>
                      </w:rPr>
                      <w:t>40%</w:t>
                    </w:r>
                  </w:p>
                </w:txbxContent>
              </v:textbox>
            </v:rect>
            <w10:wrap type="none"/>
            <w10:anchorlock/>
          </v:group>
        </w:pict>
      </w:r>
    </w:p>
    <w:p w:rsidR="00FA2AAB" w:rsidRDefault="00FA2AAB" w:rsidP="00650E16">
      <w:r>
        <w:rPr>
          <w:b/>
          <w:bCs/>
        </w:rPr>
        <w:br w:type="page"/>
      </w:r>
    </w:p>
    <w:p w:rsidR="00F86262" w:rsidRDefault="00925455" w:rsidP="00EB7CB2">
      <w:pPr>
        <w:rPr>
          <w:b/>
          <w:bCs/>
        </w:rPr>
      </w:pPr>
      <w:r w:rsidRPr="00EB7CB2">
        <w:rPr>
          <w:b/>
        </w:rPr>
        <w:lastRenderedPageBreak/>
        <w:t>II</w:t>
      </w:r>
      <w:r w:rsidR="002212A2" w:rsidRPr="00EB7CB2">
        <w:rPr>
          <w:b/>
        </w:rPr>
        <w:t xml:space="preserve">. </w:t>
      </w:r>
      <w:r w:rsidR="00F86262" w:rsidRPr="00EB7CB2">
        <w:rPr>
          <w:b/>
        </w:rPr>
        <w:t xml:space="preserve"> </w:t>
      </w:r>
      <w:r w:rsidR="00185BAF">
        <w:rPr>
          <w:b/>
        </w:rPr>
        <w:t xml:space="preserve"> </w:t>
      </w:r>
      <w:r w:rsidR="00F86262" w:rsidRPr="00EB7CB2">
        <w:rPr>
          <w:b/>
          <w:bCs/>
        </w:rPr>
        <w:t xml:space="preserve">Summary of Program Changes </w:t>
      </w:r>
    </w:p>
    <w:p w:rsidR="00185BAF" w:rsidRPr="00EB7CB2" w:rsidRDefault="00185BAF" w:rsidP="00EB7CB2">
      <w:pPr>
        <w:rPr>
          <w:color w:val="C00000"/>
        </w:rPr>
      </w:pPr>
    </w:p>
    <w:tbl>
      <w:tblPr>
        <w:tblW w:w="11045" w:type="dxa"/>
        <w:jc w:val="center"/>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9"/>
        <w:gridCol w:w="4950"/>
        <w:gridCol w:w="1260"/>
        <w:gridCol w:w="1170"/>
        <w:gridCol w:w="1166"/>
        <w:gridCol w:w="720"/>
      </w:tblGrid>
      <w:tr w:rsidR="00F86262" w:rsidRPr="00762F09" w:rsidTr="00E05510">
        <w:trPr>
          <w:cantSplit/>
          <w:jc w:val="center"/>
        </w:trPr>
        <w:tc>
          <w:tcPr>
            <w:tcW w:w="1779" w:type="dxa"/>
            <w:vMerge w:val="restart"/>
            <w:shd w:val="clear" w:color="auto" w:fill="D9D9D9"/>
            <w:vAlign w:val="center"/>
          </w:tcPr>
          <w:p w:rsidR="00F86262" w:rsidRPr="00762F09" w:rsidRDefault="00F86262" w:rsidP="00F86262">
            <w:pPr>
              <w:pStyle w:val="BodyText"/>
              <w:keepNext/>
              <w:jc w:val="center"/>
              <w:rPr>
                <w:b/>
                <w:bCs/>
                <w:szCs w:val="24"/>
              </w:rPr>
            </w:pPr>
            <w:r w:rsidRPr="00EC0A49">
              <w:rPr>
                <w:b/>
                <w:bCs/>
                <w:szCs w:val="24"/>
                <w:shd w:val="clear" w:color="auto" w:fill="E0E0E0"/>
              </w:rPr>
              <w:t>Item Name</w:t>
            </w:r>
          </w:p>
        </w:tc>
        <w:tc>
          <w:tcPr>
            <w:tcW w:w="8546" w:type="dxa"/>
            <w:gridSpan w:val="4"/>
            <w:shd w:val="clear" w:color="auto" w:fill="D9D9D9"/>
          </w:tcPr>
          <w:p w:rsidR="00F86262" w:rsidRPr="00762F09" w:rsidRDefault="00EB7CB2" w:rsidP="00EB7CB2">
            <w:pPr>
              <w:pStyle w:val="BodyText"/>
              <w:keepNext/>
              <w:rPr>
                <w:b/>
                <w:bCs/>
                <w:szCs w:val="24"/>
              </w:rPr>
            </w:pPr>
            <w:r>
              <w:rPr>
                <w:b/>
                <w:bCs/>
                <w:szCs w:val="24"/>
                <w:shd w:val="clear" w:color="auto" w:fill="E0E0E0"/>
              </w:rPr>
              <w:t xml:space="preserve">                             </w:t>
            </w:r>
            <w:r w:rsidR="00F86262" w:rsidRPr="00EC0A49">
              <w:rPr>
                <w:b/>
                <w:bCs/>
                <w:szCs w:val="24"/>
                <w:shd w:val="clear" w:color="auto" w:fill="E0E0E0"/>
              </w:rPr>
              <w:t>Description</w:t>
            </w:r>
          </w:p>
        </w:tc>
        <w:tc>
          <w:tcPr>
            <w:tcW w:w="720" w:type="dxa"/>
            <w:vMerge w:val="restart"/>
            <w:shd w:val="clear" w:color="auto" w:fill="D9D9D9"/>
            <w:vAlign w:val="center"/>
          </w:tcPr>
          <w:p w:rsidR="00F86262" w:rsidRPr="00762F09" w:rsidRDefault="00F86262" w:rsidP="00F86262">
            <w:pPr>
              <w:pStyle w:val="BodyText"/>
              <w:keepNext/>
              <w:jc w:val="center"/>
              <w:rPr>
                <w:b/>
                <w:bCs/>
                <w:szCs w:val="24"/>
              </w:rPr>
            </w:pPr>
            <w:r w:rsidRPr="00762F09">
              <w:rPr>
                <w:b/>
                <w:bCs/>
                <w:szCs w:val="24"/>
              </w:rPr>
              <w:t>Page</w:t>
            </w:r>
          </w:p>
        </w:tc>
      </w:tr>
      <w:tr w:rsidR="00F86262" w:rsidRPr="00762F09" w:rsidTr="00E05510">
        <w:trPr>
          <w:cantSplit/>
          <w:jc w:val="center"/>
        </w:trPr>
        <w:tc>
          <w:tcPr>
            <w:tcW w:w="1779" w:type="dxa"/>
            <w:vMerge/>
          </w:tcPr>
          <w:p w:rsidR="00F86262" w:rsidRPr="00762F09" w:rsidRDefault="00F86262" w:rsidP="00F86262">
            <w:pPr>
              <w:pStyle w:val="BodyText"/>
              <w:keepNext/>
              <w:spacing w:before="100" w:beforeAutospacing="1" w:after="100" w:afterAutospacing="1"/>
              <w:jc w:val="center"/>
              <w:rPr>
                <w:b/>
                <w:bCs/>
                <w:szCs w:val="24"/>
              </w:rPr>
            </w:pPr>
          </w:p>
        </w:tc>
        <w:tc>
          <w:tcPr>
            <w:tcW w:w="4950" w:type="dxa"/>
            <w:vAlign w:val="center"/>
          </w:tcPr>
          <w:p w:rsidR="00F86262" w:rsidRPr="00762F09" w:rsidRDefault="00F86262" w:rsidP="00F86262">
            <w:pPr>
              <w:pStyle w:val="BodyText"/>
              <w:keepNext/>
              <w:jc w:val="center"/>
              <w:rPr>
                <w:b/>
                <w:bCs/>
                <w:szCs w:val="24"/>
              </w:rPr>
            </w:pPr>
            <w:r w:rsidRPr="00762F09">
              <w:rPr>
                <w:b/>
                <w:bCs/>
                <w:szCs w:val="24"/>
              </w:rPr>
              <w:t>S &amp; E</w:t>
            </w:r>
          </w:p>
        </w:tc>
        <w:tc>
          <w:tcPr>
            <w:tcW w:w="1260" w:type="dxa"/>
            <w:shd w:val="clear" w:color="auto" w:fill="F3F3F3"/>
            <w:vAlign w:val="center"/>
          </w:tcPr>
          <w:p w:rsidR="00F86262" w:rsidRPr="00762F09" w:rsidRDefault="00F86262" w:rsidP="00F86262">
            <w:pPr>
              <w:pStyle w:val="BodyText"/>
              <w:keepNext/>
              <w:jc w:val="center"/>
              <w:rPr>
                <w:b/>
                <w:bCs/>
                <w:szCs w:val="24"/>
              </w:rPr>
            </w:pPr>
            <w:r w:rsidRPr="00762F09">
              <w:rPr>
                <w:b/>
                <w:bCs/>
                <w:szCs w:val="24"/>
              </w:rPr>
              <w:t>Pos.</w:t>
            </w:r>
          </w:p>
        </w:tc>
        <w:tc>
          <w:tcPr>
            <w:tcW w:w="1170" w:type="dxa"/>
            <w:shd w:val="clear" w:color="auto" w:fill="F3F3F3"/>
            <w:vAlign w:val="center"/>
          </w:tcPr>
          <w:p w:rsidR="00F86262" w:rsidRPr="00762F09" w:rsidRDefault="00F86262" w:rsidP="00F86262">
            <w:pPr>
              <w:pStyle w:val="BodyText"/>
              <w:keepNext/>
              <w:jc w:val="center"/>
              <w:rPr>
                <w:b/>
                <w:bCs/>
                <w:szCs w:val="24"/>
              </w:rPr>
            </w:pPr>
            <w:r w:rsidRPr="00762F09">
              <w:rPr>
                <w:b/>
                <w:bCs/>
                <w:szCs w:val="24"/>
              </w:rPr>
              <w:t>FTE</w:t>
            </w:r>
          </w:p>
        </w:tc>
        <w:tc>
          <w:tcPr>
            <w:tcW w:w="1166" w:type="dxa"/>
            <w:shd w:val="clear" w:color="auto" w:fill="F3F3F3"/>
            <w:vAlign w:val="center"/>
          </w:tcPr>
          <w:p w:rsidR="00F86262" w:rsidRPr="00762F09" w:rsidRDefault="00F86262" w:rsidP="00F86262">
            <w:pPr>
              <w:pStyle w:val="BodyText"/>
              <w:keepNext/>
              <w:jc w:val="center"/>
              <w:rPr>
                <w:b/>
                <w:bCs/>
                <w:szCs w:val="24"/>
              </w:rPr>
            </w:pPr>
            <w:r w:rsidRPr="00762F09">
              <w:rPr>
                <w:b/>
                <w:bCs/>
                <w:szCs w:val="24"/>
              </w:rPr>
              <w:t>Dollars ($000)</w:t>
            </w:r>
          </w:p>
        </w:tc>
        <w:tc>
          <w:tcPr>
            <w:tcW w:w="720" w:type="dxa"/>
            <w:vMerge/>
          </w:tcPr>
          <w:p w:rsidR="00F86262" w:rsidRPr="00762F09" w:rsidRDefault="00F86262" w:rsidP="00F86262">
            <w:pPr>
              <w:pStyle w:val="BodyText"/>
              <w:keepNext/>
              <w:spacing w:before="100" w:beforeAutospacing="1" w:after="100" w:afterAutospacing="1"/>
              <w:jc w:val="center"/>
              <w:rPr>
                <w:b/>
                <w:bCs/>
                <w:szCs w:val="24"/>
              </w:rPr>
            </w:pPr>
          </w:p>
        </w:tc>
      </w:tr>
      <w:tr w:rsidR="00F86262" w:rsidRPr="00762F09" w:rsidTr="00E05510">
        <w:trPr>
          <w:trHeight w:val="890"/>
          <w:jc w:val="center"/>
        </w:trPr>
        <w:tc>
          <w:tcPr>
            <w:tcW w:w="1779" w:type="dxa"/>
          </w:tcPr>
          <w:p w:rsidR="00F86262" w:rsidRPr="00666C26" w:rsidRDefault="00666C26" w:rsidP="002D4832">
            <w:pPr>
              <w:pStyle w:val="BodyText"/>
              <w:spacing w:before="100" w:beforeAutospacing="1" w:after="100" w:afterAutospacing="1"/>
              <w:rPr>
                <w:bCs/>
                <w:szCs w:val="24"/>
              </w:rPr>
            </w:pPr>
            <w:r w:rsidRPr="00666C26">
              <w:rPr>
                <w:bCs/>
              </w:rPr>
              <w:t>S</w:t>
            </w:r>
            <w:r w:rsidR="0065499D">
              <w:rPr>
                <w:bCs/>
              </w:rPr>
              <w:t xml:space="preserve">taffing, </w:t>
            </w:r>
            <w:r w:rsidR="002D4832">
              <w:rPr>
                <w:bCs/>
              </w:rPr>
              <w:t>A</w:t>
            </w:r>
            <w:r w:rsidR="0065499D">
              <w:rPr>
                <w:bCs/>
              </w:rPr>
              <w:t>dministrative</w:t>
            </w:r>
            <w:r w:rsidR="002D4832">
              <w:rPr>
                <w:bCs/>
              </w:rPr>
              <w:t xml:space="preserve"> </w:t>
            </w:r>
            <w:r w:rsidRPr="00666C26">
              <w:rPr>
                <w:bCs/>
              </w:rPr>
              <w:t xml:space="preserve">and </w:t>
            </w:r>
            <w:r w:rsidR="0065499D">
              <w:rPr>
                <w:bCs/>
              </w:rPr>
              <w:t>Programmatic</w:t>
            </w:r>
            <w:r w:rsidRPr="00666C26">
              <w:rPr>
                <w:bCs/>
              </w:rPr>
              <w:t xml:space="preserve"> </w:t>
            </w:r>
            <w:r w:rsidR="0065499D">
              <w:rPr>
                <w:bCs/>
              </w:rPr>
              <w:t>Efficiencies</w:t>
            </w:r>
          </w:p>
        </w:tc>
        <w:tc>
          <w:tcPr>
            <w:tcW w:w="4950" w:type="dxa"/>
            <w:vAlign w:val="bottom"/>
          </w:tcPr>
          <w:p w:rsidR="00F86262" w:rsidRPr="005E6FDF" w:rsidDel="0007453E" w:rsidRDefault="005E7E7F" w:rsidP="00DF650A">
            <w:pPr>
              <w:pStyle w:val="xl24"/>
              <w:spacing w:before="0" w:after="0"/>
            </w:pPr>
            <w:r>
              <w:t xml:space="preserve">The Department and its components were under a hiring freeze during FY 2011 and 2012.  ATF </w:t>
            </w:r>
            <w:r w:rsidR="001F6CE9">
              <w:t xml:space="preserve">also </w:t>
            </w:r>
            <w:r>
              <w:t xml:space="preserve">received </w:t>
            </w:r>
            <w:r w:rsidR="00DF650A">
              <w:t>V</w:t>
            </w:r>
            <w:r>
              <w:t>ERA</w:t>
            </w:r>
            <w:r w:rsidR="00DF650A">
              <w:t>/</w:t>
            </w:r>
            <w:r>
              <w:t>VSIP authority to attain cost avoidance through these staffing reductions.  Additionally, ATF has achieve</w:t>
            </w:r>
            <w:r w:rsidR="008D2323">
              <w:t>d</w:t>
            </w:r>
            <w:r>
              <w:t xml:space="preserve"> </w:t>
            </w:r>
            <w:r w:rsidR="00DF650A">
              <w:t xml:space="preserve">administrative and program efficiencies </w:t>
            </w:r>
            <w:r>
              <w:t>through management of its contractual services.</w:t>
            </w:r>
          </w:p>
        </w:tc>
        <w:tc>
          <w:tcPr>
            <w:tcW w:w="1260" w:type="dxa"/>
            <w:vAlign w:val="center"/>
          </w:tcPr>
          <w:p w:rsidR="00F86262" w:rsidRPr="0022457A" w:rsidRDefault="00FD4496" w:rsidP="00F86262">
            <w:pPr>
              <w:pStyle w:val="BodyText"/>
              <w:spacing w:before="100" w:beforeAutospacing="1" w:after="100" w:afterAutospacing="1"/>
              <w:jc w:val="center"/>
              <w:rPr>
                <w:bCs/>
                <w:szCs w:val="24"/>
              </w:rPr>
            </w:pPr>
            <w:r>
              <w:rPr>
                <w:bCs/>
                <w:szCs w:val="24"/>
              </w:rPr>
              <w:t>(</w:t>
            </w:r>
            <w:r w:rsidR="005E7E7F">
              <w:rPr>
                <w:bCs/>
                <w:szCs w:val="24"/>
              </w:rPr>
              <w:t>164</w:t>
            </w:r>
            <w:r>
              <w:rPr>
                <w:bCs/>
                <w:szCs w:val="24"/>
              </w:rPr>
              <w:t>)</w:t>
            </w:r>
          </w:p>
        </w:tc>
        <w:tc>
          <w:tcPr>
            <w:tcW w:w="1170" w:type="dxa"/>
            <w:vAlign w:val="center"/>
          </w:tcPr>
          <w:p w:rsidR="00F86262" w:rsidRPr="0022457A" w:rsidRDefault="00FD4496" w:rsidP="00F86262">
            <w:pPr>
              <w:pStyle w:val="BodyText"/>
              <w:spacing w:before="100" w:beforeAutospacing="1" w:after="100" w:afterAutospacing="1"/>
              <w:jc w:val="center"/>
              <w:rPr>
                <w:bCs/>
                <w:szCs w:val="24"/>
              </w:rPr>
            </w:pPr>
            <w:r>
              <w:rPr>
                <w:bCs/>
                <w:szCs w:val="24"/>
              </w:rPr>
              <w:t>(</w:t>
            </w:r>
            <w:r w:rsidR="005E7E7F">
              <w:rPr>
                <w:bCs/>
                <w:szCs w:val="24"/>
              </w:rPr>
              <w:t>164</w:t>
            </w:r>
            <w:r>
              <w:rPr>
                <w:bCs/>
                <w:szCs w:val="24"/>
              </w:rPr>
              <w:t>)</w:t>
            </w:r>
          </w:p>
        </w:tc>
        <w:tc>
          <w:tcPr>
            <w:tcW w:w="1166" w:type="dxa"/>
            <w:vAlign w:val="center"/>
          </w:tcPr>
          <w:p w:rsidR="00F86262" w:rsidRPr="005E6FDF" w:rsidRDefault="000D111C" w:rsidP="000D111C">
            <w:pPr>
              <w:pStyle w:val="xl19"/>
              <w:spacing w:before="100" w:beforeAutospacing="1" w:after="100" w:afterAutospacing="1"/>
              <w:jc w:val="center"/>
              <w:rPr>
                <w:bCs/>
              </w:rPr>
            </w:pPr>
            <w:r>
              <w:rPr>
                <w:bCs/>
              </w:rPr>
              <w:t>(</w:t>
            </w:r>
            <w:r w:rsidR="00CF0F3A">
              <w:rPr>
                <w:bCs/>
              </w:rPr>
              <w:t>$24,799</w:t>
            </w:r>
            <w:r>
              <w:rPr>
                <w:bCs/>
              </w:rPr>
              <w:t>)</w:t>
            </w:r>
          </w:p>
        </w:tc>
        <w:tc>
          <w:tcPr>
            <w:tcW w:w="720" w:type="dxa"/>
            <w:vAlign w:val="center"/>
          </w:tcPr>
          <w:p w:rsidR="00F86262" w:rsidRPr="005D2FB2" w:rsidRDefault="00E23B77" w:rsidP="00F86262">
            <w:pPr>
              <w:pStyle w:val="BodyText"/>
              <w:spacing w:before="100" w:beforeAutospacing="1" w:after="100" w:afterAutospacing="1"/>
              <w:jc w:val="center"/>
              <w:rPr>
                <w:bCs/>
                <w:szCs w:val="24"/>
              </w:rPr>
            </w:pPr>
            <w:r>
              <w:rPr>
                <w:bCs/>
                <w:szCs w:val="24"/>
              </w:rPr>
              <w:t>61</w:t>
            </w:r>
          </w:p>
        </w:tc>
      </w:tr>
      <w:tr w:rsidR="00F86262" w:rsidRPr="00762F09" w:rsidTr="00E05510">
        <w:trPr>
          <w:trHeight w:val="890"/>
          <w:jc w:val="center"/>
        </w:trPr>
        <w:tc>
          <w:tcPr>
            <w:tcW w:w="1779" w:type="dxa"/>
          </w:tcPr>
          <w:p w:rsidR="00F86262" w:rsidRDefault="00F86262" w:rsidP="005E2A4F">
            <w:r>
              <w:t xml:space="preserve">Information Technology (IT) </w:t>
            </w:r>
            <w:r w:rsidRPr="005E2A4F">
              <w:t>S</w:t>
            </w:r>
            <w:r w:rsidR="005E2A4F">
              <w:t>a</w:t>
            </w:r>
            <w:r w:rsidRPr="005E2A4F">
              <w:t>vings</w:t>
            </w:r>
          </w:p>
        </w:tc>
        <w:tc>
          <w:tcPr>
            <w:tcW w:w="4950" w:type="dxa"/>
            <w:vAlign w:val="bottom"/>
          </w:tcPr>
          <w:p w:rsidR="00F86262" w:rsidRDefault="00F86262" w:rsidP="00DF650A">
            <w:pPr>
              <w:pStyle w:val="NormalWeb"/>
            </w:pPr>
            <w:r>
              <w:rPr>
                <w:rFonts w:ascii="Times New Roman" w:hAnsi="Times New Roman"/>
                <w:color w:val="000000"/>
                <w:szCs w:val="24"/>
              </w:rPr>
              <w:t>T</w:t>
            </w:r>
            <w:r w:rsidRPr="00875443">
              <w:rPr>
                <w:rFonts w:ascii="Times New Roman" w:hAnsi="Times New Roman"/>
                <w:color w:val="000000"/>
                <w:szCs w:val="24"/>
              </w:rPr>
              <w:t xml:space="preserve">he Department is implementing a cost saving </w:t>
            </w:r>
            <w:r w:rsidR="00DF650A">
              <w:rPr>
                <w:rFonts w:ascii="Times New Roman" w:hAnsi="Times New Roman"/>
                <w:color w:val="000000"/>
                <w:szCs w:val="24"/>
              </w:rPr>
              <w:t>through I</w:t>
            </w:r>
            <w:r w:rsidRPr="00875443">
              <w:rPr>
                <w:rFonts w:ascii="Times New Roman" w:hAnsi="Times New Roman"/>
                <w:color w:val="000000"/>
                <w:szCs w:val="24"/>
              </w:rPr>
              <w:t>T projects</w:t>
            </w:r>
            <w:r w:rsidR="00DF650A">
              <w:rPr>
                <w:rFonts w:ascii="Times New Roman" w:hAnsi="Times New Roman"/>
                <w:color w:val="000000"/>
                <w:szCs w:val="24"/>
              </w:rPr>
              <w:t xml:space="preserve"> that are </w:t>
            </w:r>
            <w:r w:rsidRPr="00875443">
              <w:rPr>
                <w:rFonts w:ascii="Times New Roman" w:hAnsi="Times New Roman"/>
                <w:color w:val="000000"/>
                <w:szCs w:val="24"/>
              </w:rPr>
              <w:t>developing an infrastructure to enable DOJ components to better collaborate on IT contracting</w:t>
            </w:r>
            <w:r w:rsidR="00DF650A">
              <w:rPr>
                <w:rFonts w:ascii="Times New Roman" w:hAnsi="Times New Roman"/>
                <w:color w:val="000000"/>
                <w:szCs w:val="24"/>
              </w:rPr>
              <w:t>.</w:t>
            </w:r>
          </w:p>
        </w:tc>
        <w:tc>
          <w:tcPr>
            <w:tcW w:w="1260" w:type="dxa"/>
            <w:vAlign w:val="center"/>
          </w:tcPr>
          <w:p w:rsidR="00F86262" w:rsidRPr="0022457A" w:rsidRDefault="00F86262" w:rsidP="00F86262">
            <w:pPr>
              <w:pStyle w:val="BodyText"/>
              <w:spacing w:before="100" w:beforeAutospacing="1" w:after="100" w:afterAutospacing="1"/>
              <w:jc w:val="center"/>
              <w:rPr>
                <w:bCs/>
                <w:szCs w:val="24"/>
              </w:rPr>
            </w:pPr>
            <w:r>
              <w:rPr>
                <w:bCs/>
                <w:szCs w:val="24"/>
              </w:rPr>
              <w:t>0</w:t>
            </w:r>
          </w:p>
        </w:tc>
        <w:tc>
          <w:tcPr>
            <w:tcW w:w="1170" w:type="dxa"/>
            <w:vAlign w:val="center"/>
          </w:tcPr>
          <w:p w:rsidR="00F86262" w:rsidRPr="0022457A" w:rsidRDefault="00F86262" w:rsidP="00F86262">
            <w:pPr>
              <w:pStyle w:val="BodyText"/>
              <w:spacing w:before="100" w:beforeAutospacing="1" w:after="100" w:afterAutospacing="1"/>
              <w:jc w:val="center"/>
              <w:rPr>
                <w:bCs/>
                <w:szCs w:val="24"/>
              </w:rPr>
            </w:pPr>
            <w:r>
              <w:rPr>
                <w:bCs/>
                <w:szCs w:val="24"/>
              </w:rPr>
              <w:t>0</w:t>
            </w:r>
          </w:p>
        </w:tc>
        <w:tc>
          <w:tcPr>
            <w:tcW w:w="1166" w:type="dxa"/>
            <w:vAlign w:val="center"/>
          </w:tcPr>
          <w:p w:rsidR="00F86262" w:rsidRPr="002719F1" w:rsidRDefault="00F86262" w:rsidP="00F86262">
            <w:pPr>
              <w:pStyle w:val="xl19"/>
              <w:spacing w:before="100" w:beforeAutospacing="1" w:after="100" w:afterAutospacing="1"/>
              <w:jc w:val="center"/>
              <w:rPr>
                <w:bCs/>
              </w:rPr>
            </w:pPr>
            <w:r>
              <w:rPr>
                <w:bCs/>
              </w:rPr>
              <w:t>($</w:t>
            </w:r>
            <w:r w:rsidRPr="002719F1">
              <w:rPr>
                <w:bCs/>
              </w:rPr>
              <w:t>2,095</w:t>
            </w:r>
            <w:r>
              <w:rPr>
                <w:bCs/>
              </w:rPr>
              <w:t>)</w:t>
            </w:r>
          </w:p>
        </w:tc>
        <w:tc>
          <w:tcPr>
            <w:tcW w:w="720" w:type="dxa"/>
            <w:vAlign w:val="center"/>
          </w:tcPr>
          <w:p w:rsidR="00F86262" w:rsidRDefault="00E23B77" w:rsidP="00F86262">
            <w:pPr>
              <w:pStyle w:val="BodyText"/>
              <w:spacing w:before="100" w:beforeAutospacing="1" w:after="100" w:afterAutospacing="1"/>
              <w:jc w:val="center"/>
              <w:rPr>
                <w:bCs/>
                <w:szCs w:val="24"/>
              </w:rPr>
            </w:pPr>
            <w:r>
              <w:rPr>
                <w:bCs/>
                <w:szCs w:val="24"/>
              </w:rPr>
              <w:t>63</w:t>
            </w:r>
          </w:p>
        </w:tc>
      </w:tr>
    </w:tbl>
    <w:p w:rsidR="00E05510" w:rsidRDefault="00E05510" w:rsidP="00F86262">
      <w:pPr>
        <w:tabs>
          <w:tab w:val="left" w:pos="7950"/>
        </w:tabs>
        <w:spacing w:before="100" w:beforeAutospacing="1" w:after="100" w:afterAutospacing="1"/>
        <w:rPr>
          <w:b/>
          <w:bCs/>
        </w:rPr>
      </w:pPr>
    </w:p>
    <w:p w:rsidR="00E05510" w:rsidRDefault="00E05510">
      <w:pPr>
        <w:rPr>
          <w:b/>
          <w:bCs/>
        </w:rPr>
      </w:pPr>
      <w:r>
        <w:rPr>
          <w:b/>
          <w:bCs/>
        </w:rPr>
        <w:br w:type="page"/>
      </w:r>
    </w:p>
    <w:p w:rsidR="00F86262" w:rsidRDefault="00F86262" w:rsidP="00F86262">
      <w:pPr>
        <w:tabs>
          <w:tab w:val="left" w:pos="7950"/>
        </w:tabs>
        <w:spacing w:before="100" w:beforeAutospacing="1" w:after="100" w:afterAutospacing="1"/>
        <w:rPr>
          <w:b/>
          <w:bCs/>
        </w:rPr>
      </w:pPr>
      <w:r>
        <w:rPr>
          <w:b/>
          <w:bCs/>
        </w:rPr>
        <w:lastRenderedPageBreak/>
        <w:t>II</w:t>
      </w:r>
      <w:r w:rsidR="002212A2">
        <w:rPr>
          <w:b/>
          <w:bCs/>
        </w:rPr>
        <w:t>I</w:t>
      </w:r>
      <w:r>
        <w:rPr>
          <w:b/>
          <w:bCs/>
        </w:rPr>
        <w:t>. Appropriations Language and Analysis of Appropriations Language</w:t>
      </w:r>
    </w:p>
    <w:p w:rsidR="00F86262" w:rsidRDefault="00F86262" w:rsidP="00F86262">
      <w:pPr>
        <w:tabs>
          <w:tab w:val="left" w:pos="7950"/>
        </w:tabs>
        <w:spacing w:before="100" w:beforeAutospacing="1" w:after="100" w:afterAutospacing="1"/>
        <w:rPr>
          <w:b/>
          <w:bCs/>
        </w:rPr>
      </w:pPr>
      <w:r>
        <w:rPr>
          <w:b/>
          <w:bCs/>
        </w:rPr>
        <w:t>Appropriations Language</w:t>
      </w:r>
    </w:p>
    <w:p w:rsidR="00E03016" w:rsidRDefault="00E03016" w:rsidP="00F86262">
      <w:pPr>
        <w:pStyle w:val="style"/>
        <w:ind w:right="428"/>
      </w:pPr>
      <w:r w:rsidRPr="00F818F7">
        <w:t xml:space="preserve">For necessary expenses of the Bureau of Alcohol, Tobacco, Firearms and Explosives, for training of State and local law enforcement agencies with or without reimbursement, including training in connection with the training and acquisition of canines for explosives and fire accelerants detection; and for provision of laboratory assistance to State and local law enforcement agencies, with or without reimbursement, [$1,152,000,000] </w:t>
      </w:r>
      <w:r w:rsidRPr="00F818F7">
        <w:rPr>
          <w:i/>
        </w:rPr>
        <w:t>$1,153,</w:t>
      </w:r>
      <w:r w:rsidR="00F9517E">
        <w:rPr>
          <w:i/>
        </w:rPr>
        <w:t>345</w:t>
      </w:r>
      <w:r w:rsidRPr="00F818F7">
        <w:rPr>
          <w:i/>
        </w:rPr>
        <w:t>,000</w:t>
      </w:r>
      <w:r w:rsidRPr="00F818F7">
        <w:t>, of which not to exceed $36,000 shall be for official reception and representation expenses, not to exceed $1,000,000 shall be available for the payment of attorneys' fees as provided by section 924(d)(2) of title 18, United States Code, and not to exceed [$15,000,000</w:t>
      </w:r>
      <w:r w:rsidRPr="00564A6B">
        <w:t>]</w:t>
      </w:r>
      <w:r w:rsidRPr="00F818F7">
        <w:rPr>
          <w:i/>
        </w:rPr>
        <w:t>$20,000,000</w:t>
      </w:r>
      <w:r w:rsidRPr="00F818F7">
        <w:t xml:space="preserve"> shall remain available until expended: Provided, That no funds appropriated herein [or hereafter] shall be available for salaries or administrative expenses in connection with consolidating or centralizing, within the Department of Justice, the records, or any portion thereof, of acquisition and disposition of firearms maintained by Federal firearms licensees: Provided further, That no funds appropriated herein shall be used to pay administrative expenses or the compensation of any officer or employee of the United States to implement an amendment or amendments to 27 CFR 478.118 or to change the definition of ``Curios or relics'' in 27 CFR 478.11 or remove any item from ATF Publication 5300.11 as it existed on January 1, 1994: Provided further, That none of the funds appropriated herein shall be available to investigate or act upon applications for relief from Federal firearms disabilities under 18 U.S.C. 925(c): Provided further, That such funds shall be available to investigate and act upon applications filed by corporations for relief from Federal firearms disabilities under section 925(c) of title 18, United States Code: Provided further, That no funds made available by this or any other Act may be used to transfer the functions, missions, or activities of the Bureau of Alcohol, Tobacco, Firearms and Explosives to other agencies or Departments: Provided further, That[, during the current fiscal year and in each fiscal year thereafter,] no funds appropriated under this or any other Act may be used to disclose part or all of the contents of the Firearms Trace System database maintained by the National Trace Center of the Bureau of Alcohol, Tobacco, Firearms and Explosives or any information required to be kept by licensees pursuant to section 923(g) of title 18, United States Code, or required to be reported pursuant to paragraphs (3) and (7) of such section, except to: (1) a Federal, State, local, or tribal law enforcement agency, or a Federal, State, or local prosecutor; or (2) a foreign law enforcement agency solely in connection with or for use in a criminal investigation or prosecution; or (3) a Federal agency for a national security or intelligence purpose; unless such disclosure of such data to any of the entities described in (1), (2) or (3) of this proviso would compromise the identity of any undercover law enforcement officer or confidential informant, or interfere with any case under investigation; and no person or entity described in (1), (2) or (3) shall knowingly and publicly disclose such data; and all such data shall be immune from legal process, shall not be subject to subpoena or other discovery, shall be inadmissible in evidence, and shall not be used, relied on, or disclosed in any manner, nor shall testimony or other evidence be permitted based on the data, in a civil action in any State (including the District of Columbia) or Federal court or in an administrative proceeding other than a proceeding commenced by the Bureau of Alcohol, Tobacco, </w:t>
      </w:r>
      <w:r w:rsidRPr="00F818F7">
        <w:lastRenderedPageBreak/>
        <w:t>Firearms and Explosives to enforce the provisions of chapter 44 of such title, or a review of such an action or proceeding; except that this proviso shall not be construed to prevent: (A) the disclosure of statistical information concerning total production, importation, and exportation by each licensed importer (as defined in section 921(a)(9) of such title) and licensed manufacturer (as defined in section 921(a)(10) of such title); (B) the sharing or exchange of such information among and between Federal, State, local, or foreign law enforcement agencies, Federal, State, or local prosecutors, and Federal national security, intelligence, or counterterrorism officials; or (C) the publication of annual statistical reports on products regulated by the Bureau of Alcohol, Tobacco, Firearms and Explosives, including total production, importation, and exportation by each licensed importer (as so defined) and licensed manufacturer (as so defined), or statistical aggregate data regarding firearms traffickers and trafficking channels, or firearms misuse, felons, and trafficking investigations: Provided further, That no funds made available by this or any other Act shall be expended to promulgate or implement any rule requiring a physical inventory of any business licensed under section 923 of title 18, United States Code: Provided further, That</w:t>
      </w:r>
      <w:r w:rsidR="00CD09A8" w:rsidRPr="00655650">
        <w:t>[</w:t>
      </w:r>
      <w:r w:rsidRPr="00655650">
        <w:t>, hereafter,</w:t>
      </w:r>
      <w:r w:rsidR="00CD09A8" w:rsidRPr="00655650">
        <w:t>]</w:t>
      </w:r>
      <w:r w:rsidRPr="00F818F7">
        <w:t xml:space="preserve"> no funds made available by this or any other Act may be used to electronically retrieve information gathered pursuant to 18 U.S.C. 923(g)(4) by name or any personal identification code: Provided further, That no funds authorized or made available under this or any other Act may be used to deny any application for a license under section 923 of title 18, United States Code, or renewal of such a license due to a lack of business activity, provided that the applicant is otherwise eligible to receive such a license, and is eligible to report business income or to claim an income tax deduction for business expenses under the Internal Revenue Code of 1986. </w:t>
      </w:r>
      <w:r w:rsidRPr="00F818F7">
        <w:cr/>
      </w:r>
      <w:r w:rsidRPr="00F818F7">
        <w:cr/>
        <w:t>(</w:t>
      </w:r>
      <w:r w:rsidR="008D3F1B" w:rsidRPr="00F818F7">
        <w:t>Cancellation</w:t>
      </w:r>
      <w:r w:rsidRPr="00F818F7">
        <w:t>)</w:t>
      </w:r>
      <w:r w:rsidRPr="00F818F7">
        <w:cr/>
      </w:r>
      <w:r w:rsidRPr="00F818F7">
        <w:cr/>
        <w:t>Of the unobligated balances from prior year appropriations under this heading, $12,400,000 are hereby permanently cancelled: Provided, That no amounts may be cancelled from amounts that were designated by the Congress as an emergency requirement pursuant to the Concurrent Resolution on the Budget or the Balanced Budget and Emergency Deficit Control Act of 1985, as amended.  (Department of Justice Appropriations Act, 2012.)</w:t>
      </w:r>
    </w:p>
    <w:p w:rsidR="00CD09A8" w:rsidRDefault="00CD09A8" w:rsidP="00F86262">
      <w:pPr>
        <w:pStyle w:val="style"/>
        <w:ind w:right="428"/>
      </w:pPr>
    </w:p>
    <w:p w:rsidR="00CD09A8" w:rsidRPr="00391AC8" w:rsidRDefault="00CD09A8" w:rsidP="00391AC8">
      <w:pPr>
        <w:pStyle w:val="NormalWeb"/>
        <w:rPr>
          <w:rFonts w:ascii="Times New Roman" w:eastAsia="Times New Roman" w:hAnsi="Times New Roman"/>
          <w:szCs w:val="24"/>
        </w:rPr>
      </w:pPr>
      <w:r w:rsidRPr="00391AC8">
        <w:rPr>
          <w:rFonts w:ascii="Times New Roman" w:eastAsia="Times New Roman" w:hAnsi="Times New Roman"/>
          <w:szCs w:val="24"/>
        </w:rPr>
        <w:t>Note: The language proposed above differs from the language included in the Budget Appendix regarding the types of balances proposed for cancellation.  The difference is due only to timing restrictions during production of these separate documents as it is the intent of both the language proposed in the Budget Appendix and the language proposed here to cancel expired balances or balances currently available.</w:t>
      </w:r>
    </w:p>
    <w:p w:rsidR="00E03016" w:rsidRPr="00F818F7" w:rsidRDefault="00E03016" w:rsidP="00F86262">
      <w:pPr>
        <w:pStyle w:val="style"/>
        <w:ind w:right="428"/>
      </w:pPr>
    </w:p>
    <w:p w:rsidR="00F86262" w:rsidRPr="00257322" w:rsidRDefault="00F86262" w:rsidP="00F86262">
      <w:pPr>
        <w:rPr>
          <w:b/>
        </w:rPr>
      </w:pPr>
      <w:r w:rsidRPr="00463CF0">
        <w:rPr>
          <w:b/>
        </w:rPr>
        <w:t>Recommended change to Department of Justice General Provision for FY 2013</w:t>
      </w:r>
    </w:p>
    <w:p w:rsidR="00F86262" w:rsidRDefault="00F86262" w:rsidP="00F86262">
      <w:pPr>
        <w:rPr>
          <w:color w:val="FF0000"/>
        </w:rPr>
      </w:pPr>
    </w:p>
    <w:p w:rsidR="003D7CB2" w:rsidRPr="00564A6B" w:rsidRDefault="003D7CB2" w:rsidP="003D7CB2">
      <w:r w:rsidRPr="00564A6B">
        <w:t xml:space="preserve">Sec. 206. The Attorney General is authorized to extend through September 30, </w:t>
      </w:r>
      <w:r>
        <w:t>[</w:t>
      </w:r>
      <w:r w:rsidRPr="00564A6B">
        <w:t>2013]</w:t>
      </w:r>
      <w:r>
        <w:t xml:space="preserve"> 2014 </w:t>
      </w:r>
      <w:r w:rsidRPr="00564A6B">
        <w:t>the Personnel Management demonstration project transferred to the Attorney General pursuant to section 1115 of the Homeland Security Act of 2002, Public Law 107-296 (28 U.S.C. 599B) without limitation on the number of employees or the positions covered.</w:t>
      </w:r>
    </w:p>
    <w:p w:rsidR="001757C0" w:rsidRDefault="001757C0" w:rsidP="001757C0">
      <w:pPr>
        <w:rPr>
          <w:b/>
          <w:bCs/>
        </w:rPr>
      </w:pPr>
    </w:p>
    <w:p w:rsidR="00F86262" w:rsidRDefault="00F86262" w:rsidP="00F86262">
      <w:pPr>
        <w:rPr>
          <w:b/>
          <w:bCs/>
        </w:rPr>
      </w:pPr>
    </w:p>
    <w:p w:rsidR="00F86262" w:rsidRPr="00A5662C" w:rsidRDefault="00F86262" w:rsidP="00F86262">
      <w:pPr>
        <w:rPr>
          <w:i/>
          <w:color w:val="FF0000"/>
        </w:rPr>
      </w:pPr>
      <w:r w:rsidRPr="00A5662C">
        <w:rPr>
          <w:b/>
          <w:bCs/>
        </w:rPr>
        <w:lastRenderedPageBreak/>
        <w:t>Analysis of Appropriations Language</w:t>
      </w:r>
    </w:p>
    <w:p w:rsidR="00F86262" w:rsidRDefault="00F86262" w:rsidP="00F86262">
      <w:pPr>
        <w:rPr>
          <w:b/>
          <w:bCs/>
          <w:color w:val="C00000"/>
        </w:rPr>
      </w:pPr>
    </w:p>
    <w:p w:rsidR="00B206C4" w:rsidRPr="00B206C4" w:rsidRDefault="00952ECD" w:rsidP="00F86262">
      <w:pPr>
        <w:rPr>
          <w:color w:val="000000" w:themeColor="text1"/>
        </w:rPr>
      </w:pPr>
      <w:r>
        <w:rPr>
          <w:color w:val="000000" w:themeColor="text1"/>
        </w:rPr>
        <w:t>Would extend the pay demonstration project for one year through September 30, 2014 without limit on the number of employees covered.</w:t>
      </w:r>
      <w:r w:rsidR="00316410">
        <w:rPr>
          <w:color w:val="000000" w:themeColor="text1"/>
        </w:rPr>
        <w:t xml:space="preserve"> </w:t>
      </w:r>
    </w:p>
    <w:p w:rsidR="00F86262" w:rsidRDefault="00F86262" w:rsidP="00F86262">
      <w:pPr>
        <w:pStyle w:val="style"/>
        <w:ind w:right="428"/>
      </w:pPr>
    </w:p>
    <w:p w:rsidR="00F86262" w:rsidRDefault="00F86262" w:rsidP="00F86262">
      <w:pPr>
        <w:pStyle w:val="style"/>
        <w:ind w:right="428"/>
        <w:rPr>
          <w:b/>
        </w:rPr>
      </w:pPr>
      <w:r w:rsidRPr="00C204BC">
        <w:rPr>
          <w:b/>
        </w:rPr>
        <w:t>Violent Crime Reduction Program</w:t>
      </w:r>
    </w:p>
    <w:p w:rsidR="009E1B16" w:rsidRPr="00C204BC" w:rsidRDefault="009E1B16" w:rsidP="00F86262">
      <w:pPr>
        <w:pStyle w:val="style"/>
        <w:ind w:right="428"/>
        <w:rPr>
          <w:b/>
        </w:rPr>
      </w:pPr>
    </w:p>
    <w:p w:rsidR="00F86262" w:rsidRDefault="009E1B16" w:rsidP="00F86262">
      <w:pPr>
        <w:pStyle w:val="style"/>
        <w:ind w:right="428"/>
      </w:pPr>
      <w:r>
        <w:t>(Cancellation)</w:t>
      </w:r>
    </w:p>
    <w:p w:rsidR="009E1B16" w:rsidRDefault="009E1B16" w:rsidP="00F86262">
      <w:pPr>
        <w:pStyle w:val="style"/>
        <w:ind w:right="428"/>
      </w:pPr>
    </w:p>
    <w:p w:rsidR="00F86262" w:rsidRPr="00594A5C" w:rsidRDefault="00F86262" w:rsidP="00F86262">
      <w:r w:rsidRPr="00594A5C">
        <w:t>Of the unobligated balances from prior year appropriations available under this heading, $1,028,</w:t>
      </w:r>
      <w:r w:rsidR="00E03016" w:rsidRPr="00594A5C">
        <w:t>000</w:t>
      </w:r>
      <w:r w:rsidRPr="00594A5C">
        <w:t xml:space="preserve"> are hereby permanently cancelled: </w:t>
      </w:r>
      <w:r w:rsidRPr="00230589">
        <w:rPr>
          <w:i/>
        </w:rPr>
        <w:t>Provided,</w:t>
      </w:r>
      <w:r w:rsidRPr="00594A5C">
        <w:t xml:space="preserve"> That no amounts may be cancelled from amounts that were designated by the Congress as an emergency requirement pursuant to the Concurrent Resolution on the Budget or the Balanced Budget and Emergency Deficit Control Act of 1985, as amended.</w:t>
      </w:r>
    </w:p>
    <w:p w:rsidR="00F86262" w:rsidRPr="00594A5C" w:rsidRDefault="00F86262" w:rsidP="00F86262">
      <w:pPr>
        <w:rPr>
          <w:b/>
          <w:bCs/>
        </w:rPr>
      </w:pPr>
    </w:p>
    <w:p w:rsidR="00F86262" w:rsidRPr="00CD0707" w:rsidRDefault="00F86262" w:rsidP="00F86262">
      <w:pPr>
        <w:rPr>
          <w:i/>
          <w:color w:val="FF0000"/>
        </w:rPr>
      </w:pPr>
      <w:r>
        <w:rPr>
          <w:b/>
          <w:bCs/>
        </w:rPr>
        <w:t>Analysis of Appropriations Language</w:t>
      </w:r>
    </w:p>
    <w:p w:rsidR="00F86262" w:rsidRDefault="00F86262" w:rsidP="00F86262"/>
    <w:p w:rsidR="00F86262" w:rsidRPr="002212A2" w:rsidRDefault="00230589" w:rsidP="00F86262">
      <w:pPr>
        <w:autoSpaceDE w:val="0"/>
        <w:autoSpaceDN w:val="0"/>
        <w:adjustRightInd w:val="0"/>
        <w:rPr>
          <w:bCs/>
        </w:rPr>
      </w:pPr>
      <w:r>
        <w:rPr>
          <w:bCs/>
        </w:rPr>
        <w:t>ATF is proposing a cancellation</w:t>
      </w:r>
      <w:r w:rsidR="00F86262" w:rsidRPr="002212A2">
        <w:rPr>
          <w:bCs/>
        </w:rPr>
        <w:t xml:space="preserve"> of $1,028,</w:t>
      </w:r>
      <w:r w:rsidR="00E03016">
        <w:rPr>
          <w:bCs/>
        </w:rPr>
        <w:t>000</w:t>
      </w:r>
      <w:r w:rsidR="00F86262" w:rsidRPr="002212A2">
        <w:rPr>
          <w:bCs/>
        </w:rPr>
        <w:t xml:space="preserve"> from the Violent Crime Reduction Program that is statutorily unavailable for obligation in the VCRP account </w:t>
      </w:r>
      <w:r w:rsidR="00002C4B">
        <w:rPr>
          <w:bCs/>
        </w:rPr>
        <w:t>as ATF is not statutorily authorized to obligate funding for grants or cooperative agreements</w:t>
      </w:r>
      <w:r w:rsidR="00F86262" w:rsidRPr="002212A2">
        <w:rPr>
          <w:bCs/>
        </w:rPr>
        <w:t>.</w:t>
      </w:r>
    </w:p>
    <w:p w:rsidR="00F86262" w:rsidRPr="002212A2" w:rsidRDefault="00F86262">
      <w:pPr>
        <w:rPr>
          <w:b/>
          <w:bCs/>
        </w:rPr>
      </w:pPr>
    </w:p>
    <w:p w:rsidR="00391AC8" w:rsidRDefault="00391AC8" w:rsidP="007D0C8C">
      <w:pPr>
        <w:tabs>
          <w:tab w:val="left" w:pos="7950"/>
        </w:tabs>
        <w:spacing w:before="100" w:beforeAutospacing="1" w:after="100" w:afterAutospacing="1"/>
        <w:rPr>
          <w:b/>
          <w:bCs/>
        </w:rPr>
      </w:pPr>
    </w:p>
    <w:p w:rsidR="00391AC8" w:rsidRDefault="00391AC8" w:rsidP="007D0C8C">
      <w:pPr>
        <w:tabs>
          <w:tab w:val="left" w:pos="7950"/>
        </w:tabs>
        <w:spacing w:before="100" w:beforeAutospacing="1" w:after="100" w:afterAutospacing="1"/>
        <w:rPr>
          <w:b/>
          <w:bCs/>
        </w:rPr>
      </w:pPr>
    </w:p>
    <w:p w:rsidR="00391AC8" w:rsidRDefault="00391AC8" w:rsidP="007D0C8C">
      <w:pPr>
        <w:tabs>
          <w:tab w:val="left" w:pos="7950"/>
        </w:tabs>
        <w:spacing w:before="100" w:beforeAutospacing="1" w:after="100" w:afterAutospacing="1"/>
        <w:rPr>
          <w:b/>
          <w:bCs/>
        </w:rPr>
      </w:pPr>
    </w:p>
    <w:p w:rsidR="00391AC8" w:rsidRDefault="00391AC8" w:rsidP="007D0C8C">
      <w:pPr>
        <w:tabs>
          <w:tab w:val="left" w:pos="7950"/>
        </w:tabs>
        <w:spacing w:before="100" w:beforeAutospacing="1" w:after="100" w:afterAutospacing="1"/>
        <w:rPr>
          <w:b/>
          <w:bCs/>
        </w:rPr>
      </w:pPr>
    </w:p>
    <w:p w:rsidR="00391AC8" w:rsidRDefault="00391AC8" w:rsidP="007D0C8C">
      <w:pPr>
        <w:tabs>
          <w:tab w:val="left" w:pos="7950"/>
        </w:tabs>
        <w:spacing w:before="100" w:beforeAutospacing="1" w:after="100" w:afterAutospacing="1"/>
        <w:rPr>
          <w:b/>
          <w:bCs/>
        </w:rPr>
      </w:pPr>
    </w:p>
    <w:p w:rsidR="00391AC8" w:rsidRDefault="00391AC8" w:rsidP="007D0C8C">
      <w:pPr>
        <w:tabs>
          <w:tab w:val="left" w:pos="7950"/>
        </w:tabs>
        <w:spacing w:before="100" w:beforeAutospacing="1" w:after="100" w:afterAutospacing="1"/>
        <w:rPr>
          <w:b/>
          <w:bCs/>
        </w:rPr>
      </w:pPr>
    </w:p>
    <w:p w:rsidR="00391AC8" w:rsidRDefault="00391AC8" w:rsidP="007D0C8C">
      <w:pPr>
        <w:tabs>
          <w:tab w:val="left" w:pos="7950"/>
        </w:tabs>
        <w:spacing w:before="100" w:beforeAutospacing="1" w:after="100" w:afterAutospacing="1"/>
        <w:rPr>
          <w:b/>
          <w:bCs/>
        </w:rPr>
      </w:pPr>
    </w:p>
    <w:p w:rsidR="00391AC8" w:rsidRDefault="00391AC8" w:rsidP="007D0C8C">
      <w:pPr>
        <w:tabs>
          <w:tab w:val="left" w:pos="7950"/>
        </w:tabs>
        <w:spacing w:before="100" w:beforeAutospacing="1" w:after="100" w:afterAutospacing="1"/>
        <w:rPr>
          <w:b/>
          <w:bCs/>
        </w:rPr>
      </w:pPr>
    </w:p>
    <w:p w:rsidR="00391AC8" w:rsidRDefault="00391AC8" w:rsidP="007D0C8C">
      <w:pPr>
        <w:tabs>
          <w:tab w:val="left" w:pos="7950"/>
        </w:tabs>
        <w:spacing w:before="100" w:beforeAutospacing="1" w:after="100" w:afterAutospacing="1"/>
        <w:rPr>
          <w:b/>
          <w:bCs/>
        </w:rPr>
      </w:pPr>
    </w:p>
    <w:p w:rsidR="00391AC8" w:rsidRDefault="00391AC8" w:rsidP="007D0C8C">
      <w:pPr>
        <w:tabs>
          <w:tab w:val="left" w:pos="7950"/>
        </w:tabs>
        <w:spacing w:before="100" w:beforeAutospacing="1" w:after="100" w:afterAutospacing="1"/>
        <w:rPr>
          <w:b/>
          <w:bCs/>
        </w:rPr>
      </w:pPr>
    </w:p>
    <w:p w:rsidR="00316410" w:rsidRDefault="00316410" w:rsidP="007D0C8C">
      <w:pPr>
        <w:tabs>
          <w:tab w:val="left" w:pos="7950"/>
        </w:tabs>
        <w:spacing w:before="100" w:beforeAutospacing="1" w:after="100" w:afterAutospacing="1"/>
        <w:rPr>
          <w:b/>
          <w:bCs/>
        </w:rPr>
      </w:pPr>
    </w:p>
    <w:p w:rsidR="00316410" w:rsidRDefault="00316410" w:rsidP="007D0C8C">
      <w:pPr>
        <w:tabs>
          <w:tab w:val="left" w:pos="7950"/>
        </w:tabs>
        <w:spacing w:before="100" w:beforeAutospacing="1" w:after="100" w:afterAutospacing="1"/>
        <w:rPr>
          <w:b/>
          <w:bCs/>
        </w:rPr>
      </w:pPr>
    </w:p>
    <w:p w:rsidR="007D0C8C" w:rsidRDefault="00394287" w:rsidP="007D0C8C">
      <w:pPr>
        <w:tabs>
          <w:tab w:val="left" w:pos="7950"/>
        </w:tabs>
        <w:spacing w:before="100" w:beforeAutospacing="1" w:after="100" w:afterAutospacing="1"/>
        <w:rPr>
          <w:b/>
          <w:bCs/>
        </w:rPr>
      </w:pPr>
      <w:r w:rsidRPr="00594A5C">
        <w:rPr>
          <w:b/>
          <w:bCs/>
        </w:rPr>
        <w:lastRenderedPageBreak/>
        <w:t>IV</w:t>
      </w:r>
      <w:r w:rsidR="00885F4B" w:rsidRPr="00594A5C">
        <w:rPr>
          <w:b/>
          <w:bCs/>
        </w:rPr>
        <w:t xml:space="preserve">.   Decision Unit </w:t>
      </w:r>
      <w:r w:rsidRPr="00594A5C">
        <w:rPr>
          <w:b/>
          <w:bCs/>
        </w:rPr>
        <w:t>Justification</w:t>
      </w:r>
      <w:r w:rsidR="000B63CB">
        <w:rPr>
          <w:b/>
          <w:bCs/>
        </w:rPr>
        <w:t xml:space="preserve"> </w:t>
      </w:r>
      <w:r w:rsidR="000B63CB">
        <w:rPr>
          <w:b/>
          <w:bCs/>
        </w:rPr>
        <w:tab/>
      </w:r>
    </w:p>
    <w:p w:rsidR="007D0C8C" w:rsidRPr="00762F09" w:rsidRDefault="007D0C8C" w:rsidP="007D0C8C">
      <w:pPr>
        <w:spacing w:before="100" w:beforeAutospacing="1" w:after="100" w:afterAutospacing="1"/>
      </w:pPr>
      <w:r w:rsidRPr="00762F09">
        <w:rPr>
          <w:b/>
          <w:bCs/>
        </w:rPr>
        <w:t xml:space="preserve">A.  Firearms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1260"/>
        <w:gridCol w:w="1440"/>
      </w:tblGrid>
      <w:tr w:rsidR="007D0C8C" w:rsidRPr="00762F09" w:rsidTr="007D0C8C">
        <w:tc>
          <w:tcPr>
            <w:tcW w:w="5220" w:type="dxa"/>
            <w:vAlign w:val="bottom"/>
          </w:tcPr>
          <w:p w:rsidR="007D0C8C" w:rsidRPr="00143009" w:rsidRDefault="007D0C8C" w:rsidP="007D0C8C">
            <w:pPr>
              <w:spacing w:before="100" w:beforeAutospacing="1" w:after="100" w:afterAutospacing="1"/>
              <w:rPr>
                <w:b/>
                <w:bCs/>
              </w:rPr>
            </w:pPr>
            <w:r w:rsidRPr="00143009">
              <w:rPr>
                <w:b/>
                <w:bCs/>
              </w:rPr>
              <w:t>Firearms TOTAL</w:t>
            </w:r>
          </w:p>
        </w:tc>
        <w:tc>
          <w:tcPr>
            <w:tcW w:w="1440" w:type="dxa"/>
            <w:vAlign w:val="bottom"/>
          </w:tcPr>
          <w:p w:rsidR="007D0C8C" w:rsidRPr="00143009" w:rsidRDefault="007D0C8C" w:rsidP="007D0C8C">
            <w:pPr>
              <w:spacing w:before="100" w:beforeAutospacing="1" w:after="100" w:afterAutospacing="1"/>
              <w:jc w:val="center"/>
              <w:rPr>
                <w:b/>
                <w:bCs/>
              </w:rPr>
            </w:pPr>
            <w:smartTag w:uri="urn:schemas-microsoft-com:office:smarttags" w:element="City">
              <w:smartTag w:uri="urn:schemas-microsoft-com:office:smarttags" w:element="place">
                <w:r w:rsidRPr="00143009">
                  <w:rPr>
                    <w:b/>
                    <w:bCs/>
                  </w:rPr>
                  <w:t>Perm</w:t>
                </w:r>
              </w:smartTag>
            </w:smartTag>
            <w:r w:rsidRPr="00143009">
              <w:rPr>
                <w:b/>
                <w:bCs/>
              </w:rPr>
              <w:t xml:space="preserve"> Pos.</w:t>
            </w:r>
          </w:p>
        </w:tc>
        <w:tc>
          <w:tcPr>
            <w:tcW w:w="1260" w:type="dxa"/>
            <w:vAlign w:val="bottom"/>
          </w:tcPr>
          <w:p w:rsidR="007D0C8C" w:rsidRPr="00143009" w:rsidRDefault="007D0C8C" w:rsidP="007D0C8C">
            <w:pPr>
              <w:spacing w:before="100" w:beforeAutospacing="1" w:after="100" w:afterAutospacing="1"/>
              <w:jc w:val="center"/>
              <w:rPr>
                <w:b/>
                <w:bCs/>
              </w:rPr>
            </w:pPr>
            <w:r w:rsidRPr="00143009">
              <w:rPr>
                <w:b/>
                <w:bCs/>
              </w:rPr>
              <w:t>FTE</w:t>
            </w:r>
          </w:p>
        </w:tc>
        <w:tc>
          <w:tcPr>
            <w:tcW w:w="1440" w:type="dxa"/>
            <w:vAlign w:val="bottom"/>
          </w:tcPr>
          <w:p w:rsidR="007D0C8C" w:rsidRPr="00143009" w:rsidRDefault="007D0C8C" w:rsidP="007D0C8C">
            <w:pPr>
              <w:spacing w:before="100" w:beforeAutospacing="1" w:after="100" w:afterAutospacing="1"/>
              <w:jc w:val="center"/>
              <w:rPr>
                <w:b/>
                <w:bCs/>
              </w:rPr>
            </w:pPr>
            <w:r>
              <w:rPr>
                <w:b/>
                <w:bCs/>
              </w:rPr>
              <w:t xml:space="preserve">Amount </w:t>
            </w:r>
            <w:r w:rsidRPr="00143009">
              <w:rPr>
                <w:b/>
                <w:bCs/>
              </w:rPr>
              <w:t>($000)</w:t>
            </w:r>
          </w:p>
        </w:tc>
      </w:tr>
      <w:tr w:rsidR="007D0C8C" w:rsidRPr="00762F09" w:rsidTr="007D0C8C">
        <w:tc>
          <w:tcPr>
            <w:tcW w:w="5220" w:type="dxa"/>
          </w:tcPr>
          <w:p w:rsidR="007D0C8C" w:rsidRPr="00762F09" w:rsidRDefault="007D0C8C" w:rsidP="007D0C8C">
            <w:pPr>
              <w:spacing w:before="100" w:beforeAutospacing="1" w:after="100" w:afterAutospacing="1"/>
            </w:pPr>
            <w:r w:rsidRPr="00762F09">
              <w:t>20</w:t>
            </w:r>
            <w:r>
              <w:t>1</w:t>
            </w:r>
            <w:r w:rsidR="000B63CB">
              <w:t>1</w:t>
            </w:r>
            <w:r w:rsidRPr="00762F09">
              <w:t xml:space="preserve"> Enacted w/Rescissions </w:t>
            </w:r>
          </w:p>
        </w:tc>
        <w:tc>
          <w:tcPr>
            <w:tcW w:w="1440" w:type="dxa"/>
          </w:tcPr>
          <w:p w:rsidR="007D0C8C" w:rsidRPr="00762F09" w:rsidRDefault="00532888" w:rsidP="007D0C8C">
            <w:pPr>
              <w:spacing w:before="100" w:beforeAutospacing="1" w:after="100" w:afterAutospacing="1"/>
              <w:jc w:val="right"/>
            </w:pPr>
            <w:r>
              <w:t>3,826</w:t>
            </w:r>
          </w:p>
        </w:tc>
        <w:tc>
          <w:tcPr>
            <w:tcW w:w="1260" w:type="dxa"/>
          </w:tcPr>
          <w:p w:rsidR="007D0C8C" w:rsidRPr="00143009" w:rsidRDefault="00532888" w:rsidP="008D3F1B">
            <w:pPr>
              <w:spacing w:before="100" w:beforeAutospacing="1" w:after="100" w:afterAutospacing="1"/>
              <w:jc w:val="right"/>
              <w:rPr>
                <w:bCs/>
              </w:rPr>
            </w:pPr>
            <w:r>
              <w:rPr>
                <w:bCs/>
              </w:rPr>
              <w:t>3,769</w:t>
            </w:r>
          </w:p>
        </w:tc>
        <w:tc>
          <w:tcPr>
            <w:tcW w:w="1440" w:type="dxa"/>
          </w:tcPr>
          <w:p w:rsidR="007D0C8C" w:rsidRPr="00762F09" w:rsidRDefault="007D0C8C" w:rsidP="008D3F1B">
            <w:pPr>
              <w:spacing w:before="100" w:beforeAutospacing="1" w:after="100" w:afterAutospacing="1"/>
              <w:jc w:val="right"/>
            </w:pPr>
            <w:r>
              <w:t>8</w:t>
            </w:r>
            <w:r w:rsidR="008D3F1B">
              <w:t>34</w:t>
            </w:r>
            <w:r>
              <w:t>,</w:t>
            </w:r>
            <w:r w:rsidR="008D3F1B">
              <w:t>407</w:t>
            </w:r>
          </w:p>
        </w:tc>
      </w:tr>
      <w:tr w:rsidR="007D0C8C" w:rsidRPr="00762F09" w:rsidTr="007D0C8C">
        <w:tc>
          <w:tcPr>
            <w:tcW w:w="5220" w:type="dxa"/>
          </w:tcPr>
          <w:p w:rsidR="007D0C8C" w:rsidRPr="00762F09" w:rsidRDefault="007D0C8C" w:rsidP="007D0C8C">
            <w:pPr>
              <w:spacing w:before="100" w:beforeAutospacing="1" w:after="100" w:afterAutospacing="1"/>
              <w:ind w:right="-468"/>
            </w:pPr>
            <w:r w:rsidRPr="00762F09">
              <w:t>20</w:t>
            </w:r>
            <w:r>
              <w:t>1</w:t>
            </w:r>
            <w:r w:rsidR="000B63CB">
              <w:t>1</w:t>
            </w:r>
            <w:r w:rsidRPr="00762F09">
              <w:t xml:space="preserve"> Supplemental</w:t>
            </w:r>
          </w:p>
        </w:tc>
        <w:tc>
          <w:tcPr>
            <w:tcW w:w="1440" w:type="dxa"/>
          </w:tcPr>
          <w:p w:rsidR="007D0C8C" w:rsidRPr="00762F09" w:rsidRDefault="007D0C8C" w:rsidP="007D0C8C">
            <w:pPr>
              <w:spacing w:before="100" w:beforeAutospacing="1" w:after="100" w:afterAutospacing="1"/>
              <w:jc w:val="right"/>
            </w:pPr>
            <w:r w:rsidRPr="00762F09">
              <w:t>0</w:t>
            </w:r>
          </w:p>
        </w:tc>
        <w:tc>
          <w:tcPr>
            <w:tcW w:w="1260" w:type="dxa"/>
          </w:tcPr>
          <w:p w:rsidR="007D0C8C" w:rsidRPr="00762F09" w:rsidRDefault="007D0C8C" w:rsidP="007D0C8C">
            <w:pPr>
              <w:spacing w:before="100" w:beforeAutospacing="1" w:after="100" w:afterAutospacing="1"/>
              <w:jc w:val="right"/>
            </w:pPr>
            <w:r w:rsidRPr="00762F09">
              <w:t>0</w:t>
            </w:r>
          </w:p>
        </w:tc>
        <w:tc>
          <w:tcPr>
            <w:tcW w:w="1440" w:type="dxa"/>
          </w:tcPr>
          <w:p w:rsidR="007D0C8C" w:rsidRPr="00762F09" w:rsidRDefault="003F4B00" w:rsidP="003F4B00">
            <w:pPr>
              <w:spacing w:before="100" w:beforeAutospacing="1" w:after="100" w:afterAutospacing="1"/>
              <w:jc w:val="right"/>
            </w:pPr>
            <w:r>
              <w:t>0</w:t>
            </w:r>
          </w:p>
        </w:tc>
      </w:tr>
      <w:tr w:rsidR="007D0C8C" w:rsidRPr="00762F09" w:rsidTr="007D0C8C">
        <w:tc>
          <w:tcPr>
            <w:tcW w:w="5220" w:type="dxa"/>
          </w:tcPr>
          <w:p w:rsidR="007D0C8C" w:rsidRPr="00762F09" w:rsidRDefault="007D0C8C" w:rsidP="007D0C8C">
            <w:pPr>
              <w:spacing w:before="100" w:beforeAutospacing="1" w:after="100" w:afterAutospacing="1"/>
              <w:ind w:right="-468"/>
            </w:pPr>
            <w:r w:rsidRPr="00762F09">
              <w:t>20</w:t>
            </w:r>
            <w:r>
              <w:t>1</w:t>
            </w:r>
            <w:r w:rsidR="000B63CB">
              <w:t>1</w:t>
            </w:r>
            <w:r w:rsidRPr="00762F09">
              <w:t xml:space="preserve"> Enacted w/Rescissions and Supplemental</w:t>
            </w:r>
          </w:p>
        </w:tc>
        <w:tc>
          <w:tcPr>
            <w:tcW w:w="1440" w:type="dxa"/>
          </w:tcPr>
          <w:p w:rsidR="007D0C8C" w:rsidRPr="00762F09" w:rsidRDefault="00F2451C" w:rsidP="00532888">
            <w:pPr>
              <w:spacing w:before="100" w:beforeAutospacing="1" w:after="100" w:afterAutospacing="1"/>
              <w:jc w:val="right"/>
            </w:pPr>
            <w:r>
              <w:t>3,</w:t>
            </w:r>
            <w:r w:rsidR="00532888">
              <w:t>826</w:t>
            </w:r>
          </w:p>
        </w:tc>
        <w:tc>
          <w:tcPr>
            <w:tcW w:w="1260" w:type="dxa"/>
          </w:tcPr>
          <w:p w:rsidR="007D0C8C" w:rsidRPr="00762F09" w:rsidRDefault="007D0C8C" w:rsidP="00532888">
            <w:pPr>
              <w:spacing w:before="100" w:beforeAutospacing="1" w:after="100" w:afterAutospacing="1"/>
              <w:jc w:val="right"/>
            </w:pPr>
            <w:r>
              <w:t>3,</w:t>
            </w:r>
            <w:r w:rsidR="00532888">
              <w:t>769</w:t>
            </w:r>
          </w:p>
        </w:tc>
        <w:tc>
          <w:tcPr>
            <w:tcW w:w="1440" w:type="dxa"/>
          </w:tcPr>
          <w:p w:rsidR="007D0C8C" w:rsidRPr="00762F09" w:rsidRDefault="007D0C8C" w:rsidP="008D3F1B">
            <w:pPr>
              <w:spacing w:before="100" w:beforeAutospacing="1" w:after="100" w:afterAutospacing="1"/>
              <w:jc w:val="right"/>
            </w:pPr>
            <w:r>
              <w:t>8</w:t>
            </w:r>
            <w:r w:rsidR="008D3F1B">
              <w:t>34</w:t>
            </w:r>
            <w:r>
              <w:t>,</w:t>
            </w:r>
            <w:r w:rsidR="008D3F1B">
              <w:t>407</w:t>
            </w:r>
          </w:p>
        </w:tc>
      </w:tr>
      <w:tr w:rsidR="007D0C8C" w:rsidRPr="00762F09" w:rsidTr="007D0C8C">
        <w:tc>
          <w:tcPr>
            <w:tcW w:w="5220" w:type="dxa"/>
          </w:tcPr>
          <w:p w:rsidR="007D0C8C" w:rsidRPr="00762F09" w:rsidRDefault="007D0C8C" w:rsidP="002F3467">
            <w:pPr>
              <w:spacing w:before="100" w:beforeAutospacing="1" w:after="100" w:afterAutospacing="1"/>
              <w:ind w:right="-468"/>
            </w:pPr>
            <w:r w:rsidRPr="00762F09">
              <w:t>20</w:t>
            </w:r>
            <w:r>
              <w:t>1</w:t>
            </w:r>
            <w:r w:rsidR="000B63CB">
              <w:t>2</w:t>
            </w:r>
            <w:r w:rsidRPr="00762F09">
              <w:t xml:space="preserve"> </w:t>
            </w:r>
            <w:r w:rsidR="002F3467">
              <w:t>Enacted</w:t>
            </w:r>
          </w:p>
        </w:tc>
        <w:tc>
          <w:tcPr>
            <w:tcW w:w="1440" w:type="dxa"/>
          </w:tcPr>
          <w:p w:rsidR="007D0C8C" w:rsidRPr="00762F09" w:rsidRDefault="00EF295E" w:rsidP="00532888">
            <w:pPr>
              <w:spacing w:before="100" w:beforeAutospacing="1" w:after="100" w:afterAutospacing="1"/>
              <w:jc w:val="right"/>
            </w:pPr>
            <w:r>
              <w:t>3,</w:t>
            </w:r>
            <w:r w:rsidR="00532888">
              <w:t>826</w:t>
            </w:r>
          </w:p>
        </w:tc>
        <w:tc>
          <w:tcPr>
            <w:tcW w:w="1260" w:type="dxa"/>
          </w:tcPr>
          <w:p w:rsidR="007D0C8C" w:rsidRPr="00762F09" w:rsidRDefault="00EF295E" w:rsidP="00532888">
            <w:pPr>
              <w:spacing w:before="100" w:beforeAutospacing="1" w:after="100" w:afterAutospacing="1"/>
              <w:jc w:val="right"/>
            </w:pPr>
            <w:r>
              <w:t>3,</w:t>
            </w:r>
            <w:r w:rsidR="00532888">
              <w:t>769</w:t>
            </w:r>
          </w:p>
        </w:tc>
        <w:tc>
          <w:tcPr>
            <w:tcW w:w="1440" w:type="dxa"/>
          </w:tcPr>
          <w:p w:rsidR="007D0C8C" w:rsidRPr="00762F09" w:rsidRDefault="00F2451C" w:rsidP="00A1208F">
            <w:pPr>
              <w:spacing w:before="100" w:beforeAutospacing="1" w:after="100" w:afterAutospacing="1"/>
              <w:jc w:val="right"/>
            </w:pPr>
            <w:r>
              <w:t>875,520</w:t>
            </w:r>
          </w:p>
        </w:tc>
      </w:tr>
      <w:tr w:rsidR="007D0C8C" w:rsidRPr="00762F09" w:rsidTr="007D0C8C">
        <w:tc>
          <w:tcPr>
            <w:tcW w:w="5220" w:type="dxa"/>
          </w:tcPr>
          <w:p w:rsidR="007D0C8C" w:rsidRPr="00762F09" w:rsidRDefault="007D0C8C" w:rsidP="007D0C8C">
            <w:pPr>
              <w:spacing w:before="100" w:beforeAutospacing="1" w:after="100" w:afterAutospacing="1"/>
              <w:ind w:right="-468"/>
            </w:pPr>
            <w:r w:rsidRPr="00762F09">
              <w:t>Adjustments to Base and Technical Adjustments</w:t>
            </w:r>
          </w:p>
        </w:tc>
        <w:tc>
          <w:tcPr>
            <w:tcW w:w="1440" w:type="dxa"/>
          </w:tcPr>
          <w:p w:rsidR="007D0C8C" w:rsidRPr="00D02E43" w:rsidRDefault="00532888" w:rsidP="00A1208F">
            <w:pPr>
              <w:spacing w:before="100" w:beforeAutospacing="1" w:after="100" w:afterAutospacing="1"/>
              <w:jc w:val="right"/>
            </w:pPr>
            <w:r>
              <w:t>51</w:t>
            </w:r>
          </w:p>
        </w:tc>
        <w:tc>
          <w:tcPr>
            <w:tcW w:w="1260" w:type="dxa"/>
          </w:tcPr>
          <w:p w:rsidR="007D0C8C" w:rsidRPr="00D02E43" w:rsidRDefault="00532888" w:rsidP="00A1208F">
            <w:pPr>
              <w:spacing w:before="100" w:beforeAutospacing="1" w:after="100" w:afterAutospacing="1"/>
              <w:jc w:val="right"/>
            </w:pPr>
            <w:r>
              <w:t>50</w:t>
            </w:r>
          </w:p>
        </w:tc>
        <w:tc>
          <w:tcPr>
            <w:tcW w:w="1440" w:type="dxa"/>
          </w:tcPr>
          <w:p w:rsidR="007D0C8C" w:rsidRPr="00D02E43" w:rsidRDefault="00F2451C" w:rsidP="008D3F1B">
            <w:pPr>
              <w:spacing w:before="100" w:beforeAutospacing="1" w:after="100" w:afterAutospacing="1"/>
              <w:jc w:val="right"/>
            </w:pPr>
            <w:r>
              <w:t>21,</w:t>
            </w:r>
            <w:r w:rsidR="008D3F1B">
              <w:t>46</w:t>
            </w:r>
            <w:r w:rsidR="00532888">
              <w:t>1</w:t>
            </w:r>
          </w:p>
        </w:tc>
      </w:tr>
      <w:tr w:rsidR="007D0C8C" w:rsidRPr="00762F09" w:rsidTr="007D0C8C">
        <w:tc>
          <w:tcPr>
            <w:tcW w:w="5220" w:type="dxa"/>
          </w:tcPr>
          <w:p w:rsidR="007D0C8C" w:rsidRPr="00762F09" w:rsidRDefault="007D0C8C" w:rsidP="007D0C8C">
            <w:pPr>
              <w:spacing w:before="100" w:beforeAutospacing="1" w:after="100" w:afterAutospacing="1"/>
            </w:pPr>
            <w:r w:rsidRPr="00762F09">
              <w:t>201</w:t>
            </w:r>
            <w:r w:rsidR="000B63CB">
              <w:t>3</w:t>
            </w:r>
            <w:r w:rsidRPr="00762F09">
              <w:t xml:space="preserve"> Current Services</w:t>
            </w:r>
          </w:p>
        </w:tc>
        <w:tc>
          <w:tcPr>
            <w:tcW w:w="1440" w:type="dxa"/>
          </w:tcPr>
          <w:p w:rsidR="007D0C8C" w:rsidRPr="00143009" w:rsidRDefault="00F2451C" w:rsidP="00532888">
            <w:pPr>
              <w:spacing w:before="100" w:beforeAutospacing="1" w:after="100" w:afterAutospacing="1"/>
              <w:jc w:val="right"/>
              <w:rPr>
                <w:highlight w:val="yellow"/>
              </w:rPr>
            </w:pPr>
            <w:r>
              <w:t>3,</w:t>
            </w:r>
            <w:r w:rsidR="00532888">
              <w:t>877</w:t>
            </w:r>
          </w:p>
        </w:tc>
        <w:tc>
          <w:tcPr>
            <w:tcW w:w="1260" w:type="dxa"/>
          </w:tcPr>
          <w:p w:rsidR="007D0C8C" w:rsidRPr="00143009" w:rsidRDefault="00F2451C" w:rsidP="00532888">
            <w:pPr>
              <w:spacing w:before="100" w:beforeAutospacing="1" w:after="100" w:afterAutospacing="1"/>
              <w:jc w:val="right"/>
              <w:rPr>
                <w:highlight w:val="yellow"/>
              </w:rPr>
            </w:pPr>
            <w:r>
              <w:t>3,</w:t>
            </w:r>
            <w:r w:rsidR="00532888">
              <w:t>819</w:t>
            </w:r>
          </w:p>
        </w:tc>
        <w:tc>
          <w:tcPr>
            <w:tcW w:w="1440" w:type="dxa"/>
          </w:tcPr>
          <w:p w:rsidR="007D0C8C" w:rsidRPr="00143009" w:rsidRDefault="00F2451C" w:rsidP="008D3F1B">
            <w:pPr>
              <w:spacing w:before="100" w:beforeAutospacing="1" w:after="100" w:afterAutospacing="1"/>
              <w:jc w:val="right"/>
              <w:rPr>
                <w:highlight w:val="yellow"/>
              </w:rPr>
            </w:pPr>
            <w:r>
              <w:t>89</w:t>
            </w:r>
            <w:r w:rsidR="008D3F1B">
              <w:t>6,98</w:t>
            </w:r>
            <w:r w:rsidR="00532888">
              <w:t>1</w:t>
            </w:r>
          </w:p>
        </w:tc>
      </w:tr>
      <w:tr w:rsidR="007D0C8C" w:rsidRPr="00762F09" w:rsidTr="007D0C8C">
        <w:tc>
          <w:tcPr>
            <w:tcW w:w="5220" w:type="dxa"/>
          </w:tcPr>
          <w:p w:rsidR="007D0C8C" w:rsidRPr="00762F09" w:rsidRDefault="007D0C8C" w:rsidP="007D0C8C">
            <w:pPr>
              <w:spacing w:before="100" w:beforeAutospacing="1" w:after="100" w:afterAutospacing="1"/>
            </w:pPr>
            <w:r w:rsidRPr="00762F09">
              <w:t>201</w:t>
            </w:r>
            <w:r w:rsidR="000B63CB">
              <w:t>3</w:t>
            </w:r>
            <w:r w:rsidRPr="00762F09">
              <w:t xml:space="preserve"> </w:t>
            </w:r>
            <w:r>
              <w:t>Program Increases</w:t>
            </w:r>
          </w:p>
        </w:tc>
        <w:tc>
          <w:tcPr>
            <w:tcW w:w="1440" w:type="dxa"/>
          </w:tcPr>
          <w:p w:rsidR="007D0C8C" w:rsidRPr="00D02E43" w:rsidRDefault="00EF295E" w:rsidP="007D0C8C">
            <w:pPr>
              <w:spacing w:before="100" w:beforeAutospacing="1" w:after="100" w:afterAutospacing="1"/>
              <w:jc w:val="right"/>
            </w:pPr>
            <w:r>
              <w:t>0</w:t>
            </w:r>
          </w:p>
        </w:tc>
        <w:tc>
          <w:tcPr>
            <w:tcW w:w="1260" w:type="dxa"/>
          </w:tcPr>
          <w:p w:rsidR="007D0C8C" w:rsidRPr="00D02E43" w:rsidRDefault="00EF295E" w:rsidP="007D0C8C">
            <w:pPr>
              <w:spacing w:before="100" w:beforeAutospacing="1" w:after="100" w:afterAutospacing="1"/>
              <w:jc w:val="right"/>
            </w:pPr>
            <w:r>
              <w:t>0</w:t>
            </w:r>
          </w:p>
        </w:tc>
        <w:tc>
          <w:tcPr>
            <w:tcW w:w="1440" w:type="dxa"/>
          </w:tcPr>
          <w:p w:rsidR="007D0C8C" w:rsidRPr="00D02E43" w:rsidRDefault="00EF295E" w:rsidP="00A1208F">
            <w:pPr>
              <w:spacing w:before="100" w:beforeAutospacing="1" w:after="100" w:afterAutospacing="1"/>
              <w:jc w:val="right"/>
            </w:pPr>
            <w:r>
              <w:t>0</w:t>
            </w:r>
          </w:p>
        </w:tc>
      </w:tr>
      <w:tr w:rsidR="007D0C8C" w:rsidRPr="00762F09" w:rsidTr="007D0C8C">
        <w:tc>
          <w:tcPr>
            <w:tcW w:w="5220" w:type="dxa"/>
          </w:tcPr>
          <w:p w:rsidR="007D0C8C" w:rsidRPr="00762F09" w:rsidRDefault="007D0C8C" w:rsidP="007D0C8C">
            <w:pPr>
              <w:spacing w:before="100" w:beforeAutospacing="1" w:after="100" w:afterAutospacing="1"/>
            </w:pPr>
            <w:r>
              <w:t>201</w:t>
            </w:r>
            <w:r w:rsidR="000B63CB">
              <w:t>3</w:t>
            </w:r>
            <w:r>
              <w:t xml:space="preserve"> Program Offsets</w:t>
            </w:r>
          </w:p>
        </w:tc>
        <w:tc>
          <w:tcPr>
            <w:tcW w:w="1440" w:type="dxa"/>
          </w:tcPr>
          <w:p w:rsidR="007D0C8C" w:rsidRDefault="00F2451C" w:rsidP="007D0C8C">
            <w:pPr>
              <w:spacing w:before="100" w:beforeAutospacing="1" w:after="100" w:afterAutospacing="1"/>
              <w:jc w:val="right"/>
            </w:pPr>
            <w:r>
              <w:t>(125)</w:t>
            </w:r>
          </w:p>
        </w:tc>
        <w:tc>
          <w:tcPr>
            <w:tcW w:w="1260" w:type="dxa"/>
          </w:tcPr>
          <w:p w:rsidR="007D0C8C" w:rsidRDefault="00F2451C" w:rsidP="007D0C8C">
            <w:pPr>
              <w:spacing w:before="100" w:beforeAutospacing="1" w:after="100" w:afterAutospacing="1"/>
              <w:jc w:val="right"/>
            </w:pPr>
            <w:r>
              <w:t>(125)</w:t>
            </w:r>
          </w:p>
        </w:tc>
        <w:tc>
          <w:tcPr>
            <w:tcW w:w="1440" w:type="dxa"/>
          </w:tcPr>
          <w:p w:rsidR="007D0C8C" w:rsidRDefault="00F2451C" w:rsidP="00A1208F">
            <w:pPr>
              <w:spacing w:before="100" w:beforeAutospacing="1" w:after="100" w:afterAutospacing="1"/>
              <w:jc w:val="right"/>
            </w:pPr>
            <w:r>
              <w:t>(20,439)</w:t>
            </w:r>
          </w:p>
        </w:tc>
      </w:tr>
      <w:tr w:rsidR="007D0C8C" w:rsidRPr="00762F09" w:rsidTr="007D0C8C">
        <w:tc>
          <w:tcPr>
            <w:tcW w:w="5220" w:type="dxa"/>
          </w:tcPr>
          <w:p w:rsidR="007D0C8C" w:rsidRPr="00762F09" w:rsidRDefault="007D0C8C" w:rsidP="007D0C8C">
            <w:pPr>
              <w:spacing w:before="100" w:beforeAutospacing="1" w:after="100" w:afterAutospacing="1"/>
            </w:pPr>
            <w:r w:rsidRPr="00762F09">
              <w:t>201</w:t>
            </w:r>
            <w:r w:rsidR="000B63CB">
              <w:t>3</w:t>
            </w:r>
            <w:r w:rsidRPr="00762F09">
              <w:t xml:space="preserve"> Request</w:t>
            </w:r>
          </w:p>
        </w:tc>
        <w:tc>
          <w:tcPr>
            <w:tcW w:w="1440" w:type="dxa"/>
          </w:tcPr>
          <w:p w:rsidR="007D0C8C" w:rsidRPr="00D02E43" w:rsidRDefault="00F2451C" w:rsidP="00532888">
            <w:pPr>
              <w:spacing w:before="100" w:beforeAutospacing="1" w:after="100" w:afterAutospacing="1"/>
              <w:jc w:val="right"/>
            </w:pPr>
            <w:r>
              <w:t>3,</w:t>
            </w:r>
            <w:r w:rsidR="00532888">
              <w:t>752</w:t>
            </w:r>
          </w:p>
        </w:tc>
        <w:tc>
          <w:tcPr>
            <w:tcW w:w="1260" w:type="dxa"/>
          </w:tcPr>
          <w:p w:rsidR="007D0C8C" w:rsidRPr="00D02E43" w:rsidRDefault="00F2451C" w:rsidP="00532888">
            <w:pPr>
              <w:spacing w:before="100" w:beforeAutospacing="1" w:after="100" w:afterAutospacing="1"/>
              <w:jc w:val="right"/>
            </w:pPr>
            <w:r>
              <w:t>3,</w:t>
            </w:r>
            <w:r w:rsidR="00532888">
              <w:t>694</w:t>
            </w:r>
          </w:p>
        </w:tc>
        <w:tc>
          <w:tcPr>
            <w:tcW w:w="1440" w:type="dxa"/>
          </w:tcPr>
          <w:p w:rsidR="007D0C8C" w:rsidRPr="00D02E43" w:rsidRDefault="00F2451C" w:rsidP="008D3F1B">
            <w:pPr>
              <w:spacing w:before="100" w:beforeAutospacing="1" w:after="100" w:afterAutospacing="1"/>
              <w:jc w:val="right"/>
            </w:pPr>
            <w:r>
              <w:t>876,</w:t>
            </w:r>
            <w:r w:rsidR="008D3F1B">
              <w:t>542</w:t>
            </w:r>
          </w:p>
        </w:tc>
      </w:tr>
      <w:tr w:rsidR="007D0C8C" w:rsidRPr="00762F09" w:rsidTr="007D0C8C">
        <w:tc>
          <w:tcPr>
            <w:tcW w:w="5220" w:type="dxa"/>
            <w:shd w:val="clear" w:color="auto" w:fill="E0E0E0"/>
          </w:tcPr>
          <w:p w:rsidR="007D0C8C" w:rsidRPr="00143009" w:rsidRDefault="007D0C8C" w:rsidP="007D0C8C">
            <w:pPr>
              <w:spacing w:before="100" w:beforeAutospacing="1" w:after="100" w:afterAutospacing="1"/>
              <w:rPr>
                <w:b/>
                <w:bCs/>
              </w:rPr>
            </w:pPr>
            <w:r w:rsidRPr="00143009">
              <w:rPr>
                <w:b/>
                <w:bCs/>
              </w:rPr>
              <w:t>Total Change 201</w:t>
            </w:r>
            <w:r w:rsidR="000B63CB">
              <w:rPr>
                <w:b/>
                <w:bCs/>
              </w:rPr>
              <w:t>2</w:t>
            </w:r>
            <w:r w:rsidRPr="00143009">
              <w:rPr>
                <w:b/>
                <w:bCs/>
              </w:rPr>
              <w:t>-201</w:t>
            </w:r>
            <w:r w:rsidR="000B63CB">
              <w:rPr>
                <w:b/>
                <w:bCs/>
              </w:rPr>
              <w:t>3</w:t>
            </w:r>
          </w:p>
        </w:tc>
        <w:tc>
          <w:tcPr>
            <w:tcW w:w="1440" w:type="dxa"/>
            <w:shd w:val="clear" w:color="auto" w:fill="E0E0E0"/>
          </w:tcPr>
          <w:p w:rsidR="007D0C8C" w:rsidRPr="00143009" w:rsidRDefault="006D67E6" w:rsidP="00F2451C">
            <w:pPr>
              <w:spacing w:before="100" w:beforeAutospacing="1" w:after="100" w:afterAutospacing="1"/>
              <w:jc w:val="right"/>
              <w:rPr>
                <w:b/>
              </w:rPr>
            </w:pPr>
            <w:r>
              <w:rPr>
                <w:b/>
              </w:rPr>
              <w:t>(74</w:t>
            </w:r>
            <w:r w:rsidR="00F2451C">
              <w:rPr>
                <w:b/>
              </w:rPr>
              <w:t>)</w:t>
            </w:r>
          </w:p>
        </w:tc>
        <w:tc>
          <w:tcPr>
            <w:tcW w:w="1260" w:type="dxa"/>
            <w:shd w:val="clear" w:color="auto" w:fill="E0E0E0"/>
          </w:tcPr>
          <w:p w:rsidR="007D0C8C" w:rsidRPr="00143009" w:rsidRDefault="006D67E6" w:rsidP="00F2451C">
            <w:pPr>
              <w:spacing w:before="100" w:beforeAutospacing="1" w:after="100" w:afterAutospacing="1"/>
              <w:jc w:val="right"/>
              <w:rPr>
                <w:b/>
              </w:rPr>
            </w:pPr>
            <w:r>
              <w:rPr>
                <w:b/>
              </w:rPr>
              <w:t>(75</w:t>
            </w:r>
            <w:r w:rsidR="00F2451C">
              <w:rPr>
                <w:b/>
              </w:rPr>
              <w:t>)</w:t>
            </w:r>
          </w:p>
        </w:tc>
        <w:tc>
          <w:tcPr>
            <w:tcW w:w="1440" w:type="dxa"/>
            <w:shd w:val="clear" w:color="auto" w:fill="E0E0E0"/>
          </w:tcPr>
          <w:p w:rsidR="007D0C8C" w:rsidRPr="00143009" w:rsidRDefault="00F2451C" w:rsidP="008D3F1B">
            <w:pPr>
              <w:spacing w:before="100" w:beforeAutospacing="1" w:after="100" w:afterAutospacing="1"/>
              <w:jc w:val="right"/>
              <w:rPr>
                <w:b/>
              </w:rPr>
            </w:pPr>
            <w:r>
              <w:rPr>
                <w:b/>
              </w:rPr>
              <w:t>1,</w:t>
            </w:r>
            <w:r w:rsidR="008D3F1B">
              <w:rPr>
                <w:b/>
              </w:rPr>
              <w:t>022</w:t>
            </w:r>
          </w:p>
        </w:tc>
      </w:tr>
    </w:tbl>
    <w:p w:rsidR="007D0C8C" w:rsidRPr="00762F09" w:rsidRDefault="007D0C8C" w:rsidP="007D0C8C">
      <w:pPr>
        <w:spacing w:before="100" w:beforeAutospacing="1" w:after="100" w:afterAutospacing="1"/>
        <w:rPr>
          <w:b/>
        </w:rPr>
      </w:pPr>
      <w:r w:rsidRPr="00762F09">
        <w:rPr>
          <w:b/>
          <w:bCs/>
        </w:rPr>
        <w:t>1.  Program Description</w:t>
      </w:r>
    </w:p>
    <w:p w:rsidR="007D0C8C" w:rsidRDefault="007D0C8C" w:rsidP="007D0C8C">
      <w:r w:rsidRPr="00114140">
        <w:t xml:space="preserve">ATF addresses </w:t>
      </w:r>
      <w:r>
        <w:t xml:space="preserve">firearms-related </w:t>
      </w:r>
      <w:r w:rsidRPr="00114140">
        <w:t xml:space="preserve">violent crime </w:t>
      </w:r>
      <w:r>
        <w:t>by enforcing</w:t>
      </w:r>
      <w:r w:rsidRPr="00114140">
        <w:t xml:space="preserve"> </w:t>
      </w:r>
      <w:r w:rsidR="00D31D89">
        <w:t>Federal</w:t>
      </w:r>
      <w:r w:rsidRPr="00114140">
        <w:t xml:space="preserve"> laws and regulations.  </w:t>
      </w:r>
      <w:r>
        <w:t>We</w:t>
      </w:r>
      <w:r w:rsidRPr="00114140">
        <w:t xml:space="preserve"> ensure</w:t>
      </w:r>
      <w:r>
        <w:t xml:space="preserve"> that</w:t>
      </w:r>
      <w:r w:rsidRPr="00114140">
        <w:t xml:space="preserve"> </w:t>
      </w:r>
      <w:r w:rsidR="00D31D89">
        <w:t>Federal</w:t>
      </w:r>
      <w:r w:rsidRPr="00114140">
        <w:t xml:space="preserve"> </w:t>
      </w:r>
      <w:r w:rsidRPr="002E02BB">
        <w:t>Firearms Licensees</w:t>
      </w:r>
      <w:r>
        <w:rPr>
          <w:color w:val="5F497A" w:themeColor="accent4" w:themeShade="BF"/>
        </w:rPr>
        <w:t xml:space="preserve"> </w:t>
      </w:r>
      <w:r w:rsidRPr="00114140">
        <w:t>(FFL</w:t>
      </w:r>
      <w:r w:rsidR="00535BFC">
        <w:t>s</w:t>
      </w:r>
      <w:r w:rsidRPr="00114140">
        <w:t>) comply with applicable laws and regulations</w:t>
      </w:r>
      <w:r>
        <w:t>, and we</w:t>
      </w:r>
      <w:r w:rsidRPr="00114140">
        <w:t xml:space="preserve"> educate and </w:t>
      </w:r>
      <w:r w:rsidR="00986DB9">
        <w:t>recommend</w:t>
      </w:r>
      <w:r w:rsidRPr="00114140">
        <w:t xml:space="preserve"> </w:t>
      </w:r>
      <w:r>
        <w:t>industry members</w:t>
      </w:r>
      <w:r w:rsidRPr="00114140">
        <w:t xml:space="preserve"> implement voluntary controls and cooperate with law enforcement officials.  ATF’s regulatory function is a key component in </w:t>
      </w:r>
      <w:r>
        <w:t>our</w:t>
      </w:r>
      <w:r w:rsidRPr="00114140">
        <w:t xml:space="preserve"> effort to stem the flow of firearms to prohibited persons and criminal organizations.  </w:t>
      </w:r>
    </w:p>
    <w:p w:rsidR="007D0C8C" w:rsidRDefault="00440E5A" w:rsidP="007D0C8C">
      <w:r>
        <w:rPr>
          <w:noProof/>
        </w:rPr>
        <w:drawing>
          <wp:anchor distT="0" distB="0" distL="114300" distR="114300" simplePos="0" relativeHeight="251674624" behindDoc="1" locked="0" layoutInCell="1" allowOverlap="1">
            <wp:simplePos x="0" y="0"/>
            <wp:positionH relativeFrom="column">
              <wp:posOffset>19050</wp:posOffset>
            </wp:positionH>
            <wp:positionV relativeFrom="paragraph">
              <wp:posOffset>144145</wp:posOffset>
            </wp:positionV>
            <wp:extent cx="3771265" cy="2771775"/>
            <wp:effectExtent l="19050" t="0" r="635" b="0"/>
            <wp:wrapTight wrapText="bothSides">
              <wp:wrapPolygon edited="0">
                <wp:start x="-109" y="0"/>
                <wp:lineTo x="-109" y="21526"/>
                <wp:lineTo x="21604" y="21526"/>
                <wp:lineTo x="21604" y="0"/>
                <wp:lineTo x="-109" y="0"/>
              </wp:wrapPolygon>
            </wp:wrapTight>
            <wp:docPr id="20" name="Picture 4" descr="The graphic on page 14 shows the Federal Firearms Licensee (FFL) Population  from FY 2007 to FY 2011.  The FFL population has grown from approximately 109,000 in FY 2007 to over 123,000 in FY 2011.  ATF is responsible for regulatory oversight of FF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a:off x="0" y="0"/>
                      <a:ext cx="3771265" cy="2771775"/>
                    </a:xfrm>
                    <a:prstGeom prst="rect">
                      <a:avLst/>
                    </a:prstGeom>
                    <a:noFill/>
                    <a:ln w="9525">
                      <a:noFill/>
                      <a:miter lim="800000"/>
                      <a:headEnd/>
                      <a:tailEnd/>
                    </a:ln>
                  </pic:spPr>
                </pic:pic>
              </a:graphicData>
            </a:graphic>
          </wp:anchor>
        </w:drawing>
      </w:r>
    </w:p>
    <w:p w:rsidR="005152E7" w:rsidRDefault="007D0C8C" w:rsidP="007D0C8C">
      <w:r w:rsidRPr="00114140">
        <w:t xml:space="preserve">ATF regulates the manufacture, importation, and sale of firearms in the </w:t>
      </w:r>
      <w:r>
        <w:t xml:space="preserve">United </w:t>
      </w:r>
      <w:r w:rsidR="00D31D89">
        <w:t>State</w:t>
      </w:r>
      <w:r>
        <w:t>s</w:t>
      </w:r>
      <w:r w:rsidRPr="00114140">
        <w:t xml:space="preserve">. </w:t>
      </w:r>
      <w:r>
        <w:t xml:space="preserve"> ATF</w:t>
      </w:r>
      <w:r w:rsidRPr="00114140">
        <w:t xml:space="preserve"> </w:t>
      </w:r>
      <w:r>
        <w:t>investigates</w:t>
      </w:r>
      <w:r w:rsidRPr="00114140">
        <w:t xml:space="preserve"> FFL applicants to determine their eligibility to engage in a firearms business, and educate</w:t>
      </w:r>
      <w:r>
        <w:t>s</w:t>
      </w:r>
      <w:r w:rsidRPr="00114140">
        <w:t xml:space="preserve"> licensees on their </w:t>
      </w:r>
      <w:r>
        <w:t xml:space="preserve">legal </w:t>
      </w:r>
      <w:r w:rsidRPr="00114140">
        <w:t xml:space="preserve">responsibilities.  </w:t>
      </w:r>
      <w:r>
        <w:t>ATF</w:t>
      </w:r>
      <w:r w:rsidRPr="00114140">
        <w:t xml:space="preserve"> enforce</w:t>
      </w:r>
      <w:r>
        <w:t>s</w:t>
      </w:r>
      <w:r w:rsidRPr="00114140">
        <w:t xml:space="preserve"> the Brady Law, which require</w:t>
      </w:r>
      <w:r>
        <w:t>s</w:t>
      </w:r>
      <w:r w:rsidRPr="00114140">
        <w:t xml:space="preserve"> that all </w:t>
      </w:r>
      <w:r>
        <w:t>FFL</w:t>
      </w:r>
      <w:r w:rsidRPr="00114140">
        <w:t xml:space="preserve"> sales to non-licensed individuals include a background check to ensure that the purchaser is not a felon or other prohibited person.  </w:t>
      </w:r>
      <w:r>
        <w:t xml:space="preserve">ATF requires that </w:t>
      </w:r>
      <w:r w:rsidRPr="00114140">
        <w:t>FFLs maintain records of their acquisition and disposition of firearms.  ATF has the authority to request information from these records to assist</w:t>
      </w:r>
      <w:r>
        <w:t xml:space="preserve"> with criminal investigations</w:t>
      </w:r>
      <w:r w:rsidR="005152E7">
        <w:t>.</w:t>
      </w:r>
    </w:p>
    <w:p w:rsidR="006D67E6" w:rsidRDefault="006D67E6" w:rsidP="006B753A"/>
    <w:p w:rsidR="007D0C8C" w:rsidRDefault="007D0C8C" w:rsidP="006B753A">
      <w:r w:rsidRPr="00114140">
        <w:t>Through this regulatory framework, ATF track</w:t>
      </w:r>
      <w:r>
        <w:t>s</w:t>
      </w:r>
      <w:r w:rsidRPr="00114140">
        <w:t xml:space="preserve"> each firearm </w:t>
      </w:r>
      <w:r w:rsidR="00BA6AC6" w:rsidRPr="00114140">
        <w:t xml:space="preserve">recovered </w:t>
      </w:r>
      <w:r w:rsidR="00BA6AC6">
        <w:t xml:space="preserve">in a crime </w:t>
      </w:r>
      <w:r w:rsidRPr="00114140">
        <w:t xml:space="preserve">from its point of manufacture or importation </w:t>
      </w:r>
      <w:r w:rsidR="00986DB9">
        <w:t xml:space="preserve">through the chain of distribution </w:t>
      </w:r>
      <w:r w:rsidRPr="00114140">
        <w:t xml:space="preserve">to the point of first retail sale, </w:t>
      </w:r>
      <w:r w:rsidR="002174F0" w:rsidRPr="00DC71E0">
        <w:t xml:space="preserve">a </w:t>
      </w:r>
      <w:r w:rsidR="002174F0" w:rsidRPr="00DC71E0">
        <w:lastRenderedPageBreak/>
        <w:t>process known as “tracing.”</w:t>
      </w:r>
      <w:r w:rsidRPr="00114140">
        <w:t xml:space="preserve">  By tracing all crime gun recoveries submitted to ATF, investigators are able to discern patterns of persons purchasing firearms, locations of purchase, and weapon types</w:t>
      </w:r>
      <w:r>
        <w:t>.  These patterns</w:t>
      </w:r>
      <w:r w:rsidRPr="00114140">
        <w:t xml:space="preserve"> provide invaluable leads in </w:t>
      </w:r>
      <w:r>
        <w:t xml:space="preserve">identifying </w:t>
      </w:r>
      <w:r w:rsidRPr="00114140">
        <w:t xml:space="preserve">persons </w:t>
      </w:r>
      <w:r>
        <w:t>who divert</w:t>
      </w:r>
      <w:r w:rsidRPr="00114140">
        <w:t xml:space="preserve"> firearms into illegal commerce.  By identifying and targeting these persons, ATF stem</w:t>
      </w:r>
      <w:r>
        <w:t>s</w:t>
      </w:r>
      <w:r w:rsidRPr="00114140">
        <w:t xml:space="preserve"> the flow of illegal guns and make</w:t>
      </w:r>
      <w:r>
        <w:t>s</w:t>
      </w:r>
      <w:r w:rsidRPr="00114140">
        <w:t xml:space="preserve"> it difficult for convicted felons, drug traffickers, or gang members to obtain firearm</w:t>
      </w:r>
      <w:r>
        <w:t>s</w:t>
      </w:r>
      <w:r w:rsidRPr="00114140">
        <w:t xml:space="preserve"> </w:t>
      </w:r>
      <w:r>
        <w:t>for use</w:t>
      </w:r>
      <w:r w:rsidRPr="00114140">
        <w:t xml:space="preserve"> in violent crimes.  Moreover, by connecting a firearm to a gun trafficker, ATF </w:t>
      </w:r>
      <w:r w:rsidR="008A1F63">
        <w:t xml:space="preserve">links </w:t>
      </w:r>
      <w:r w:rsidRPr="00114140">
        <w:t>firearms sold by that trafficker to those who use firearms in violent crime</w:t>
      </w:r>
      <w:r>
        <w:t>s</w:t>
      </w:r>
      <w:r w:rsidRPr="00114140">
        <w:t>.</w:t>
      </w:r>
    </w:p>
    <w:p w:rsidR="006B753A" w:rsidRDefault="006B753A" w:rsidP="007D0C8C">
      <w:pPr>
        <w:rPr>
          <w:b/>
          <w:i/>
        </w:rPr>
      </w:pPr>
    </w:p>
    <w:p w:rsidR="007D0C8C" w:rsidRPr="000E69A2" w:rsidRDefault="007D0C8C" w:rsidP="007D0C8C">
      <w:pPr>
        <w:rPr>
          <w:b/>
          <w:i/>
        </w:rPr>
      </w:pPr>
      <w:r w:rsidRPr="000E69A2">
        <w:rPr>
          <w:b/>
          <w:i/>
        </w:rPr>
        <w:t>ATF’s Integrated Violence Reduction Strategy (IVRS)</w:t>
      </w:r>
    </w:p>
    <w:p w:rsidR="007D0C8C" w:rsidRDefault="007D0C8C" w:rsidP="007D0C8C"/>
    <w:p w:rsidR="007D0C8C" w:rsidRDefault="007841C1" w:rsidP="007D0C8C">
      <w:r w:rsidRPr="005E2A4F">
        <w:t xml:space="preserve">According to the Centers for Disease Control’s National Center for Injury Prevention and Control, </w:t>
      </w:r>
      <w:r w:rsidR="005E2A4F" w:rsidRPr="005E2A4F">
        <w:t>44,466 people were assaulted with a firearm U</w:t>
      </w:r>
      <w:r w:rsidRPr="005E2A4F">
        <w:t xml:space="preserve">nited </w:t>
      </w:r>
      <w:r w:rsidR="00C36545" w:rsidRPr="005E2A4F">
        <w:t xml:space="preserve">States </w:t>
      </w:r>
      <w:r w:rsidRPr="005E2A4F">
        <w:t>in 200</w:t>
      </w:r>
      <w:r w:rsidR="005E2A4F" w:rsidRPr="005E2A4F">
        <w:t>9</w:t>
      </w:r>
      <w:r w:rsidRPr="005E2A4F">
        <w:t xml:space="preserve">, the latest year’s data available.  That equates to </w:t>
      </w:r>
      <w:r w:rsidR="005E2A4F" w:rsidRPr="005E2A4F">
        <w:t>122</w:t>
      </w:r>
      <w:r w:rsidRPr="005E2A4F">
        <w:t xml:space="preserve"> people </w:t>
      </w:r>
      <w:r w:rsidR="005E2A4F" w:rsidRPr="005E2A4F">
        <w:t>feloniously shot each day, of which 33 die.</w:t>
      </w:r>
      <w:r w:rsidRPr="005E2A4F">
        <w:t xml:space="preserve">  </w:t>
      </w:r>
      <w:r w:rsidR="007D0C8C" w:rsidRPr="005E2A4F">
        <w:t>Firearms-related violent crimes, while fueled by various causes, often relate to</w:t>
      </w:r>
      <w:r w:rsidR="00E338ED" w:rsidRPr="005E2A4F">
        <w:t>,</w:t>
      </w:r>
      <w:r w:rsidR="007D0C8C" w:rsidRPr="005E2A4F">
        <w:t xml:space="preserve"> or stem from unlawful diversion of firearms from legal commerce into the hands of prohibited individuals who then leverage firearms acquisition to fund terrorism or to support drug or organized crime enterprises.</w:t>
      </w:r>
      <w:r w:rsidR="007D0C8C" w:rsidRPr="00114140">
        <w:t xml:space="preserve">  </w:t>
      </w:r>
    </w:p>
    <w:p w:rsidR="007D0C8C" w:rsidRPr="005E2A4F" w:rsidRDefault="007D0C8C" w:rsidP="007D0C8C">
      <w:pPr>
        <w:pStyle w:val="BodyText"/>
        <w:spacing w:before="100" w:beforeAutospacing="1" w:after="100" w:afterAutospacing="1"/>
      </w:pPr>
      <w:r w:rsidRPr="005E2A4F">
        <w:t xml:space="preserve">IVRS breaks this link by enforcing firearms laws to remove violent offenders from our communities, keeping firearms from prohibited possessors, </w:t>
      </w:r>
      <w:r w:rsidR="00C261E6" w:rsidRPr="005E2A4F">
        <w:t xml:space="preserve">halting </w:t>
      </w:r>
      <w:r w:rsidRPr="005E2A4F">
        <w:t xml:space="preserve">illegal weapons transfers, </w:t>
      </w:r>
      <w:r w:rsidR="00C261E6" w:rsidRPr="005E2A4F">
        <w:t xml:space="preserve">eliminating </w:t>
      </w:r>
      <w:r w:rsidRPr="005E2A4F">
        <w:t xml:space="preserve">illegal sources of firearms, and pursuing outreach and prevention efforts.  The IVRS builds upon traditional enforcement efforts with </w:t>
      </w:r>
      <w:r w:rsidR="00D31D89" w:rsidRPr="005E2A4F">
        <w:t>state</w:t>
      </w:r>
      <w:r w:rsidRPr="005E2A4F">
        <w:t xml:space="preserve">-of-the-art ballistic imaging technology, </w:t>
      </w:r>
      <w:r w:rsidR="002174F0" w:rsidRPr="005E2A4F">
        <w:t>firearms tracing</w:t>
      </w:r>
      <w:r w:rsidRPr="005E2A4F">
        <w:t>, intelligence and information sharing.</w:t>
      </w:r>
    </w:p>
    <w:p w:rsidR="007D0C8C" w:rsidRPr="00762F09" w:rsidRDefault="00AE2F6F" w:rsidP="007D0C8C">
      <w:pPr>
        <w:pStyle w:val="BodyText"/>
        <w:spacing w:before="100" w:beforeAutospacing="1" w:after="100" w:afterAutospacing="1"/>
      </w:pPr>
      <w:r>
        <w:t>This is accomplished by:</w:t>
      </w:r>
    </w:p>
    <w:p w:rsidR="007D0C8C" w:rsidRPr="00762F09" w:rsidRDefault="007D0C8C" w:rsidP="007D0C8C">
      <w:pPr>
        <w:pStyle w:val="BodyText"/>
        <w:numPr>
          <w:ilvl w:val="0"/>
          <w:numId w:val="9"/>
        </w:numPr>
        <w:spacing w:before="100" w:beforeAutospacing="1" w:after="100" w:afterAutospacing="1"/>
        <w:rPr>
          <w:bCs/>
        </w:rPr>
      </w:pPr>
      <w:r w:rsidRPr="00762F09">
        <w:rPr>
          <w:bCs/>
        </w:rPr>
        <w:t xml:space="preserve">Partnering with </w:t>
      </w:r>
      <w:r w:rsidR="00D31D89">
        <w:rPr>
          <w:bCs/>
        </w:rPr>
        <w:t>Federal</w:t>
      </w:r>
      <w:r w:rsidR="008A1F63">
        <w:rPr>
          <w:bCs/>
        </w:rPr>
        <w:t xml:space="preserve">, </w:t>
      </w:r>
      <w:r w:rsidR="00D31D89">
        <w:rPr>
          <w:bCs/>
        </w:rPr>
        <w:t>state</w:t>
      </w:r>
      <w:r w:rsidR="008A1F63">
        <w:rPr>
          <w:bCs/>
        </w:rPr>
        <w:t xml:space="preserve">, local and tribal </w:t>
      </w:r>
      <w:r w:rsidRPr="00762F09">
        <w:rPr>
          <w:bCs/>
        </w:rPr>
        <w:t>law enforcement agencies and prosecutors to develop focused enforcement strategies to investigate, arrest, and prosecute violent offenders and illegal domestic and international firearms traffickers.</w:t>
      </w:r>
    </w:p>
    <w:p w:rsidR="007D0C8C" w:rsidRPr="00762F09" w:rsidRDefault="007D0C8C" w:rsidP="007D0C8C">
      <w:pPr>
        <w:pStyle w:val="BodyText"/>
        <w:numPr>
          <w:ilvl w:val="0"/>
          <w:numId w:val="9"/>
        </w:numPr>
        <w:spacing w:before="100" w:beforeAutospacing="1" w:after="100" w:afterAutospacing="1"/>
        <w:rPr>
          <w:bCs/>
        </w:rPr>
      </w:pPr>
      <w:r w:rsidRPr="00762F09">
        <w:rPr>
          <w:bCs/>
        </w:rPr>
        <w:t>Providing leadership within the law enforcement community to effectively solve violent crimes using specialized resources, technology, and training.</w:t>
      </w:r>
    </w:p>
    <w:p w:rsidR="007D0C8C" w:rsidRPr="00762F09" w:rsidRDefault="007841C1" w:rsidP="007D0C8C">
      <w:pPr>
        <w:pStyle w:val="BodyText"/>
        <w:numPr>
          <w:ilvl w:val="0"/>
          <w:numId w:val="9"/>
        </w:numPr>
        <w:spacing w:before="100" w:beforeAutospacing="1" w:after="100" w:afterAutospacing="1"/>
        <w:rPr>
          <w:bCs/>
        </w:rPr>
      </w:pPr>
      <w:r>
        <w:rPr>
          <w:bCs/>
        </w:rPr>
        <w:t>Ensuring</w:t>
      </w:r>
      <w:r w:rsidR="007D0C8C" w:rsidRPr="00762F09">
        <w:rPr>
          <w:bCs/>
        </w:rPr>
        <w:t xml:space="preserve"> FFLs </w:t>
      </w:r>
      <w:r>
        <w:rPr>
          <w:bCs/>
        </w:rPr>
        <w:t>implement</w:t>
      </w:r>
      <w:r w:rsidR="007D0C8C" w:rsidRPr="00762F09">
        <w:rPr>
          <w:bCs/>
        </w:rPr>
        <w:t xml:space="preserve"> </w:t>
      </w:r>
      <w:r>
        <w:rPr>
          <w:bCs/>
        </w:rPr>
        <w:t xml:space="preserve">accountable </w:t>
      </w:r>
      <w:r w:rsidR="007D0C8C" w:rsidRPr="00762F09">
        <w:rPr>
          <w:bCs/>
        </w:rPr>
        <w:t xml:space="preserve">recordkeeping and business practices </w:t>
      </w:r>
      <w:r>
        <w:rPr>
          <w:bCs/>
        </w:rPr>
        <w:t xml:space="preserve">to </w:t>
      </w:r>
      <w:r w:rsidR="007D0C8C" w:rsidRPr="00762F09">
        <w:rPr>
          <w:bCs/>
        </w:rPr>
        <w:t>prevent the acquisition of firearms by prohibited persons.</w:t>
      </w:r>
    </w:p>
    <w:p w:rsidR="007D0C8C" w:rsidRPr="00762F09" w:rsidRDefault="007841C1" w:rsidP="007D0C8C">
      <w:pPr>
        <w:pStyle w:val="BodyText"/>
        <w:numPr>
          <w:ilvl w:val="0"/>
          <w:numId w:val="9"/>
        </w:numPr>
        <w:spacing w:before="100" w:beforeAutospacing="1" w:after="100" w:afterAutospacing="1"/>
        <w:rPr>
          <w:b/>
        </w:rPr>
      </w:pPr>
      <w:r>
        <w:rPr>
          <w:bCs/>
        </w:rPr>
        <w:t xml:space="preserve">Meeting with industry leaders to communicate firearms issues and government concerns through industry outreach. </w:t>
      </w:r>
    </w:p>
    <w:p w:rsidR="007D0C8C" w:rsidRPr="00762F09" w:rsidRDefault="007D0C8C" w:rsidP="007D0C8C">
      <w:pPr>
        <w:pStyle w:val="Heading2"/>
        <w:spacing w:before="100" w:beforeAutospacing="1" w:after="100" w:afterAutospacing="1"/>
        <w:rPr>
          <w:rFonts w:ascii="Times New Roman" w:hAnsi="Times New Roman" w:cs="Times New Roman"/>
          <w:sz w:val="24"/>
          <w:szCs w:val="24"/>
        </w:rPr>
      </w:pPr>
      <w:r w:rsidRPr="004B0B95">
        <w:rPr>
          <w:rFonts w:ascii="Times New Roman" w:hAnsi="Times New Roman" w:cs="Times New Roman"/>
          <w:sz w:val="24"/>
          <w:szCs w:val="24"/>
        </w:rPr>
        <w:t>Reducing Violence through the Interdiction and Prevention of Firearms Trafficking</w:t>
      </w:r>
    </w:p>
    <w:p w:rsidR="00D34284" w:rsidRPr="00B07415" w:rsidRDefault="00D34284" w:rsidP="00D34284">
      <w:pPr>
        <w:rPr>
          <w:color w:val="000000" w:themeColor="text1"/>
        </w:rPr>
      </w:pPr>
      <w:r>
        <w:t xml:space="preserve">ATF </w:t>
      </w:r>
      <w:r w:rsidRPr="00114140">
        <w:t xml:space="preserve">focuses on </w:t>
      </w:r>
      <w:r>
        <w:t xml:space="preserve">prohibiting access by individuals </w:t>
      </w:r>
      <w:r w:rsidRPr="00B07415">
        <w:rPr>
          <w:color w:val="000000" w:themeColor="text1"/>
        </w:rPr>
        <w:t>who cannot legally obtain a firearm</w:t>
      </w:r>
      <w:r w:rsidRPr="00114140">
        <w:t xml:space="preserve"> </w:t>
      </w:r>
      <w:r>
        <w:t xml:space="preserve">at regulated retailers and secondary markets such as gun shows, </w:t>
      </w:r>
      <w:r w:rsidRPr="00B07415">
        <w:rPr>
          <w:color w:val="000000" w:themeColor="text1"/>
        </w:rPr>
        <w:t>flea markets</w:t>
      </w:r>
      <w:r>
        <w:t xml:space="preserve">, and the Internet. </w:t>
      </w:r>
    </w:p>
    <w:p w:rsidR="007D0C8C" w:rsidRDefault="007D0C8C" w:rsidP="007D0C8C">
      <w:r w:rsidRPr="00114140">
        <w:t>ATF’s statutory authority and long experience regulating the firearms industry</w:t>
      </w:r>
      <w:r>
        <w:t>, together with its</w:t>
      </w:r>
      <w:r w:rsidRPr="00114140">
        <w:t xml:space="preserve"> unique technical/forensic capabilities</w:t>
      </w:r>
      <w:r>
        <w:t>,</w:t>
      </w:r>
      <w:r w:rsidRPr="00114140">
        <w:t xml:space="preserve"> make ATF the </w:t>
      </w:r>
      <w:r w:rsidR="00D31D89">
        <w:t>Federal</w:t>
      </w:r>
      <w:r w:rsidRPr="00114140">
        <w:t xml:space="preserve"> authority on </w:t>
      </w:r>
      <w:r w:rsidR="00023FF8">
        <w:t xml:space="preserve">illegal </w:t>
      </w:r>
      <w:r w:rsidRPr="00114140">
        <w:t>firearms trafficking and investigations.</w:t>
      </w:r>
      <w:r>
        <w:t xml:space="preserve">  </w:t>
      </w:r>
    </w:p>
    <w:p w:rsidR="00D34284" w:rsidRDefault="00D34284" w:rsidP="007D0C8C"/>
    <w:p w:rsidR="007D0C8C" w:rsidRPr="005E2A4F" w:rsidRDefault="007D0C8C" w:rsidP="007D0C8C">
      <w:r w:rsidRPr="005E2A4F">
        <w:t xml:space="preserve">ATF traces the movement of firearms from legal to illegal commerce, from source area to market area, </w:t>
      </w:r>
      <w:r w:rsidR="00401A7C" w:rsidRPr="005E2A4F">
        <w:t xml:space="preserve">and </w:t>
      </w:r>
      <w:r w:rsidRPr="005E2A4F">
        <w:t xml:space="preserve">from trafficker to triggerman.  ATF agents, </w:t>
      </w:r>
      <w:r w:rsidR="00D34284" w:rsidRPr="005E2A4F">
        <w:t>Industry Operations Investigators (</w:t>
      </w:r>
      <w:r w:rsidRPr="005E2A4F">
        <w:t>IOIs</w:t>
      </w:r>
      <w:r w:rsidR="00D34284" w:rsidRPr="005E2A4F">
        <w:t>)</w:t>
      </w:r>
      <w:r w:rsidRPr="005E2A4F">
        <w:t xml:space="preserve">, and </w:t>
      </w:r>
      <w:r w:rsidR="00D31D89" w:rsidRPr="005E2A4F">
        <w:t>Federal</w:t>
      </w:r>
      <w:r w:rsidRPr="005E2A4F">
        <w:t xml:space="preserve"> prosecutors work together in a source area</w:t>
      </w:r>
      <w:r w:rsidR="001903BD" w:rsidRPr="005E2A4F">
        <w:t xml:space="preserve"> </w:t>
      </w:r>
      <w:r w:rsidRPr="005E2A4F">
        <w:t xml:space="preserve">to deliver a major impact on violent crime </w:t>
      </w:r>
      <w:r w:rsidRPr="005E2A4F">
        <w:lastRenderedPageBreak/>
        <w:t xml:space="preserve">and gang violence in </w:t>
      </w:r>
      <w:r w:rsidR="00C261E6" w:rsidRPr="005E2A4F">
        <w:t xml:space="preserve">the respective </w:t>
      </w:r>
      <w:r w:rsidRPr="005E2A4F">
        <w:t>market area</w:t>
      </w:r>
      <w:r w:rsidR="006B5E6B" w:rsidRPr="005E2A4F">
        <w:t>, often thousands of miles away.</w:t>
      </w:r>
      <w:r w:rsidRPr="005E2A4F">
        <w:t xml:space="preserve">  </w:t>
      </w:r>
      <w:r w:rsidR="00D34284" w:rsidRPr="005E2A4F">
        <w:t xml:space="preserve">These are often complex investigations targeting trafficking networks involving multiple sources, T-III </w:t>
      </w:r>
      <w:r w:rsidR="005E7548" w:rsidRPr="005E2A4F">
        <w:t>interceptions,</w:t>
      </w:r>
      <w:r w:rsidR="00D34284" w:rsidRPr="005E2A4F">
        <w:t xml:space="preserve"> undercover surveillance and developing sources of information.  </w:t>
      </w:r>
      <w:r w:rsidRPr="005E2A4F">
        <w:t>Dismantling a gun trafficking organization wherever it operates</w:t>
      </w:r>
      <w:r w:rsidR="00C2670A" w:rsidRPr="005E2A4F">
        <w:t>,</w:t>
      </w:r>
      <w:r w:rsidRPr="005E2A4F">
        <w:t xml:space="preserve"> impacts the ability of criminals to threaten or harm our communities across the country.</w:t>
      </w:r>
    </w:p>
    <w:p w:rsidR="007D0C8C" w:rsidRDefault="007D0C8C" w:rsidP="007D0C8C"/>
    <w:p w:rsidR="007D0C8C" w:rsidRPr="005E2A4F" w:rsidRDefault="00D34284" w:rsidP="007D0C8C">
      <w:r w:rsidRPr="005E2A4F">
        <w:t xml:space="preserve">The </w:t>
      </w:r>
      <w:r w:rsidR="002174F0" w:rsidRPr="005E2A4F">
        <w:t>ATF National Tracing Center (NTC)</w:t>
      </w:r>
      <w:r w:rsidRPr="005E2A4F">
        <w:t xml:space="preserve"> </w:t>
      </w:r>
      <w:r w:rsidR="007D0C8C" w:rsidRPr="005E2A4F">
        <w:t xml:space="preserve">is the only </w:t>
      </w:r>
      <w:r w:rsidRPr="005E2A4F">
        <w:t xml:space="preserve">Federal </w:t>
      </w:r>
      <w:r w:rsidR="007D0C8C" w:rsidRPr="005E2A4F">
        <w:t xml:space="preserve">law enforcement entity </w:t>
      </w:r>
      <w:r w:rsidR="00401A7C" w:rsidRPr="005E2A4F">
        <w:t>that</w:t>
      </w:r>
      <w:r w:rsidR="007D0C8C" w:rsidRPr="005E2A4F">
        <w:t xml:space="preserve"> </w:t>
      </w:r>
      <w:r w:rsidRPr="005E2A4F">
        <w:t xml:space="preserve">can </w:t>
      </w:r>
      <w:r w:rsidR="007D0C8C" w:rsidRPr="005E2A4F">
        <w:t xml:space="preserve">trace firearms from their manufacture </w:t>
      </w:r>
      <w:r w:rsidR="00023FF8" w:rsidRPr="005E2A4F">
        <w:t>or import</w:t>
      </w:r>
      <w:r w:rsidRPr="005E2A4F">
        <w:t>ation</w:t>
      </w:r>
      <w:r w:rsidR="00023FF8" w:rsidRPr="005E2A4F">
        <w:t xml:space="preserve"> through distribution </w:t>
      </w:r>
      <w:r w:rsidR="007D0C8C" w:rsidRPr="005E2A4F">
        <w:t xml:space="preserve">to the point of </w:t>
      </w:r>
      <w:r w:rsidRPr="005E2A4F">
        <w:t>initial</w:t>
      </w:r>
      <w:r w:rsidR="007D0C8C" w:rsidRPr="005E2A4F">
        <w:t xml:space="preserve"> retail sale.  </w:t>
      </w:r>
      <w:r w:rsidR="00023FF8" w:rsidRPr="005E2A4F">
        <w:t xml:space="preserve">Firearms </w:t>
      </w:r>
      <w:r w:rsidR="007D0C8C" w:rsidRPr="005E2A4F">
        <w:t>trace data show</w:t>
      </w:r>
      <w:r w:rsidRPr="005E2A4F">
        <w:t>s</w:t>
      </w:r>
      <w:r w:rsidR="007D0C8C" w:rsidRPr="005E2A4F">
        <w:t xml:space="preserve"> geographic market areas where crime guns are recovered and source areas that provide firearms to those markets.  </w:t>
      </w:r>
      <w:r w:rsidR="00023FF8" w:rsidRPr="005E2A4F">
        <w:t>Illegal firearms t</w:t>
      </w:r>
      <w:r w:rsidR="007D0C8C" w:rsidRPr="005E2A4F">
        <w:t>raffick</w:t>
      </w:r>
      <w:r w:rsidR="00023FF8" w:rsidRPr="005E2A4F">
        <w:t>ers employ a variety of schemes to obtain firearms which</w:t>
      </w:r>
      <w:r w:rsidR="007D0C8C" w:rsidRPr="005E2A4F">
        <w:t xml:space="preserve"> include straw purchases (where a legal purchaser buys a firearm on behalf of, or at the direction of, a prohibited purchaser), illegal </w:t>
      </w:r>
      <w:r w:rsidR="006B5E6B" w:rsidRPr="005E2A4F">
        <w:t xml:space="preserve">acquisitions </w:t>
      </w:r>
      <w:r w:rsidR="007D0C8C" w:rsidRPr="005E2A4F">
        <w:t xml:space="preserve">at gun shows, burglaries of gun stores, </w:t>
      </w:r>
      <w:r w:rsidR="006B5E6B" w:rsidRPr="005E2A4F">
        <w:t xml:space="preserve">and </w:t>
      </w:r>
      <w:r w:rsidR="007D0C8C" w:rsidRPr="005E2A4F">
        <w:t>theft</w:t>
      </w:r>
      <w:r w:rsidR="006B5E6B" w:rsidRPr="005E2A4F">
        <w:t>s</w:t>
      </w:r>
      <w:r w:rsidR="007D0C8C" w:rsidRPr="005E2A4F">
        <w:t xml:space="preserve"> of inter</w:t>
      </w:r>
      <w:r w:rsidR="00D31D89" w:rsidRPr="005E2A4F">
        <w:t>state</w:t>
      </w:r>
      <w:r w:rsidR="007D0C8C" w:rsidRPr="005E2A4F">
        <w:t xml:space="preserve"> shipments of firearms</w:t>
      </w:r>
      <w:r w:rsidR="001903BD" w:rsidRPr="005E2A4F">
        <w:t xml:space="preserve"> by</w:t>
      </w:r>
      <w:r w:rsidR="007D0C8C" w:rsidRPr="005E2A4F">
        <w:t xml:space="preserve"> </w:t>
      </w:r>
      <w:r w:rsidR="002B531F" w:rsidRPr="005E2A4F">
        <w:t>criminal</w:t>
      </w:r>
      <w:r w:rsidR="007D0C8C" w:rsidRPr="005E2A4F">
        <w:t xml:space="preserve"> organizations</w:t>
      </w:r>
      <w:r w:rsidR="001903BD" w:rsidRPr="005E2A4F">
        <w:t>.</w:t>
      </w:r>
    </w:p>
    <w:p w:rsidR="001903BD" w:rsidRPr="005E2A4F" w:rsidRDefault="001903BD" w:rsidP="007D0C8C"/>
    <w:p w:rsidR="007D0C8C" w:rsidRDefault="007D0C8C" w:rsidP="007D0C8C">
      <w:r>
        <w:t>ATF’s</w:t>
      </w:r>
      <w:r w:rsidRPr="00114140">
        <w:t xml:space="preserve"> </w:t>
      </w:r>
      <w:r w:rsidR="00C2670A">
        <w:t xml:space="preserve">firearms </w:t>
      </w:r>
      <w:r w:rsidRPr="00114140">
        <w:t xml:space="preserve">trafficking </w:t>
      </w:r>
      <w:r w:rsidR="00B83086">
        <w:t>interdiction</w:t>
      </w:r>
      <w:r w:rsidR="00401A7C">
        <w:t xml:space="preserve"> </w:t>
      </w:r>
      <w:r w:rsidRPr="00114140">
        <w:t xml:space="preserve">strategy </w:t>
      </w:r>
      <w:r>
        <w:t>deploys</w:t>
      </w:r>
      <w:r w:rsidRPr="00114140">
        <w:t xml:space="preserve"> resources to specific localities where there is a high incidence of gang and gun violence.  ATF’s Violent Crime Impact Team (VCIT) program, a vital </w:t>
      </w:r>
      <w:r>
        <w:t xml:space="preserve">IVRS </w:t>
      </w:r>
      <w:r w:rsidRPr="00114140">
        <w:t>component</w:t>
      </w:r>
      <w:r>
        <w:t xml:space="preserve">, </w:t>
      </w:r>
      <w:r w:rsidRPr="00114140">
        <w:t xml:space="preserve">is a particularly effective example of how focused law enforcement in violence-plagued, gang-infected communities </w:t>
      </w:r>
      <w:r>
        <w:t>reduces</w:t>
      </w:r>
      <w:r w:rsidRPr="00114140">
        <w:t xml:space="preserve"> violent crime.</w:t>
      </w:r>
    </w:p>
    <w:p w:rsidR="007D0C8C" w:rsidRPr="00114140" w:rsidRDefault="007D0C8C" w:rsidP="007D0C8C"/>
    <w:p w:rsidR="007D0C8C" w:rsidRDefault="007D0C8C" w:rsidP="007D0C8C">
      <w:pPr>
        <w:rPr>
          <w:b/>
          <w:i/>
        </w:rPr>
      </w:pPr>
      <w:r w:rsidRPr="000E69A2">
        <w:rPr>
          <w:b/>
          <w:i/>
        </w:rPr>
        <w:t>Reducing Violent Gang Crime</w:t>
      </w:r>
      <w:r>
        <w:rPr>
          <w:b/>
          <w:i/>
        </w:rPr>
        <w:t xml:space="preserve"> </w:t>
      </w:r>
    </w:p>
    <w:p w:rsidR="007D0C8C" w:rsidRDefault="007D0C8C" w:rsidP="007D0C8C">
      <w:pPr>
        <w:rPr>
          <w:b/>
          <w:i/>
        </w:rPr>
      </w:pPr>
    </w:p>
    <w:p w:rsidR="007D0C8C" w:rsidRDefault="007D0C8C" w:rsidP="007D0C8C">
      <w:r w:rsidRPr="00114140">
        <w:t xml:space="preserve">Since its creation as a bureau in 1972, ATF has established itself as a lead </w:t>
      </w:r>
      <w:r w:rsidR="00D31D89">
        <w:t>Federal</w:t>
      </w:r>
      <w:r w:rsidRPr="00114140">
        <w:t xml:space="preserve"> agency in the investigation of violent gang-related crime.  ATF has unique statutory authority over the “tools of the trade” that make gangs a threat to public safety.  These tools include guns in the hands of felons and prohibited persons, and weapons and explosives used to </w:t>
      </w:r>
      <w:r w:rsidR="009B0A89">
        <w:t>further criminal activity</w:t>
      </w:r>
      <w:r w:rsidRPr="00114140">
        <w:t>.  ATF targets and dismantles criminal organizations like Mara Salvatrucha (MS-13),</w:t>
      </w:r>
      <w:r>
        <w:t xml:space="preserve"> Latin Kings,</w:t>
      </w:r>
      <w:r w:rsidRPr="00114140">
        <w:t xml:space="preserve"> outlaw motorcycle </w:t>
      </w:r>
      <w:r w:rsidR="00694C7B">
        <w:t>gangs</w:t>
      </w:r>
      <w:r w:rsidRPr="00114140">
        <w:t xml:space="preserve"> </w:t>
      </w:r>
      <w:r w:rsidRPr="00B07415">
        <w:t>such as the Hells Angels and the Mongols,</w:t>
      </w:r>
      <w:r w:rsidRPr="00114140">
        <w:t xml:space="preserve"> national gangs like the Crips and Bloods, Asian gangs, white supremacists, and innumerable neighborhood-based gangs</w:t>
      </w:r>
      <w:r>
        <w:t xml:space="preserve"> that individually and collectively pose a great threat to the public safety</w:t>
      </w:r>
      <w:r w:rsidRPr="00114140">
        <w:t xml:space="preserve">.  ATF’s anti-gang strategy includes enforcing </w:t>
      </w:r>
      <w:r w:rsidR="00D31D89">
        <w:t>Federal</w:t>
      </w:r>
      <w:r w:rsidRPr="00114140">
        <w:t xml:space="preserve"> statutes such as the Racketeer Influenced and Corrupt Organizations Act (RICO)</w:t>
      </w:r>
      <w:r w:rsidR="008C2D22">
        <w:t>, the Hobbs Act</w:t>
      </w:r>
      <w:r w:rsidRPr="00114140">
        <w:t xml:space="preserve"> and the Armed Career Criminal statute.</w:t>
      </w:r>
    </w:p>
    <w:p w:rsidR="007D0C8C" w:rsidRDefault="007D0C8C" w:rsidP="007D0C8C"/>
    <w:p w:rsidR="007D0C8C" w:rsidRPr="001C0FEC" w:rsidRDefault="007D0C8C" w:rsidP="009C6C30">
      <w:pPr>
        <w:pStyle w:val="ListParagraph"/>
        <w:numPr>
          <w:ilvl w:val="0"/>
          <w:numId w:val="68"/>
        </w:numPr>
        <w:pBdr>
          <w:top w:val="double" w:sz="6" w:space="1" w:color="auto"/>
          <w:left w:val="double" w:sz="6" w:space="4" w:color="auto"/>
          <w:bottom w:val="double" w:sz="6" w:space="1" w:color="auto"/>
          <w:right w:val="double" w:sz="6" w:space="4" w:color="auto"/>
        </w:pBdr>
        <w:ind w:right="360"/>
      </w:pPr>
      <w:r w:rsidRPr="001C0FEC">
        <w:t xml:space="preserve">Criminal gangs are active within all 50 </w:t>
      </w:r>
      <w:r w:rsidR="00D31D89">
        <w:t>state</w:t>
      </w:r>
      <w:r w:rsidRPr="001C0FEC">
        <w:t>s, the District of Columbia, and the American Commonwealths.</w:t>
      </w:r>
      <w:r w:rsidR="00EF351F">
        <w:t xml:space="preserve">  </w:t>
      </w:r>
      <w:r w:rsidR="00EF351F" w:rsidRPr="001C0FEC">
        <w:t>Approximately 1</w:t>
      </w:r>
      <w:r w:rsidR="00B3441D">
        <w:t>.4</w:t>
      </w:r>
      <w:r w:rsidR="00EF351F" w:rsidRPr="001C0FEC">
        <w:t xml:space="preserve"> million gang members belong to more than </w:t>
      </w:r>
      <w:r w:rsidR="00B3441D">
        <w:t>33</w:t>
      </w:r>
      <w:r w:rsidR="00EF351F" w:rsidRPr="001C0FEC">
        <w:t>,000 gangs</w:t>
      </w:r>
      <w:r w:rsidR="00EF351F">
        <w:t>.</w:t>
      </w:r>
    </w:p>
    <w:p w:rsidR="004F54AE" w:rsidRDefault="00B3441D" w:rsidP="009C6C30">
      <w:pPr>
        <w:pStyle w:val="ListParagraph"/>
        <w:numPr>
          <w:ilvl w:val="0"/>
          <w:numId w:val="68"/>
        </w:numPr>
        <w:pBdr>
          <w:top w:val="double" w:sz="6" w:space="1" w:color="auto"/>
          <w:left w:val="double" w:sz="6" w:space="4" w:color="auto"/>
          <w:bottom w:val="double" w:sz="6" w:space="1" w:color="auto"/>
          <w:right w:val="double" w:sz="6" w:space="4" w:color="auto"/>
        </w:pBdr>
        <w:ind w:right="360"/>
      </w:pPr>
      <w:r w:rsidRPr="00B24F60">
        <w:t xml:space="preserve">Gangs are responsible for an average of 48 percent of violent crime in most jurisdictions and up </w:t>
      </w:r>
      <w:r w:rsidR="004F54AE">
        <w:t>to 90 percent in several others.</w:t>
      </w:r>
      <w:r w:rsidRPr="00B24F60">
        <w:t xml:space="preserve"> </w:t>
      </w:r>
    </w:p>
    <w:p w:rsidR="007D0C8C" w:rsidRPr="001C0FEC" w:rsidRDefault="00B3441D" w:rsidP="009C6C30">
      <w:pPr>
        <w:pStyle w:val="ListParagraph"/>
        <w:numPr>
          <w:ilvl w:val="0"/>
          <w:numId w:val="68"/>
        </w:numPr>
        <w:pBdr>
          <w:top w:val="double" w:sz="6" w:space="1" w:color="auto"/>
          <w:left w:val="double" w:sz="6" w:space="4" w:color="auto"/>
          <w:bottom w:val="double" w:sz="6" w:space="1" w:color="auto"/>
          <w:right w:val="double" w:sz="6" w:space="4" w:color="auto"/>
        </w:pBdr>
        <w:ind w:right="360"/>
      </w:pPr>
      <w:r w:rsidRPr="00B24F60">
        <w:t>In 2009, the</w:t>
      </w:r>
      <w:r w:rsidR="009E6741" w:rsidRPr="00B24F60">
        <w:t xml:space="preserve"> National Gang Threat Assessment reported that 94.3 p</w:t>
      </w:r>
      <w:r w:rsidR="007D0C8C" w:rsidRPr="001C0FEC">
        <w:t>ercent of gang-related homicides involved the use of a firearm.</w:t>
      </w:r>
    </w:p>
    <w:p w:rsidR="007D0C8C" w:rsidRPr="00114140" w:rsidRDefault="007D0C8C" w:rsidP="007D0C8C"/>
    <w:p w:rsidR="00730FE6" w:rsidRDefault="00730FE6" w:rsidP="00372F5F">
      <w:pPr>
        <w:autoSpaceDE w:val="0"/>
        <w:autoSpaceDN w:val="0"/>
        <w:adjustRightInd w:val="0"/>
        <w:ind w:left="1440" w:right="720"/>
        <w:rPr>
          <w:i/>
        </w:rPr>
      </w:pPr>
    </w:p>
    <w:p w:rsidR="00372F5F" w:rsidRPr="005E2A4F" w:rsidRDefault="005E7548" w:rsidP="00372F5F">
      <w:pPr>
        <w:autoSpaceDE w:val="0"/>
        <w:autoSpaceDN w:val="0"/>
        <w:adjustRightInd w:val="0"/>
        <w:ind w:left="1440" w:right="720"/>
        <w:rPr>
          <w:b/>
          <w:i/>
        </w:rPr>
      </w:pPr>
      <w:r w:rsidRPr="005E2A4F">
        <w:rPr>
          <w:i/>
        </w:rPr>
        <w:t xml:space="preserve">“Law enforcement officials in 34 jurisdictions report that the majority of gang-related crime is committed with firearms… Gang members are acquiring high-powered, military-style weapons and equipment, resulting in potentially lethal encounters with law enforcement officers, rival gang </w:t>
      </w:r>
      <w:r w:rsidRPr="005E2A4F">
        <w:rPr>
          <w:i/>
        </w:rPr>
        <w:lastRenderedPageBreak/>
        <w:t>members, and innocent bystanders.  Law</w:t>
      </w:r>
      <w:r w:rsidRPr="005E2A4F">
        <w:rPr>
          <w:b/>
          <w:i/>
        </w:rPr>
        <w:t xml:space="preserve"> </w:t>
      </w:r>
      <w:r w:rsidRPr="005E2A4F">
        <w:rPr>
          <w:i/>
        </w:rPr>
        <w:t>enforcement officials in several regions nationwide report gang members in their jurisdiction are armed with military-style weapons, such as high-caliber semiautomatic rifles, semiautomatic variants of AK-47 assault rifles, grenades and body armor.”</w:t>
      </w:r>
    </w:p>
    <w:p w:rsidR="00B8018F" w:rsidRPr="005E2A4F" w:rsidRDefault="007C0EB5" w:rsidP="00372F5F">
      <w:pPr>
        <w:autoSpaceDE w:val="0"/>
        <w:autoSpaceDN w:val="0"/>
        <w:adjustRightInd w:val="0"/>
        <w:ind w:left="1440" w:right="720" w:hanging="720"/>
        <w:jc w:val="right"/>
        <w:rPr>
          <w:b/>
        </w:rPr>
      </w:pPr>
      <w:r w:rsidRPr="005E2A4F">
        <w:t xml:space="preserve">Source: </w:t>
      </w:r>
      <w:r w:rsidR="00372F5F" w:rsidRPr="005E2A4F">
        <w:rPr>
          <w:u w:val="single"/>
        </w:rPr>
        <w:t xml:space="preserve">The </w:t>
      </w:r>
      <w:r w:rsidR="00B3441D" w:rsidRPr="005E2A4F">
        <w:rPr>
          <w:u w:val="single"/>
        </w:rPr>
        <w:t xml:space="preserve">2011 </w:t>
      </w:r>
      <w:r w:rsidR="00372F5F" w:rsidRPr="005E2A4F">
        <w:rPr>
          <w:u w:val="single"/>
        </w:rPr>
        <w:t>National Gang Threat Assessment</w:t>
      </w:r>
      <w:r w:rsidR="00372F5F" w:rsidRPr="005E2A4F">
        <w:t xml:space="preserve"> </w:t>
      </w:r>
    </w:p>
    <w:p w:rsidR="00B8018F" w:rsidRPr="005E2A4F" w:rsidRDefault="00B8018F" w:rsidP="00372F5F">
      <w:pPr>
        <w:ind w:left="1440" w:right="720" w:hanging="720"/>
      </w:pPr>
    </w:p>
    <w:p w:rsidR="00B8018F" w:rsidRPr="005E2A4F" w:rsidRDefault="005E74DA" w:rsidP="00B8018F">
      <w:r>
        <w:t xml:space="preserve">ATF's overall violent crime strategy is a comprehensive and aggressive approach utilizing unique and effective programs to impact violent crime. ATF's Frontline Initiative leverages all components of ATF to focus resources and enforcement activity into those areas most plagued by violent crime. Frontline is grounded in sound intelligence collection, analysis and sharing which allows for flexibility and de-confliction necessary for a cooperative approach with local and federal law enforcement agencies to identify and dismantle the most violent criminal organizations. Many successful programs, such as VCIT, are being revised and repositioned through the implementation of the Frontline Initiative so there will be consistency in mission, accountability, and standardized measurements for success across the country. ATF's Frontline Initiative will bring training resources in cutting edge enforcement strategies, violent crime trends and patterns and other pertinent subjects to local ATF offices and other state and local agencies. With VCIT and other programs uniquely tailored to ATF's mission of combating violent crime and with effective and pertinent training, ATF's Frontline Initiative will allow for effective use of resources and productive cooperation with law enforcement and community partners. </w:t>
      </w:r>
      <w:r>
        <w:br/>
      </w:r>
      <w:r>
        <w:br/>
      </w:r>
      <w:r w:rsidR="005E7548" w:rsidRPr="005E2A4F">
        <w:t>One of the signature programs within the national violent crime strategy is the VCIT program.  The VCIT program was implemented  in 2004 and focuses ATF’s unique investigative resources on identifying the urban areas experiencing the most violent crime and then partnering with other Federal, state and local law enforcement agencies to dismantle these armed violent criminal organizations</w:t>
      </w:r>
      <w:r w:rsidR="0020766B">
        <w:t xml:space="preserve"> in selected areas</w:t>
      </w:r>
      <w:r w:rsidR="005E7548" w:rsidRPr="005E2A4F">
        <w:t xml:space="preserve"> and the “worst of the worst” operating within them.  The selected areas will create a localized strategy and implementation plan and the VCIT activity will be measured with standardized</w:t>
      </w:r>
      <w:r w:rsidR="003C2685" w:rsidRPr="005E2A4F">
        <w:t xml:space="preserve"> </w:t>
      </w:r>
      <w:r w:rsidR="005E7548" w:rsidRPr="005E2A4F">
        <w:t>metrics to ensure that ATF is effectively and efficiently focusing its unique investigative efforts where they are most needed.</w:t>
      </w:r>
    </w:p>
    <w:p w:rsidR="00B3441D" w:rsidRDefault="00B3441D" w:rsidP="003C2685">
      <w:pPr>
        <w:rPr>
          <w:b/>
          <w:color w:val="996633"/>
          <w:u w:val="single"/>
        </w:rPr>
      </w:pPr>
    </w:p>
    <w:p w:rsidR="003C2685" w:rsidRPr="005E2A4F" w:rsidRDefault="003C2685" w:rsidP="003C2685">
      <w:pPr>
        <w:rPr>
          <w:b/>
        </w:rPr>
      </w:pPr>
      <w:r w:rsidRPr="005E2A4F">
        <w:rPr>
          <w:b/>
          <w:u w:val="single"/>
        </w:rPr>
        <w:t>Baltimore VCIT</w:t>
      </w:r>
      <w:r w:rsidRPr="005E2A4F">
        <w:rPr>
          <w:b/>
        </w:rPr>
        <w:t xml:space="preserve"> - Operation Tourniquet</w:t>
      </w:r>
    </w:p>
    <w:p w:rsidR="003C2685" w:rsidRPr="005E2A4F" w:rsidRDefault="003C2685" w:rsidP="003C2685">
      <w:pPr>
        <w:rPr>
          <w:b/>
        </w:rPr>
      </w:pPr>
    </w:p>
    <w:p w:rsidR="003C2685" w:rsidRPr="005E2A4F" w:rsidRDefault="003C2685" w:rsidP="003C2685">
      <w:pPr>
        <w:rPr>
          <w:bCs/>
        </w:rPr>
      </w:pPr>
      <w:r w:rsidRPr="005E2A4F">
        <w:rPr>
          <w:bCs/>
        </w:rPr>
        <w:t>The VCIT, composed of ATF agents and Baltimore City police officers, performs long-term investigations that root out entire organizations responsible for violent crime.  On May 28, 2009, the Baltimore VCIT led a force of over 300 agents and officers from local, State and Federal law enforcement agencies in dozens of raids at locations throughout Baltimore City and various counties in Maryland and California, seizing drugs and firearms and arresting 40 people on Federal gang racketeering and drug conspiracy charges.  The arrests followed a sweeping, year-long investigation into criminal activity of the Pasadena Denver Lanes (PDL) Bloods gang, which originated in Southern California, but operates in Baltimore through various subsets.</w:t>
      </w:r>
    </w:p>
    <w:p w:rsidR="003C2685" w:rsidRPr="005E2A4F" w:rsidRDefault="003C2685" w:rsidP="003C2685"/>
    <w:p w:rsidR="003C2685" w:rsidRPr="005E2A4F" w:rsidRDefault="003C2685" w:rsidP="003C2685">
      <w:r w:rsidRPr="005E2A4F">
        <w:rPr>
          <w:bCs/>
        </w:rPr>
        <w:t xml:space="preserve">The PDL Bloods gang operated in Maryland as an organized criminal enterprise with leaders and followers, who committed violent crimes, sold illegal drugs and paid dues to gang leaders in California.  The suspected gang members engaged in attempted murders, assaults, robberies and </w:t>
      </w:r>
      <w:r w:rsidRPr="005E2A4F">
        <w:rPr>
          <w:bCs/>
        </w:rPr>
        <w:lastRenderedPageBreak/>
        <w:t xml:space="preserve">drug trafficking, and were required to commit acts of violence to maintain membership, according to the indictment.  </w:t>
      </w:r>
      <w:r w:rsidRPr="005E2A4F">
        <w:t>On December 3, 2011, the final PDL member pleaded guilty and was sentenced for racketeering conspiracy.  With this guilty plea, all 23 defendants charged in the indictment with participating in the racketeering enterprise activities of the PDL Bloods gang have been convicted.</w:t>
      </w:r>
    </w:p>
    <w:p w:rsidR="00372F5F" w:rsidRPr="005E2A4F" w:rsidRDefault="00372F5F" w:rsidP="003C2685"/>
    <w:p w:rsidR="00B8018F" w:rsidRPr="005E2A4F" w:rsidRDefault="005E7548" w:rsidP="003C2685">
      <w:pPr>
        <w:rPr>
          <w:b/>
        </w:rPr>
      </w:pPr>
      <w:r w:rsidRPr="005E2A4F">
        <w:rPr>
          <w:b/>
          <w:u w:val="single"/>
        </w:rPr>
        <w:t>Pittsburgh VCIT</w:t>
      </w:r>
      <w:r w:rsidRPr="005E2A4F">
        <w:rPr>
          <w:b/>
        </w:rPr>
        <w:t xml:space="preserve"> - Northview Heights/Brighton Place Crips </w:t>
      </w:r>
    </w:p>
    <w:p w:rsidR="00B8018F" w:rsidRPr="005E2A4F" w:rsidRDefault="00B8018F" w:rsidP="003C2685">
      <w:pPr>
        <w:rPr>
          <w:b/>
        </w:rPr>
      </w:pPr>
    </w:p>
    <w:p w:rsidR="00372F5F" w:rsidRPr="005E2A4F" w:rsidRDefault="00372F5F" w:rsidP="003C2685">
      <w:r w:rsidRPr="005E2A4F">
        <w:t xml:space="preserve">ATF perfected a comprehensive historical RICO investigation into these groups focusing on the violence they perpetrated.  In February of 2010, a thirty-five (35) count indictment charged twenty-six (26) Crip members with Racketeering, Racketeering Conspiracy, Violent Crimes in Aid of Racketeering (VICAR) and other violent crimes, including Carjacking and Witness Intimidation.  As of September 2011, all of these defendants have pled guilty and are facing sentencing ranges of up to 40 years incarceration.     </w:t>
      </w:r>
    </w:p>
    <w:p w:rsidR="00372F5F" w:rsidRPr="005E2A4F" w:rsidRDefault="00372F5F" w:rsidP="003C2685"/>
    <w:p w:rsidR="00B8018F" w:rsidRPr="005E2A4F" w:rsidRDefault="005E7548" w:rsidP="003C2685">
      <w:r w:rsidRPr="005E2A4F">
        <w:t xml:space="preserve">From the early 1990s through present, members of the Brighton Place Crips (BPC) and Northview Heights Crips (NVHC) criminal street gangs have maintained a base of operation within the City of Pittsburgh’s North Side and have allegedly committed numerous acts of violence to include over 50 homicides and over 150 non-fatal shootings.  They engaged in firearms and narcotics trafficking as well as utilizing firearms in furtherance of the gang(s) enterprise.    </w:t>
      </w:r>
    </w:p>
    <w:p w:rsidR="00B8018F" w:rsidRPr="005E2A4F" w:rsidRDefault="00B8018F" w:rsidP="003C2685"/>
    <w:p w:rsidR="00B8018F" w:rsidRPr="005E2A4F" w:rsidRDefault="005E7548" w:rsidP="003C2685">
      <w:r w:rsidRPr="005E2A4F">
        <w:t xml:space="preserve">ATF is currently leveraging information acquired through proffers of some of these defendants to solve several homicide cases, including the murder of a five-year-old child and a double homicide that resulted from a home invasion. Information provided by the </w:t>
      </w:r>
      <w:r w:rsidR="00047C51">
        <w:t>Pittsburg Bureau of Police (PBP)</w:t>
      </w:r>
      <w:r w:rsidRPr="005E2A4F">
        <w:t xml:space="preserve"> indicates a significant reduction in gang activity and firearms related violent crime on the North Side of Pittsburgh since these indictments and arrests.  </w:t>
      </w:r>
    </w:p>
    <w:p w:rsidR="00594A5C" w:rsidRDefault="00594A5C" w:rsidP="00E07CEE">
      <w:pPr>
        <w:rPr>
          <w:b/>
          <w:u w:val="single"/>
        </w:rPr>
      </w:pPr>
    </w:p>
    <w:p w:rsidR="00E07CEE" w:rsidRPr="005E2A4F" w:rsidRDefault="00E07CEE" w:rsidP="00E07CEE">
      <w:pPr>
        <w:rPr>
          <w:b/>
        </w:rPr>
      </w:pPr>
      <w:r w:rsidRPr="005E2A4F">
        <w:rPr>
          <w:b/>
          <w:u w:val="single"/>
        </w:rPr>
        <w:t>Richmond VCIT</w:t>
      </w:r>
      <w:r w:rsidRPr="005E2A4F">
        <w:rPr>
          <w:b/>
        </w:rPr>
        <w:t xml:space="preserve"> – Gilpin Court </w:t>
      </w:r>
    </w:p>
    <w:p w:rsidR="005D6BBA" w:rsidRDefault="005D6BBA" w:rsidP="00E07CEE">
      <w:pPr>
        <w:rPr>
          <w:b/>
          <w:color w:val="996633"/>
        </w:rPr>
      </w:pPr>
    </w:p>
    <w:p w:rsidR="005D6BBA" w:rsidRPr="00BF637E" w:rsidRDefault="005D6BBA" w:rsidP="005D6BBA">
      <w:r>
        <w:t xml:space="preserve">In Richmond, Virginia VCIT is part of Crime Sweep which is </w:t>
      </w:r>
      <w:r w:rsidR="007F1E8F">
        <w:t>thirteen</w:t>
      </w:r>
      <w:r w:rsidRPr="00BF637E">
        <w:t xml:space="preserve"> local, </w:t>
      </w:r>
      <w:r w:rsidR="007F1E8F">
        <w:t>s</w:t>
      </w:r>
      <w:r w:rsidRPr="00BF637E">
        <w:t>tate, and Federal law enforcement and criminal justice stakeholders who coordinate efforts to reduce violence and improve the quality of life in Richmond.</w:t>
      </w:r>
      <w:r>
        <w:t xml:space="preserve">  T</w:t>
      </w:r>
      <w:r w:rsidRPr="00BF637E">
        <w:t>he C</w:t>
      </w:r>
      <w:r w:rsidR="007F1E8F">
        <w:t>rime Sweep</w:t>
      </w:r>
      <w:r w:rsidRPr="00BF637E">
        <w:t>, through crime analysis, deploys respective agency resources throughout the city with focused individual missions tailored to each agency’s own mission, abilities and resources</w:t>
      </w:r>
      <w:r>
        <w:t>.  Since its inception VCIT has fluidly adjusted its resources depending on the changing criminal environment.  Over the years VCIT focused on select geographic areas for usually 12 month periods and arm commercial robberies.</w:t>
      </w:r>
    </w:p>
    <w:p w:rsidR="005D6BBA" w:rsidRPr="00BF637E" w:rsidRDefault="005D6BBA" w:rsidP="005D6BBA">
      <w:pPr>
        <w:tabs>
          <w:tab w:val="left" w:pos="-720"/>
        </w:tabs>
        <w:suppressAutoHyphens/>
      </w:pPr>
    </w:p>
    <w:p w:rsidR="005D6BBA" w:rsidRDefault="005D6BBA" w:rsidP="005D6BBA">
      <w:pPr>
        <w:tabs>
          <w:tab w:val="left" w:pos="-720"/>
        </w:tabs>
        <w:suppressAutoHyphens/>
      </w:pPr>
      <w:r>
        <w:t>Most recently in January 2011</w:t>
      </w:r>
      <w:r w:rsidR="007F1E8F">
        <w:t>,</w:t>
      </w:r>
      <w:r>
        <w:t xml:space="preserve"> VCIT targeted the Gilpin Court housing project in Richmond while maintaining resources dedicated to robberies and the R</w:t>
      </w:r>
      <w:r w:rsidR="007F1E8F">
        <w:t xml:space="preserve">ichmond </w:t>
      </w:r>
      <w:r>
        <w:t>P</w:t>
      </w:r>
      <w:r w:rsidR="007F1E8F">
        <w:t xml:space="preserve">olice </w:t>
      </w:r>
      <w:r>
        <w:t>D</w:t>
      </w:r>
      <w:r w:rsidR="007F1E8F">
        <w:t>epartment (RPD)</w:t>
      </w:r>
      <w:r>
        <w:t xml:space="preserve"> Violent Crime Unit.  VCIT </w:t>
      </w:r>
      <w:r w:rsidRPr="00BF637E">
        <w:t>join</w:t>
      </w:r>
      <w:r w:rsidR="007F1E8F">
        <w:t>ed</w:t>
      </w:r>
      <w:r w:rsidRPr="00BF637E">
        <w:t xml:space="preserve"> with the Virginia Attorney General’s Office and their Gang Reduction and Intervention Program (GRIP) to address the violent crime that has become systemic in the Gilpin Court housing project</w:t>
      </w:r>
      <w:r w:rsidR="007F1E8F">
        <w:t xml:space="preserve">.  </w:t>
      </w:r>
    </w:p>
    <w:p w:rsidR="007F1E8F" w:rsidRPr="00BF637E" w:rsidRDefault="007F1E8F" w:rsidP="005D6BBA">
      <w:pPr>
        <w:tabs>
          <w:tab w:val="left" w:pos="-720"/>
        </w:tabs>
        <w:suppressAutoHyphens/>
      </w:pPr>
    </w:p>
    <w:p w:rsidR="005D6BBA" w:rsidRPr="00BF637E" w:rsidRDefault="005D6BBA" w:rsidP="007F1E8F">
      <w:pPr>
        <w:tabs>
          <w:tab w:val="left" w:pos="-720"/>
        </w:tabs>
        <w:suppressAutoHyphens/>
      </w:pPr>
      <w:r w:rsidRPr="00BF637E">
        <w:t xml:space="preserve">Gilpin Court is comprised of 781 low income subsidized housing units with an estimated </w:t>
      </w:r>
      <w:r>
        <w:t>2</w:t>
      </w:r>
      <w:r w:rsidR="007F1E8F">
        <w:t>,</w:t>
      </w:r>
      <w:r>
        <w:t>400</w:t>
      </w:r>
      <w:r w:rsidRPr="00BF637E">
        <w:t xml:space="preserve"> residents.  In the calendar year of 2010 there were 24 shooting victims within Gilpin Court which </w:t>
      </w:r>
      <w:r w:rsidRPr="00BF637E">
        <w:lastRenderedPageBreak/>
        <w:t>is significantly higher than any other neighborhood within the city.  The Gilpin VCIT enlist</w:t>
      </w:r>
      <w:r>
        <w:t>ed</w:t>
      </w:r>
      <w:r w:rsidRPr="00BF637E">
        <w:t xml:space="preserve"> tactics with a focus on disrupting the systemic violence associated with individuals and loosely confederated individuals that are involved in the use and/or distribution of illegal drugs and/or other inherently violent illegal enterprises through enforcement, prevention and education.</w:t>
      </w:r>
      <w:r>
        <w:t xml:space="preserve">  Arguably the most significant tacti</w:t>
      </w:r>
      <w:r w:rsidR="007F1E8F">
        <w:t>cs</w:t>
      </w:r>
      <w:r w:rsidRPr="00BF637E">
        <w:t xml:space="preserve"> </w:t>
      </w:r>
      <w:r>
        <w:t>employed by the VCIT w</w:t>
      </w:r>
      <w:r w:rsidR="007F1E8F">
        <w:t>ere: 1)</w:t>
      </w:r>
      <w:r>
        <w:t xml:space="preserve"> identif</w:t>
      </w:r>
      <w:r w:rsidR="00002AEC">
        <w:t xml:space="preserve">ying </w:t>
      </w:r>
      <w:r>
        <w:t>through human intelligence the most violent offenders in the area</w:t>
      </w:r>
      <w:r w:rsidR="007F1E8F">
        <w:t>;</w:t>
      </w:r>
      <w:r>
        <w:t xml:space="preserve"> </w:t>
      </w:r>
      <w:r w:rsidR="007F1E8F">
        <w:t xml:space="preserve">2) </w:t>
      </w:r>
      <w:r>
        <w:t>making home and street visits with these subjects</w:t>
      </w:r>
      <w:r w:rsidR="00002AEC">
        <w:t>;</w:t>
      </w:r>
      <w:r>
        <w:t xml:space="preserve"> </w:t>
      </w:r>
      <w:r w:rsidR="00002AEC">
        <w:t xml:space="preserve">and 3) </w:t>
      </w:r>
      <w:r>
        <w:t>notify</w:t>
      </w:r>
      <w:r w:rsidR="00002AEC">
        <w:t>ing</w:t>
      </w:r>
      <w:r>
        <w:t xml:space="preserve"> them that VCIT was aware of their propensity for violence and that all legal means available would be employed to hold those responsible for past and future violent acts.  </w:t>
      </w:r>
      <w:r w:rsidR="00002AEC">
        <w:t xml:space="preserve"> </w:t>
      </w:r>
      <w:r w:rsidR="00421B00" w:rsidRPr="00594A5C">
        <w:t xml:space="preserve">As an alternative all were offered the services being provided by GRIP.  As a result </w:t>
      </w:r>
      <w:r w:rsidR="00BC0167" w:rsidRPr="00594A5C">
        <w:t xml:space="preserve">of </w:t>
      </w:r>
      <w:r w:rsidR="00421B00" w:rsidRPr="00594A5C">
        <w:t>the</w:t>
      </w:r>
      <w:r w:rsidR="00BC0167" w:rsidRPr="00594A5C">
        <w:t xml:space="preserve"> efforts of ATF </w:t>
      </w:r>
      <w:r w:rsidR="008D2323" w:rsidRPr="00594A5C">
        <w:t xml:space="preserve">and its partners the number of </w:t>
      </w:r>
      <w:r w:rsidR="00BC0167" w:rsidRPr="00594A5C">
        <w:t>shooting victims in 2011 was</w:t>
      </w:r>
      <w:r w:rsidR="00421B00" w:rsidRPr="00594A5C">
        <w:t xml:space="preserve"> reduced to</w:t>
      </w:r>
      <w:r w:rsidR="00BC0167" w:rsidRPr="00594A5C">
        <w:t xml:space="preserve"> five.</w:t>
      </w:r>
    </w:p>
    <w:p w:rsidR="005D6BBA" w:rsidRPr="00B8018F" w:rsidRDefault="005D6BBA" w:rsidP="00E07CEE">
      <w:pPr>
        <w:rPr>
          <w:b/>
          <w:color w:val="996633"/>
        </w:rPr>
      </w:pPr>
    </w:p>
    <w:p w:rsidR="00BE3E3E" w:rsidRPr="0032011B" w:rsidRDefault="00BE3E3E" w:rsidP="00BE3E3E">
      <w:pPr>
        <w:autoSpaceDE w:val="0"/>
        <w:autoSpaceDN w:val="0"/>
        <w:adjustRightInd w:val="0"/>
        <w:ind w:left="1440" w:right="720"/>
        <w:rPr>
          <w:i/>
        </w:rPr>
      </w:pPr>
      <w:r w:rsidRPr="0032011B">
        <w:rPr>
          <w:i/>
        </w:rPr>
        <w:t xml:space="preserve">“Confronting violent street gangs, international gangs operating within the United States and abroad, and cartels along the Southwest Border is a paramount concern for the United States.” </w:t>
      </w:r>
    </w:p>
    <w:p w:rsidR="00BE3E3E" w:rsidRPr="0032011B" w:rsidRDefault="00BE3E3E" w:rsidP="00BE3E3E">
      <w:pPr>
        <w:autoSpaceDE w:val="0"/>
        <w:autoSpaceDN w:val="0"/>
        <w:adjustRightInd w:val="0"/>
        <w:ind w:left="1440" w:right="720"/>
        <w:rPr>
          <w:i/>
        </w:rPr>
      </w:pPr>
    </w:p>
    <w:p w:rsidR="00BE3E3E" w:rsidRDefault="007C0EB5" w:rsidP="00BE3E3E">
      <w:pPr>
        <w:ind w:left="360"/>
        <w:jc w:val="right"/>
      </w:pPr>
      <w:r>
        <w:t xml:space="preserve">Source: </w:t>
      </w:r>
      <w:r w:rsidR="00BE3E3E" w:rsidRPr="00407775">
        <w:rPr>
          <w:u w:val="single"/>
        </w:rPr>
        <w:t>US Department of Justice Fiscal Years 2012-2016 Strategic Plan</w:t>
      </w:r>
      <w:r w:rsidR="00BE3E3E">
        <w:t>, page 17</w:t>
      </w:r>
    </w:p>
    <w:p w:rsidR="007D0C8C" w:rsidRDefault="007D0C8C" w:rsidP="007D0C8C"/>
    <w:p w:rsidR="007D0C8C" w:rsidRPr="0032011B" w:rsidRDefault="00D9043D" w:rsidP="009C6C30">
      <w:pPr>
        <w:pBdr>
          <w:top w:val="double" w:sz="6" w:space="1" w:color="auto"/>
          <w:left w:val="double" w:sz="6" w:space="4" w:color="auto"/>
          <w:right w:val="double" w:sz="6" w:space="4" w:color="auto"/>
        </w:pBdr>
        <w:tabs>
          <w:tab w:val="left" w:pos="360"/>
        </w:tabs>
        <w:ind w:left="540" w:right="360" w:firstLine="90"/>
      </w:pPr>
      <w:r w:rsidRPr="0032011B">
        <w:t xml:space="preserve">In the 31 </w:t>
      </w:r>
      <w:r w:rsidR="007D0C8C" w:rsidRPr="0032011B">
        <w:t>VCIT</w:t>
      </w:r>
      <w:r w:rsidRPr="0032011B">
        <w:t xml:space="preserve"> task force cities</w:t>
      </w:r>
      <w:r w:rsidR="007D0C8C" w:rsidRPr="0032011B">
        <w:t xml:space="preserve"> since 2004: </w:t>
      </w:r>
    </w:p>
    <w:p w:rsidR="007D0C8C" w:rsidRPr="0032011B" w:rsidRDefault="007D0C8C" w:rsidP="009C6C30">
      <w:pPr>
        <w:pStyle w:val="ListParagraph"/>
        <w:numPr>
          <w:ilvl w:val="0"/>
          <w:numId w:val="69"/>
        </w:numPr>
        <w:pBdr>
          <w:left w:val="double" w:sz="6" w:space="4" w:color="auto"/>
          <w:right w:val="double" w:sz="6" w:space="4" w:color="auto"/>
        </w:pBdr>
        <w:ind w:right="360"/>
      </w:pPr>
      <w:r w:rsidRPr="0032011B">
        <w:t xml:space="preserve">The teams have obtained convictions against </w:t>
      </w:r>
      <w:r w:rsidR="004D3C57" w:rsidRPr="0032011B">
        <w:t xml:space="preserve">over </w:t>
      </w:r>
      <w:r w:rsidR="00C25B3E" w:rsidRPr="0032011B">
        <w:t xml:space="preserve">4,950 </w:t>
      </w:r>
      <w:r w:rsidRPr="0032011B">
        <w:t>defendants</w:t>
      </w:r>
      <w:r w:rsidR="009E7C8C" w:rsidRPr="0032011B">
        <w:t xml:space="preserve">; </w:t>
      </w:r>
      <w:r w:rsidR="00C25B3E" w:rsidRPr="0032011B">
        <w:t>nearly 84%</w:t>
      </w:r>
      <w:r w:rsidR="009E7C8C" w:rsidRPr="0032011B">
        <w:t xml:space="preserve"> were </w:t>
      </w:r>
      <w:r w:rsidR="004D3C57" w:rsidRPr="0032011B">
        <w:t xml:space="preserve">sentenced to prison, with an average sentence of </w:t>
      </w:r>
      <w:r w:rsidR="00C25B3E" w:rsidRPr="0032011B">
        <w:t xml:space="preserve">19.7 </w:t>
      </w:r>
      <w:r w:rsidR="004D3C57" w:rsidRPr="0032011B">
        <w:t>years.</w:t>
      </w:r>
    </w:p>
    <w:p w:rsidR="00D9043D" w:rsidRPr="0032011B" w:rsidRDefault="00D9043D" w:rsidP="009C6C30">
      <w:pPr>
        <w:pStyle w:val="ListParagraph"/>
        <w:numPr>
          <w:ilvl w:val="0"/>
          <w:numId w:val="69"/>
        </w:numPr>
        <w:pBdr>
          <w:left w:val="double" w:sz="6" w:space="4" w:color="auto"/>
          <w:right w:val="double" w:sz="6" w:space="4" w:color="auto"/>
        </w:pBdr>
        <w:ind w:right="360"/>
      </w:pPr>
      <w:r w:rsidRPr="0032011B">
        <w:t xml:space="preserve">In FY </w:t>
      </w:r>
      <w:r w:rsidR="00C25B3E" w:rsidRPr="0032011B">
        <w:t>2011</w:t>
      </w:r>
      <w:r w:rsidRPr="0032011B">
        <w:t xml:space="preserve">, ATF referred </w:t>
      </w:r>
      <w:r w:rsidR="00C25B3E" w:rsidRPr="0032011B">
        <w:t xml:space="preserve">5,206 </w:t>
      </w:r>
      <w:r w:rsidRPr="0032011B">
        <w:t>gang related defendants for prosecution.</w:t>
      </w:r>
    </w:p>
    <w:p w:rsidR="007D0C8C" w:rsidRPr="0032011B" w:rsidRDefault="007D0C8C" w:rsidP="009C6C30">
      <w:pPr>
        <w:pStyle w:val="ListParagraph"/>
        <w:numPr>
          <w:ilvl w:val="0"/>
          <w:numId w:val="69"/>
        </w:numPr>
        <w:pBdr>
          <w:left w:val="double" w:sz="6" w:space="4" w:color="auto"/>
          <w:bottom w:val="double" w:sz="6" w:space="1" w:color="auto"/>
          <w:right w:val="double" w:sz="6" w:space="4" w:color="auto"/>
        </w:pBdr>
        <w:ind w:right="360"/>
      </w:pPr>
      <w:r w:rsidRPr="0032011B">
        <w:t>In fiscal years 200</w:t>
      </w:r>
      <w:r w:rsidR="00D9043D" w:rsidRPr="0032011B">
        <w:t>3</w:t>
      </w:r>
      <w:r w:rsidRPr="0032011B">
        <w:t xml:space="preserve"> through </w:t>
      </w:r>
      <w:r w:rsidR="00C25B3E" w:rsidRPr="0032011B">
        <w:t>2011</w:t>
      </w:r>
      <w:r w:rsidRPr="0032011B">
        <w:t xml:space="preserve">, an average of 12% of all ATF cases and </w:t>
      </w:r>
      <w:r w:rsidR="00C25B3E" w:rsidRPr="0032011B">
        <w:t>21</w:t>
      </w:r>
      <w:r w:rsidRPr="0032011B">
        <w:rPr>
          <w:bCs/>
        </w:rPr>
        <w:t>%</w:t>
      </w:r>
      <w:r w:rsidRPr="0032011B">
        <w:t xml:space="preserve"> of all </w:t>
      </w:r>
      <w:r w:rsidR="00D9043D" w:rsidRPr="0032011B">
        <w:t xml:space="preserve">ATF </w:t>
      </w:r>
      <w:r w:rsidRPr="0032011B">
        <w:t>defendants referred for prosecution (</w:t>
      </w:r>
      <w:r w:rsidR="00C25B3E" w:rsidRPr="0032011B">
        <w:t>13,585</w:t>
      </w:r>
      <w:r w:rsidRPr="0032011B">
        <w:t xml:space="preserve"> cases and </w:t>
      </w:r>
      <w:r w:rsidR="00C25B3E" w:rsidRPr="0032011B">
        <w:t>33,563</w:t>
      </w:r>
      <w:r w:rsidRPr="0032011B">
        <w:t xml:space="preserve"> defendants) involved allegations of gang-related criminal conduct.</w:t>
      </w:r>
    </w:p>
    <w:p w:rsidR="007D0C8C" w:rsidRPr="0032011B" w:rsidRDefault="007D0C8C" w:rsidP="009C6C30">
      <w:pPr>
        <w:pStyle w:val="ListParagraph"/>
        <w:numPr>
          <w:ilvl w:val="0"/>
          <w:numId w:val="69"/>
        </w:numPr>
        <w:pBdr>
          <w:left w:val="double" w:sz="6" w:space="4" w:color="auto"/>
          <w:bottom w:val="double" w:sz="6" w:space="1" w:color="auto"/>
          <w:right w:val="double" w:sz="6" w:space="4" w:color="auto"/>
        </w:pBdr>
        <w:ind w:right="360"/>
      </w:pPr>
      <w:r w:rsidRPr="0032011B">
        <w:t>Many of these cases involve firearms and RICO violations, as wel</w:t>
      </w:r>
      <w:r w:rsidR="009E7C8C" w:rsidRPr="0032011B">
        <w:t xml:space="preserve">l as violations of </w:t>
      </w:r>
      <w:r w:rsidRPr="0032011B">
        <w:t>explosives laws.</w:t>
      </w:r>
    </w:p>
    <w:p w:rsidR="007D0C8C" w:rsidRPr="00762F09" w:rsidRDefault="007D0C8C" w:rsidP="007D0C8C">
      <w:pPr>
        <w:pStyle w:val="Heading2"/>
        <w:spacing w:before="100" w:beforeAutospacing="1" w:after="100" w:afterAutospacing="1"/>
        <w:rPr>
          <w:rFonts w:ascii="Times New Roman" w:hAnsi="Times New Roman" w:cs="Times New Roman"/>
          <w:sz w:val="24"/>
          <w:szCs w:val="24"/>
        </w:rPr>
      </w:pPr>
      <w:r w:rsidRPr="00D472EE">
        <w:rPr>
          <w:rFonts w:ascii="Times New Roman" w:hAnsi="Times New Roman" w:cs="Times New Roman"/>
          <w:sz w:val="24"/>
          <w:szCs w:val="24"/>
        </w:rPr>
        <w:t>Reducing Violent Crime through Effective Regulation of the Firearms Industry</w:t>
      </w:r>
    </w:p>
    <w:p w:rsidR="002B531F" w:rsidRDefault="00440E5A" w:rsidP="002B531F">
      <w:r>
        <w:rPr>
          <w:noProof/>
        </w:rPr>
        <w:drawing>
          <wp:anchor distT="0" distB="0" distL="114300" distR="114300" simplePos="0" relativeHeight="251676672" behindDoc="1" locked="0" layoutInCell="1" allowOverlap="1">
            <wp:simplePos x="0" y="0"/>
            <wp:positionH relativeFrom="column">
              <wp:posOffset>19050</wp:posOffset>
            </wp:positionH>
            <wp:positionV relativeFrom="paragraph">
              <wp:posOffset>431800</wp:posOffset>
            </wp:positionV>
            <wp:extent cx="3435985" cy="2425065"/>
            <wp:effectExtent l="19050" t="0" r="0" b="0"/>
            <wp:wrapThrough wrapText="bothSides">
              <wp:wrapPolygon edited="0">
                <wp:start x="-120" y="0"/>
                <wp:lineTo x="-120" y="21379"/>
                <wp:lineTo x="21556" y="21379"/>
                <wp:lineTo x="21556" y="0"/>
                <wp:lineTo x="-120" y="0"/>
              </wp:wrapPolygon>
            </wp:wrapThrough>
            <wp:docPr id="27" name="Picture 16" descr="The graphic on page 19 shows the total number of firearms reported stolen or lost by Federal Firearms Licensees between FY 2007 and FY 2011.  The number of firearms reported stolen or lost has been decreasing from just under 31,000 in FY 2007 to approximately 20,000 in FY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srcRect/>
                    <a:stretch>
                      <a:fillRect/>
                    </a:stretch>
                  </pic:blipFill>
                  <pic:spPr bwMode="auto">
                    <a:xfrm>
                      <a:off x="0" y="0"/>
                      <a:ext cx="3435985" cy="2425065"/>
                    </a:xfrm>
                    <a:prstGeom prst="rect">
                      <a:avLst/>
                    </a:prstGeom>
                    <a:noFill/>
                    <a:ln w="9525">
                      <a:noFill/>
                      <a:miter lim="800000"/>
                      <a:headEnd/>
                      <a:tailEnd/>
                    </a:ln>
                  </pic:spPr>
                </pic:pic>
              </a:graphicData>
            </a:graphic>
          </wp:anchor>
        </w:drawing>
      </w:r>
      <w:r w:rsidR="002B531F" w:rsidRPr="00114140">
        <w:t xml:space="preserve">To prevent individuals from buying firearms by falsely claiming to be an FFL, ATF provides licensees with access to </w:t>
      </w:r>
      <w:r w:rsidR="002B531F">
        <w:t>the “FFL EZ Check</w:t>
      </w:r>
      <w:r w:rsidR="002B531F" w:rsidRPr="00114140">
        <w:t xml:space="preserve">” </w:t>
      </w:r>
      <w:r w:rsidR="002B531F">
        <w:t xml:space="preserve">database, </w:t>
      </w:r>
      <w:r w:rsidR="002B531F" w:rsidRPr="00114140">
        <w:t>which allows FFLs to verify the legitimacy of the licensee before shipping or disposing of a firearm.</w:t>
      </w:r>
    </w:p>
    <w:p w:rsidR="002B531F" w:rsidRDefault="002B531F" w:rsidP="007D0C8C"/>
    <w:p w:rsidR="007D0C8C" w:rsidRDefault="007D0C8C" w:rsidP="007D0C8C">
      <w:r w:rsidRPr="00114140">
        <w:t xml:space="preserve">ATF’s </w:t>
      </w:r>
      <w:r w:rsidR="00D31D89">
        <w:t>Federal</w:t>
      </w:r>
      <w:r w:rsidRPr="00114140">
        <w:t xml:space="preserve"> Firearms Licensing Center (FFLC) </w:t>
      </w:r>
      <w:r>
        <w:t>issues</w:t>
      </w:r>
      <w:r w:rsidRPr="00114140">
        <w:t xml:space="preserve"> licenses to legitimate firearms manufacturers, importers, and dealers.  ATF </w:t>
      </w:r>
      <w:r>
        <w:t>investigates</w:t>
      </w:r>
      <w:r w:rsidRPr="00114140">
        <w:t xml:space="preserve"> firearms license applicants for </w:t>
      </w:r>
      <w:r w:rsidR="00D31D89">
        <w:t>Federal</w:t>
      </w:r>
      <w:r w:rsidRPr="00114140">
        <w:t xml:space="preserve"> prohibitions such as felony convictions, illicit drug use, illegal alien status, mental illness, </w:t>
      </w:r>
      <w:r>
        <w:t xml:space="preserve">or </w:t>
      </w:r>
      <w:r w:rsidRPr="00114140">
        <w:t xml:space="preserve">minimum age requirement.  </w:t>
      </w:r>
    </w:p>
    <w:p w:rsidR="00482D19" w:rsidRDefault="00482D19" w:rsidP="007D0C8C"/>
    <w:p w:rsidR="007D0C8C" w:rsidRDefault="007D0C8C" w:rsidP="00482D19">
      <w:r w:rsidRPr="00114140">
        <w:t xml:space="preserve">Proper and timely recordkeeping by FFLs is critical to the success of a </w:t>
      </w:r>
      <w:r w:rsidRPr="00114140">
        <w:lastRenderedPageBreak/>
        <w:t xml:space="preserve">crime gun trace and is required for all firearms </w:t>
      </w:r>
      <w:r>
        <w:t>transactions</w:t>
      </w:r>
      <w:r w:rsidRPr="00114140">
        <w:t xml:space="preserve"> by licensees.  </w:t>
      </w:r>
      <w:r w:rsidR="00965673">
        <w:t xml:space="preserve">This is critical nexus unique in law enforcement between industry and tracing that ATF applies to violent criminal activity.  </w:t>
      </w:r>
      <w:r w:rsidRPr="00114140">
        <w:t xml:space="preserve">Failing to account for firearms is </w:t>
      </w:r>
      <w:r w:rsidR="00730FE6">
        <w:t>a s</w:t>
      </w:r>
      <w:r w:rsidRPr="00114140">
        <w:t xml:space="preserve">erious public safety concern because unaccounted firearms cannot be </w:t>
      </w:r>
      <w:r w:rsidRPr="009813EA">
        <w:t>completely traced to the retail</w:t>
      </w:r>
      <w:r w:rsidRPr="008F20CC">
        <w:rPr>
          <w:color w:val="548DD4" w:themeColor="text2" w:themeTint="99"/>
        </w:rPr>
        <w:t xml:space="preserve"> </w:t>
      </w:r>
      <w:r w:rsidRPr="009813EA">
        <w:t>purchaser.</w:t>
      </w:r>
      <w:r w:rsidRPr="00114140">
        <w:t xml:space="preserve">  ATF’s FFL inspection program includes using </w:t>
      </w:r>
      <w:r w:rsidR="00023FF8">
        <w:t>firearms trace</w:t>
      </w:r>
      <w:r w:rsidRPr="00114140">
        <w:t xml:space="preserve"> information on recovered firearms to detect indicators of illegal firearms trafficking and provide leads for inspections of specific dealers.</w:t>
      </w:r>
    </w:p>
    <w:p w:rsidR="007D0C8C" w:rsidRDefault="007D0C8C" w:rsidP="007D0C8C"/>
    <w:p w:rsidR="007D0C8C" w:rsidRPr="0032011B" w:rsidRDefault="007D0C8C" w:rsidP="007D0C8C">
      <w:r w:rsidRPr="0032011B">
        <w:t xml:space="preserve">Along with conducting face-to-face qualifying inspections of all new license applicants, ATF conducts compliance inspections of current FFLs and collaborates with the industry on voluntary compliance efforts.  </w:t>
      </w:r>
      <w:r w:rsidR="00E91D81" w:rsidRPr="0032011B">
        <w:t>ATF employs approximately 6</w:t>
      </w:r>
      <w:r w:rsidR="00583DAC" w:rsidRPr="0032011B">
        <w:t>5</w:t>
      </w:r>
      <w:r w:rsidR="00E91D81" w:rsidRPr="0032011B">
        <w:t xml:space="preserve">0 non-supervisory, field-based IOIs to investigate approximately </w:t>
      </w:r>
      <w:r w:rsidR="00C25B3E" w:rsidRPr="0032011B">
        <w:t xml:space="preserve">124,600 </w:t>
      </w:r>
      <w:r w:rsidR="00E91D81" w:rsidRPr="0032011B">
        <w:t xml:space="preserve">firearms licensees, approximately </w:t>
      </w:r>
      <w:r w:rsidR="00C25B3E" w:rsidRPr="0032011B">
        <w:t>59,700</w:t>
      </w:r>
      <w:r w:rsidR="00E91D81" w:rsidRPr="0032011B">
        <w:t xml:space="preserve"> of which are collectors of specialty firearms, </w:t>
      </w:r>
      <w:r w:rsidR="00E91D81" w:rsidRPr="0032011B">
        <w:rPr>
          <w:i/>
        </w:rPr>
        <w:t>e.g.</w:t>
      </w:r>
      <w:r w:rsidR="00E91D81" w:rsidRPr="0032011B">
        <w:t xml:space="preserve"> curios and relics.</w:t>
      </w:r>
      <w:r w:rsidRPr="0032011B">
        <w:t xml:space="preserve">  In FY </w:t>
      </w:r>
      <w:r w:rsidR="00657B8E" w:rsidRPr="0032011B">
        <w:t>2011</w:t>
      </w:r>
      <w:r w:rsidRPr="0032011B">
        <w:t xml:space="preserve">, these IOIs </w:t>
      </w:r>
      <w:r w:rsidR="00657B8E" w:rsidRPr="0032011B">
        <w:t>conducted compliance inspections of</w:t>
      </w:r>
      <w:r w:rsidRPr="0032011B">
        <w:t xml:space="preserve"> more than 1</w:t>
      </w:r>
      <w:r w:rsidR="00D9043D" w:rsidRPr="0032011B">
        <w:t>1</w:t>
      </w:r>
      <w:r w:rsidRPr="0032011B">
        <w:t>,</w:t>
      </w:r>
      <w:r w:rsidR="00D9043D" w:rsidRPr="0032011B">
        <w:t>400</w:t>
      </w:r>
      <w:r w:rsidRPr="0032011B">
        <w:t xml:space="preserve"> active FFLs.</w:t>
      </w:r>
    </w:p>
    <w:p w:rsidR="00965673" w:rsidRPr="0032011B" w:rsidRDefault="00965673" w:rsidP="007D0C8C"/>
    <w:p w:rsidR="007D0C8C" w:rsidRPr="0032011B" w:rsidRDefault="007D0C8C" w:rsidP="007D0C8C">
      <w:r w:rsidRPr="0032011B">
        <w:t xml:space="preserve">ATF IOIs inspect FFLs to ensure compliance with the Gun Control Act (GCA).  Responses to non-compliance include issuing a “Report of Violations,” sending a “Warning Letter,” or holding a “Warning Conference” with the </w:t>
      </w:r>
      <w:r w:rsidR="00965673" w:rsidRPr="0032011B">
        <w:t>FFL</w:t>
      </w:r>
      <w:r w:rsidRPr="0032011B">
        <w:t xml:space="preserve">.  On rare occasions, ATF encounters a licensee who fails to comply with laws and regulations or who demonstrates a lack of commitment to improving </w:t>
      </w:r>
      <w:r w:rsidR="00965673" w:rsidRPr="0032011B">
        <w:t xml:space="preserve">their </w:t>
      </w:r>
      <w:r w:rsidRPr="0032011B">
        <w:t xml:space="preserve">business practices.  In such cases, ATF’s obligation to protect public safety may require revocation of the </w:t>
      </w:r>
      <w:r w:rsidR="00D31D89" w:rsidRPr="0032011B">
        <w:t>Federal</w:t>
      </w:r>
      <w:r w:rsidRPr="0032011B">
        <w:t xml:space="preserve"> firearms license.</w:t>
      </w:r>
    </w:p>
    <w:p w:rsidR="007D0C8C" w:rsidRPr="00114140" w:rsidRDefault="007D0C8C" w:rsidP="007D0C8C"/>
    <w:p w:rsidR="007D0C8C" w:rsidRPr="00114140" w:rsidRDefault="00C36545" w:rsidP="007D0C8C">
      <w:r w:rsidRPr="00D1574D">
        <w:t>The Attorney General has delegated to ATF the authority to administer the permanent importation provisions of the Arms Export control Act (AECA).  Under the AECA, ATF regulates the permanent importation of firearms, ammunition, and implements of war into the U.S.  ATF processes</w:t>
      </w:r>
      <w:r w:rsidR="007D0C8C" w:rsidRPr="00114140">
        <w:t xml:space="preserve"> applications to import items </w:t>
      </w:r>
      <w:r w:rsidR="007D0C8C">
        <w:t>from</w:t>
      </w:r>
      <w:r w:rsidR="007D0C8C" w:rsidRPr="00114140">
        <w:t xml:space="preserve"> domestic businesses, members of the U.S. military returning from abroad with personal firearms, non-immigrant aliens temporarily hunting or attending legal sporting activities in the U.S., and U.S. citizens re-establishing residency after having lived abroad.  Through industry outreach and regulation, ATF provides technical advice to the public regarding import requirements applicable to firearms, ammunition</w:t>
      </w:r>
      <w:r w:rsidR="007D0C8C">
        <w:t>,</w:t>
      </w:r>
      <w:r w:rsidR="007D0C8C" w:rsidRPr="00114140">
        <w:t xml:space="preserve"> and implements of war.</w:t>
      </w:r>
    </w:p>
    <w:p w:rsidR="008A2876" w:rsidRDefault="008A2876" w:rsidP="007D0C8C"/>
    <w:p w:rsidR="007D0C8C" w:rsidRPr="0032011B" w:rsidRDefault="007D0C8C"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32011B">
        <w:t>In fiscal year</w:t>
      </w:r>
      <w:r w:rsidR="00583DAC" w:rsidRPr="0032011B">
        <w:t xml:space="preserve"> </w:t>
      </w:r>
      <w:r w:rsidR="00EF16D5" w:rsidRPr="0032011B">
        <w:t>2011</w:t>
      </w:r>
      <w:r w:rsidRPr="0032011B">
        <w:t xml:space="preserve">, ATF conducted </w:t>
      </w:r>
      <w:r w:rsidR="00EF16D5" w:rsidRPr="0032011B">
        <w:t>13,159</w:t>
      </w:r>
      <w:r w:rsidRPr="0032011B">
        <w:t xml:space="preserve"> compliance inspections.</w:t>
      </w:r>
    </w:p>
    <w:p w:rsidR="00583DAC" w:rsidRPr="0032011B" w:rsidRDefault="00EF16D5"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32011B">
        <w:t>50.3</w:t>
      </w:r>
      <w:r w:rsidR="007D0C8C" w:rsidRPr="0032011B">
        <w:t xml:space="preserve"> percent of the licensees inspected were determined to be in full compliance with the law and regulations and no violations</w:t>
      </w:r>
      <w:r w:rsidRPr="0032011B">
        <w:t xml:space="preserve"> of any type were cited</w:t>
      </w:r>
      <w:r w:rsidR="007D0C8C" w:rsidRPr="0032011B">
        <w:t>.</w:t>
      </w:r>
      <w:r w:rsidRPr="0032011B">
        <w:t xml:space="preserve">  </w:t>
      </w:r>
    </w:p>
    <w:p w:rsidR="00583DAC" w:rsidRPr="0032011B" w:rsidRDefault="00EF16D5"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32011B">
        <w:t>74 percent of the licensees inspected as “Compli</w:t>
      </w:r>
      <w:r w:rsidR="00583DAC" w:rsidRPr="0032011B">
        <w:t xml:space="preserve">ant” with laws and regulations. </w:t>
      </w:r>
    </w:p>
    <w:p w:rsidR="00583DAC" w:rsidRPr="0032011B" w:rsidRDefault="00EF16D5"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32011B">
        <w:t>16 percent as “</w:t>
      </w:r>
      <w:r w:rsidR="00583DAC" w:rsidRPr="0032011B">
        <w:t>At</w:t>
      </w:r>
      <w:r w:rsidRPr="0032011B">
        <w:t xml:space="preserve"> </w:t>
      </w:r>
      <w:r w:rsidR="00583DAC" w:rsidRPr="0032011B">
        <w:t>r</w:t>
      </w:r>
      <w:r w:rsidRPr="0032011B">
        <w:t>isk”</w:t>
      </w:r>
      <w:r w:rsidR="00583DAC" w:rsidRPr="0032011B">
        <w:t xml:space="preserve">. </w:t>
      </w:r>
    </w:p>
    <w:p w:rsidR="00583DAC" w:rsidRPr="0032011B" w:rsidRDefault="00EF16D5"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32011B">
        <w:t xml:space="preserve">4 percent as “Non-compliant”. </w:t>
      </w:r>
    </w:p>
    <w:p w:rsidR="007D0C8C" w:rsidRPr="0032011B" w:rsidRDefault="00EF16D5"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32011B">
        <w:t>6 percent of compliance inspections did not require a determination of the licensees’ level of compliance (e.g., theft investigations, assists to criminal investigations, etc.).</w:t>
      </w:r>
    </w:p>
    <w:p w:rsidR="007D0C8C" w:rsidRPr="0032011B" w:rsidRDefault="00EF16D5"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32011B">
        <w:t>57</w:t>
      </w:r>
      <w:r w:rsidR="007D0C8C" w:rsidRPr="0032011B">
        <w:t xml:space="preserve"> compliance inspections recommended license revocation or denial of an application for renewal of a </w:t>
      </w:r>
      <w:r w:rsidR="00D31D89" w:rsidRPr="0032011B">
        <w:t>Federal</w:t>
      </w:r>
      <w:r w:rsidR="007D0C8C" w:rsidRPr="0032011B">
        <w:t xml:space="preserve"> firearms license due to willful violations</w:t>
      </w:r>
      <w:r w:rsidR="00583DAC" w:rsidRPr="0032011B">
        <w:t xml:space="preserve">, representing </w:t>
      </w:r>
      <w:r w:rsidR="007D0C8C" w:rsidRPr="0032011B">
        <w:t>less than one percent of the number of licensees inspected.</w:t>
      </w:r>
    </w:p>
    <w:p w:rsidR="007D0C8C" w:rsidRPr="0032011B" w:rsidRDefault="007D0C8C"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32011B">
        <w:t>ATF reviewed more than</w:t>
      </w:r>
      <w:r w:rsidR="009B105C" w:rsidRPr="0032011B">
        <w:t xml:space="preserve"> </w:t>
      </w:r>
      <w:r w:rsidR="00EF16D5" w:rsidRPr="0032011B">
        <w:t xml:space="preserve">1.76 </w:t>
      </w:r>
      <w:r w:rsidRPr="0032011B">
        <w:t xml:space="preserve">million firearms transfer records for legal sufficiency and validated </w:t>
      </w:r>
      <w:r w:rsidR="009B105C" w:rsidRPr="0032011B">
        <w:t xml:space="preserve">over </w:t>
      </w:r>
      <w:r w:rsidR="00EF16D5" w:rsidRPr="0032011B">
        <w:t>322,000</w:t>
      </w:r>
      <w:r w:rsidRPr="0032011B">
        <w:t xml:space="preserve"> National Instant Check submissions.</w:t>
      </w:r>
    </w:p>
    <w:p w:rsidR="007D0C8C" w:rsidRPr="0032011B" w:rsidRDefault="007D0C8C"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32011B">
        <w:lastRenderedPageBreak/>
        <w:t xml:space="preserve">During compliance inspections conducted in </w:t>
      </w:r>
      <w:r w:rsidR="00EF16D5" w:rsidRPr="0032011B">
        <w:t>2011</w:t>
      </w:r>
      <w:r w:rsidRPr="0032011B">
        <w:t xml:space="preserve">, ATF investigators identified </w:t>
      </w:r>
      <w:r w:rsidR="00EF16D5" w:rsidRPr="0032011B">
        <w:t>177,514</w:t>
      </w:r>
      <w:r w:rsidRPr="0032011B">
        <w:t xml:space="preserve"> firearms that FFLs could not locate in inventory or account for by disposition or theft.</w:t>
      </w:r>
    </w:p>
    <w:p w:rsidR="007D0C8C" w:rsidRPr="0032011B" w:rsidRDefault="007D0C8C"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32011B">
        <w:t xml:space="preserve">By working with industry members, IOIs reduced </w:t>
      </w:r>
      <w:r w:rsidR="00342594" w:rsidRPr="0032011B">
        <w:t xml:space="preserve">the </w:t>
      </w:r>
      <w:r w:rsidR="00EF16D5" w:rsidRPr="0032011B">
        <w:t>177,514</w:t>
      </w:r>
      <w:r w:rsidR="00342594" w:rsidRPr="0032011B">
        <w:t xml:space="preserve"> </w:t>
      </w:r>
      <w:r w:rsidR="00583DAC" w:rsidRPr="0032011B">
        <w:t xml:space="preserve">unaccounted-for firearms </w:t>
      </w:r>
      <w:r w:rsidRPr="0032011B">
        <w:t xml:space="preserve">to approximately </w:t>
      </w:r>
      <w:r w:rsidR="00EF16D5" w:rsidRPr="0032011B">
        <w:t>18,527</w:t>
      </w:r>
      <w:r w:rsidRPr="0032011B">
        <w:t xml:space="preserve"> unaccounted-for firearms.  ATF </w:t>
      </w:r>
      <w:r w:rsidR="00A7318A" w:rsidRPr="0032011B">
        <w:t xml:space="preserve">successfully </w:t>
      </w:r>
      <w:r w:rsidRPr="0032011B">
        <w:t>improved the rate of potential firearms traces</w:t>
      </w:r>
      <w:r w:rsidR="00A7318A" w:rsidRPr="0032011B">
        <w:t xml:space="preserve"> by</w:t>
      </w:r>
      <w:r w:rsidRPr="0032011B">
        <w:t xml:space="preserve"> </w:t>
      </w:r>
      <w:r w:rsidR="00EF16D5" w:rsidRPr="0032011B">
        <w:t>90</w:t>
      </w:r>
      <w:r w:rsidRPr="0032011B">
        <w:t xml:space="preserve"> percent.</w:t>
      </w:r>
    </w:p>
    <w:p w:rsidR="00A7318A" w:rsidRPr="0032011B" w:rsidRDefault="00A7318A" w:rsidP="007D0C8C">
      <w:pPr>
        <w:numPr>
          <w:ilvl w:val="1"/>
          <w:numId w:val="7"/>
        </w:numPr>
        <w:pBdr>
          <w:top w:val="double" w:sz="6" w:space="1" w:color="auto"/>
          <w:left w:val="double" w:sz="6" w:space="13" w:color="auto"/>
          <w:bottom w:val="double" w:sz="6" w:space="1" w:color="auto"/>
          <w:right w:val="double" w:sz="6" w:space="4" w:color="auto"/>
        </w:pBdr>
        <w:tabs>
          <w:tab w:val="clear" w:pos="2160"/>
        </w:tabs>
        <w:ind w:left="720" w:right="360"/>
      </w:pPr>
      <w:r w:rsidRPr="0032011B">
        <w:t>In FY 2011, as a result of firearms licensee inspections, ATF IOI’s made 977 referrals of information to ATF criminal enforcement and other law enforcement agencies which identified potential criminal activity.</w:t>
      </w:r>
    </w:p>
    <w:p w:rsidR="00A7318A" w:rsidRDefault="00A7318A" w:rsidP="007D0C8C">
      <w:pPr>
        <w:rPr>
          <w:b/>
          <w:i/>
        </w:rPr>
      </w:pPr>
    </w:p>
    <w:p w:rsidR="007D0C8C" w:rsidRPr="00F406BC" w:rsidRDefault="007D0C8C" w:rsidP="007D0C8C">
      <w:pPr>
        <w:rPr>
          <w:b/>
          <w:i/>
        </w:rPr>
      </w:pPr>
      <w:r w:rsidRPr="00F406BC">
        <w:rPr>
          <w:b/>
          <w:i/>
        </w:rPr>
        <w:t>Reducing Violence on the Southwest Bo</w:t>
      </w:r>
      <w:r w:rsidR="008A2876">
        <w:rPr>
          <w:b/>
          <w:i/>
        </w:rPr>
        <w:t xml:space="preserve">rder </w:t>
      </w:r>
      <w:r w:rsidRPr="00F406BC">
        <w:rPr>
          <w:b/>
          <w:i/>
        </w:rPr>
        <w:t xml:space="preserve"> </w:t>
      </w:r>
    </w:p>
    <w:p w:rsidR="007D0C8C" w:rsidRPr="00F406BC" w:rsidRDefault="007D0C8C" w:rsidP="007D0C8C">
      <w:pPr>
        <w:rPr>
          <w:b/>
          <w:i/>
        </w:rPr>
      </w:pPr>
    </w:p>
    <w:p w:rsidR="007D0C8C" w:rsidRDefault="00400962" w:rsidP="007D0C8C">
      <w:pPr>
        <w:rPr>
          <w:color w:val="996633"/>
        </w:rPr>
      </w:pPr>
      <w:r>
        <w:t>The violence fueled by firearms trafficking is evident in the crisis on our Southwest Border.  Our firearms trafficking strategy complements our contin</w:t>
      </w:r>
      <w:r w:rsidR="007D0C8C" w:rsidRPr="00114140">
        <w:t xml:space="preserve">ued focus on </w:t>
      </w:r>
      <w:r w:rsidR="007D0C8C">
        <w:t>deploying</w:t>
      </w:r>
      <w:r w:rsidR="007D0C8C" w:rsidRPr="00114140">
        <w:t xml:space="preserve"> resources to specific localities where there is a high incidence of gang and gun violence.  Recent investigative data have shown an increase in the number of firearms recovered in Mexico, and these firearms fuel the growing violence </w:t>
      </w:r>
      <w:r w:rsidR="00520B8A">
        <w:t xml:space="preserve">within Mexico and </w:t>
      </w:r>
      <w:r w:rsidR="007D0C8C" w:rsidRPr="00114140">
        <w:t xml:space="preserve">along the border.  In partnership with other U.S. agencies and the </w:t>
      </w:r>
      <w:r w:rsidR="00520B8A">
        <w:t>g</w:t>
      </w:r>
      <w:r w:rsidR="007D0C8C" w:rsidRPr="00114140">
        <w:t xml:space="preserve">overnment of Mexico, </w:t>
      </w:r>
      <w:r w:rsidR="00514DB2" w:rsidRPr="00FA4E48">
        <w:t>ATF</w:t>
      </w:r>
      <w:r w:rsidR="007D0C8C" w:rsidRPr="00114140">
        <w:t xml:space="preserve"> investigate</w:t>
      </w:r>
      <w:r w:rsidR="007D0C8C">
        <w:t>s</w:t>
      </w:r>
      <w:r w:rsidR="007D0C8C" w:rsidRPr="00114140">
        <w:t xml:space="preserve"> the sources of firearms </w:t>
      </w:r>
      <w:r w:rsidR="00520B8A">
        <w:t xml:space="preserve">illegally trafficked from the U.S. into the hands of Mexican criminal groups and individuals. These firearms are </w:t>
      </w:r>
      <w:r w:rsidR="007D0C8C" w:rsidRPr="00114140">
        <w:t>identified from trace data derived from firearm recoveries and subsequent trace requests made by our Mexican counterparts</w:t>
      </w:r>
      <w:r w:rsidR="00520B8A">
        <w:t>, as well as through proactive criminal investigations initiated in the U.S. based on tactical and strategic intelligence and information</w:t>
      </w:r>
      <w:r w:rsidR="007D0C8C" w:rsidRPr="00114140">
        <w:t>.  In the overarching U.S. Government S</w:t>
      </w:r>
      <w:r w:rsidR="007D0C8C">
        <w:t xml:space="preserve">outhwest </w:t>
      </w:r>
      <w:r w:rsidR="007D0C8C" w:rsidRPr="002E02BB">
        <w:t>Border strategy</w:t>
      </w:r>
      <w:r w:rsidR="007D0C8C">
        <w:t xml:space="preserve">, ATF </w:t>
      </w:r>
      <w:r w:rsidR="007D0C8C" w:rsidRPr="00114140">
        <w:t>stem</w:t>
      </w:r>
      <w:r w:rsidR="007D0C8C">
        <w:t>s</w:t>
      </w:r>
      <w:r w:rsidR="007D0C8C" w:rsidRPr="00114140">
        <w:t xml:space="preserve"> the illegal trafficking of weapons across the border and reduce</w:t>
      </w:r>
      <w:r w:rsidR="007D0C8C">
        <w:t>s</w:t>
      </w:r>
      <w:r w:rsidR="007D0C8C" w:rsidRPr="00114140">
        <w:t xml:space="preserve"> the firearms</w:t>
      </w:r>
      <w:r w:rsidR="007D0C8C">
        <w:t>-</w:t>
      </w:r>
      <w:r w:rsidR="007D0C8C" w:rsidRPr="00114140">
        <w:t xml:space="preserve">driven violence now </w:t>
      </w:r>
      <w:r w:rsidR="005E7548" w:rsidRPr="00594A5C">
        <w:t>occurring on both sides of the border.</w:t>
      </w:r>
      <w:r w:rsidR="005E7548" w:rsidRPr="005E7548">
        <w:rPr>
          <w:color w:val="996633"/>
        </w:rPr>
        <w:t xml:space="preserve">  </w:t>
      </w:r>
    </w:p>
    <w:p w:rsidR="00594A5C" w:rsidRPr="00E70BD6" w:rsidRDefault="00594A5C" w:rsidP="007D0C8C">
      <w:pPr>
        <w:rPr>
          <w:color w:val="996633"/>
        </w:rPr>
      </w:pPr>
    </w:p>
    <w:p w:rsidR="00F26649" w:rsidRPr="00713FF8" w:rsidRDefault="00F26649" w:rsidP="00F26649">
      <w:pPr>
        <w:pStyle w:val="PlainText"/>
        <w:rPr>
          <w:rFonts w:ascii="Times New Roman" w:hAnsi="Times New Roman"/>
          <w:sz w:val="24"/>
          <w:szCs w:val="24"/>
        </w:rPr>
      </w:pPr>
      <w:r w:rsidRPr="00713FF8">
        <w:rPr>
          <w:rFonts w:ascii="Times New Roman" w:hAnsi="Times New Roman"/>
          <w:sz w:val="24"/>
          <w:szCs w:val="24"/>
        </w:rPr>
        <w:t xml:space="preserve">The Department and ATF take seriously the mandate to ensure that incidents like those that occurred during firearms trafficking investigations in Arizona do not happen again. </w:t>
      </w:r>
      <w:r>
        <w:rPr>
          <w:rFonts w:ascii="Times New Roman" w:hAnsi="Times New Roman"/>
          <w:sz w:val="24"/>
          <w:szCs w:val="24"/>
        </w:rPr>
        <w:t>T</w:t>
      </w:r>
      <w:r w:rsidRPr="00713FF8">
        <w:rPr>
          <w:rFonts w:ascii="Times New Roman" w:hAnsi="Times New Roman"/>
          <w:sz w:val="24"/>
          <w:szCs w:val="24"/>
        </w:rPr>
        <w:t>he Department and ATF have instituted a series of policies designed to make sure similar problems are not repeated.  These policies include:</w:t>
      </w:r>
    </w:p>
    <w:p w:rsidR="00F26649" w:rsidRPr="00713FF8" w:rsidRDefault="00F26649" w:rsidP="00F26649">
      <w:pPr>
        <w:pStyle w:val="PlainText"/>
        <w:rPr>
          <w:rFonts w:ascii="Times New Roman" w:hAnsi="Times New Roman"/>
          <w:sz w:val="24"/>
          <w:szCs w:val="24"/>
        </w:rPr>
      </w:pPr>
    </w:p>
    <w:p w:rsidR="00F26649" w:rsidRPr="00713FF8" w:rsidRDefault="00F26649" w:rsidP="00F26649">
      <w:pPr>
        <w:pStyle w:val="PlainText"/>
        <w:numPr>
          <w:ilvl w:val="0"/>
          <w:numId w:val="79"/>
        </w:numPr>
        <w:rPr>
          <w:rFonts w:ascii="Times New Roman" w:hAnsi="Times New Roman"/>
          <w:sz w:val="24"/>
          <w:szCs w:val="24"/>
        </w:rPr>
      </w:pPr>
      <w:r w:rsidRPr="00713FF8">
        <w:rPr>
          <w:rFonts w:ascii="Times New Roman" w:hAnsi="Times New Roman"/>
          <w:sz w:val="24"/>
          <w:szCs w:val="24"/>
        </w:rPr>
        <w:t>Clarifi</w:t>
      </w:r>
      <w:r>
        <w:rPr>
          <w:rFonts w:ascii="Times New Roman" w:hAnsi="Times New Roman"/>
          <w:sz w:val="24"/>
          <w:szCs w:val="24"/>
        </w:rPr>
        <w:t>cations of the firearms transfer</w:t>
      </w:r>
      <w:r w:rsidRPr="00713FF8">
        <w:rPr>
          <w:rFonts w:ascii="Times New Roman" w:hAnsi="Times New Roman"/>
          <w:sz w:val="24"/>
          <w:szCs w:val="24"/>
        </w:rPr>
        <w:t xml:space="preserve"> policy stressing early interdiction and intervention to prevent criminal </w:t>
      </w:r>
      <w:r>
        <w:rPr>
          <w:rFonts w:ascii="Times New Roman" w:hAnsi="Times New Roman"/>
          <w:sz w:val="24"/>
          <w:szCs w:val="24"/>
        </w:rPr>
        <w:t>misuse of firearms</w:t>
      </w:r>
      <w:r w:rsidRPr="00713FF8">
        <w:rPr>
          <w:rFonts w:ascii="Times New Roman" w:hAnsi="Times New Roman"/>
          <w:sz w:val="24"/>
          <w:szCs w:val="24"/>
        </w:rPr>
        <w:t xml:space="preserve"> while maximizing public</w:t>
      </w:r>
      <w:r>
        <w:rPr>
          <w:rFonts w:ascii="Times New Roman" w:hAnsi="Times New Roman"/>
          <w:sz w:val="24"/>
          <w:szCs w:val="24"/>
        </w:rPr>
        <w:t xml:space="preserve"> </w:t>
      </w:r>
      <w:r w:rsidRPr="00713FF8">
        <w:rPr>
          <w:rFonts w:ascii="Times New Roman" w:hAnsi="Times New Roman"/>
          <w:sz w:val="24"/>
          <w:szCs w:val="24"/>
        </w:rPr>
        <w:t>safety</w:t>
      </w:r>
      <w:r>
        <w:rPr>
          <w:rFonts w:ascii="Times New Roman" w:hAnsi="Times New Roman"/>
          <w:sz w:val="24"/>
          <w:szCs w:val="24"/>
        </w:rPr>
        <w:t>.</w:t>
      </w:r>
    </w:p>
    <w:p w:rsidR="00F26649" w:rsidRPr="00713FF8" w:rsidRDefault="00F26649" w:rsidP="00F26649">
      <w:pPr>
        <w:pStyle w:val="PlainText"/>
        <w:numPr>
          <w:ilvl w:val="0"/>
          <w:numId w:val="79"/>
        </w:numPr>
        <w:rPr>
          <w:rFonts w:ascii="Times New Roman" w:hAnsi="Times New Roman"/>
          <w:sz w:val="24"/>
          <w:szCs w:val="24"/>
        </w:rPr>
      </w:pPr>
      <w:r w:rsidRPr="00713FF8">
        <w:rPr>
          <w:rFonts w:ascii="Times New Roman" w:hAnsi="Times New Roman"/>
          <w:sz w:val="24"/>
          <w:szCs w:val="24"/>
        </w:rPr>
        <w:t>New case monitoring programs that receive</w:t>
      </w:r>
      <w:r>
        <w:rPr>
          <w:rFonts w:ascii="Times New Roman" w:hAnsi="Times New Roman"/>
          <w:sz w:val="24"/>
          <w:szCs w:val="24"/>
        </w:rPr>
        <w:t xml:space="preserve"> </w:t>
      </w:r>
      <w:r w:rsidRPr="00713FF8">
        <w:rPr>
          <w:rFonts w:ascii="Times New Roman" w:hAnsi="Times New Roman"/>
          <w:sz w:val="24"/>
          <w:szCs w:val="24"/>
        </w:rPr>
        <w:t>enhance</w:t>
      </w:r>
      <w:r>
        <w:rPr>
          <w:rFonts w:ascii="Times New Roman" w:hAnsi="Times New Roman"/>
          <w:sz w:val="24"/>
          <w:szCs w:val="24"/>
        </w:rPr>
        <w:t>d</w:t>
      </w:r>
      <w:r w:rsidRPr="00713FF8">
        <w:rPr>
          <w:rFonts w:ascii="Times New Roman" w:hAnsi="Times New Roman"/>
          <w:sz w:val="24"/>
          <w:szCs w:val="24"/>
        </w:rPr>
        <w:t xml:space="preserve"> oversight from ATF Headquarters with scheduled briefings on monthly case progress.</w:t>
      </w:r>
    </w:p>
    <w:p w:rsidR="00F26649" w:rsidRPr="00713FF8" w:rsidRDefault="00F26649" w:rsidP="00F26649">
      <w:pPr>
        <w:pStyle w:val="PlainText"/>
        <w:numPr>
          <w:ilvl w:val="0"/>
          <w:numId w:val="79"/>
        </w:numPr>
        <w:rPr>
          <w:rFonts w:ascii="Times New Roman" w:hAnsi="Times New Roman"/>
          <w:sz w:val="24"/>
          <w:szCs w:val="24"/>
        </w:rPr>
      </w:pPr>
      <w:r w:rsidRPr="00713FF8">
        <w:rPr>
          <w:rFonts w:ascii="Times New Roman" w:hAnsi="Times New Roman"/>
          <w:sz w:val="24"/>
          <w:szCs w:val="24"/>
        </w:rPr>
        <w:t>Revised policies for the use of Confidential Informants and Undercover Policy Operations.</w:t>
      </w:r>
    </w:p>
    <w:p w:rsidR="00F26649" w:rsidRPr="00713FF8" w:rsidRDefault="00F26649" w:rsidP="00F26649">
      <w:pPr>
        <w:pStyle w:val="PlainText"/>
        <w:numPr>
          <w:ilvl w:val="0"/>
          <w:numId w:val="79"/>
        </w:numPr>
        <w:rPr>
          <w:rFonts w:ascii="Times New Roman" w:hAnsi="Times New Roman"/>
          <w:sz w:val="24"/>
          <w:szCs w:val="24"/>
        </w:rPr>
      </w:pPr>
      <w:r w:rsidRPr="00713FF8">
        <w:rPr>
          <w:rFonts w:ascii="Times New Roman" w:hAnsi="Times New Roman"/>
          <w:sz w:val="24"/>
          <w:szCs w:val="24"/>
        </w:rPr>
        <w:t>Reinforcing by memorandum to every Special Agent in Charge (SAC) the importance of deconfliction and information sharing.</w:t>
      </w:r>
    </w:p>
    <w:p w:rsidR="00F26649" w:rsidRPr="00713FF8" w:rsidRDefault="00F26649" w:rsidP="00F26649">
      <w:pPr>
        <w:pStyle w:val="PlainText"/>
        <w:numPr>
          <w:ilvl w:val="0"/>
          <w:numId w:val="79"/>
        </w:numPr>
        <w:rPr>
          <w:rFonts w:ascii="Times New Roman" w:hAnsi="Times New Roman"/>
          <w:sz w:val="24"/>
          <w:szCs w:val="24"/>
        </w:rPr>
      </w:pPr>
      <w:r w:rsidRPr="00713FF8">
        <w:rPr>
          <w:rFonts w:ascii="Times New Roman" w:hAnsi="Times New Roman"/>
          <w:sz w:val="24"/>
          <w:szCs w:val="24"/>
        </w:rPr>
        <w:t>Establishment of an advisory committee to advise ATF leadership by meeting quarterly with the Acting Director and Deputy Director to share concerns giving SACs a direct line of communication to the Deputy Director</w:t>
      </w:r>
      <w:r>
        <w:rPr>
          <w:rFonts w:ascii="Times New Roman" w:hAnsi="Times New Roman"/>
          <w:sz w:val="24"/>
          <w:szCs w:val="24"/>
        </w:rPr>
        <w:t>.</w:t>
      </w:r>
    </w:p>
    <w:p w:rsidR="00F26649" w:rsidRPr="00713FF8" w:rsidRDefault="00F26649" w:rsidP="00F26649">
      <w:pPr>
        <w:pStyle w:val="PlainText"/>
        <w:numPr>
          <w:ilvl w:val="0"/>
          <w:numId w:val="79"/>
        </w:numPr>
        <w:rPr>
          <w:rFonts w:ascii="Times New Roman" w:hAnsi="Times New Roman"/>
          <w:sz w:val="24"/>
          <w:szCs w:val="24"/>
        </w:rPr>
      </w:pPr>
      <w:r w:rsidRPr="00713FF8">
        <w:rPr>
          <w:rFonts w:ascii="Times New Roman" w:hAnsi="Times New Roman"/>
          <w:sz w:val="24"/>
          <w:szCs w:val="24"/>
        </w:rPr>
        <w:t>Providing supplemental training in Phoenix targeted to US-Mexico cross</w:t>
      </w:r>
      <w:r>
        <w:rPr>
          <w:rFonts w:ascii="Times New Roman" w:hAnsi="Times New Roman"/>
          <w:sz w:val="24"/>
          <w:szCs w:val="24"/>
        </w:rPr>
        <w:t>-</w:t>
      </w:r>
      <w:r w:rsidRPr="00713FF8">
        <w:rPr>
          <w:rFonts w:ascii="Times New Roman" w:hAnsi="Times New Roman"/>
          <w:sz w:val="24"/>
          <w:szCs w:val="24"/>
        </w:rPr>
        <w:t xml:space="preserve">border firearms trafficking focused on legal and practical issues in developing </w:t>
      </w:r>
      <w:r>
        <w:rPr>
          <w:rFonts w:ascii="Times New Roman" w:hAnsi="Times New Roman"/>
          <w:sz w:val="24"/>
          <w:szCs w:val="24"/>
        </w:rPr>
        <w:t>c</w:t>
      </w:r>
      <w:r w:rsidRPr="00713FF8">
        <w:rPr>
          <w:rFonts w:ascii="Times New Roman" w:hAnsi="Times New Roman"/>
          <w:sz w:val="24"/>
          <w:szCs w:val="24"/>
        </w:rPr>
        <w:t>ases.</w:t>
      </w:r>
    </w:p>
    <w:p w:rsidR="00F26649" w:rsidRPr="00713FF8" w:rsidRDefault="00F26649" w:rsidP="00F26649">
      <w:pPr>
        <w:pStyle w:val="PlainText"/>
        <w:rPr>
          <w:rFonts w:ascii="Times New Roman" w:hAnsi="Times New Roman"/>
          <w:sz w:val="24"/>
          <w:szCs w:val="24"/>
        </w:rPr>
      </w:pPr>
    </w:p>
    <w:p w:rsidR="00F26649" w:rsidRDefault="00F26649" w:rsidP="00F26649">
      <w:pPr>
        <w:pStyle w:val="PlainText"/>
        <w:rPr>
          <w:rFonts w:ascii="Calibri" w:hAnsi="Calibri"/>
        </w:rPr>
      </w:pPr>
    </w:p>
    <w:p w:rsidR="006235BA" w:rsidRPr="0032011B" w:rsidRDefault="006235BA" w:rsidP="00B8018F">
      <w:r w:rsidRPr="0032011B">
        <w:lastRenderedPageBreak/>
        <w:t xml:space="preserve">ATF’s firearms trafficking strategy is successfully interdicting the flow of weapons along the Southwest Border.  ATF </w:t>
      </w:r>
      <w:r w:rsidR="005E7548" w:rsidRPr="0032011B">
        <w:t>continue</w:t>
      </w:r>
      <w:r w:rsidRPr="0032011B">
        <w:t>s to</w:t>
      </w:r>
      <w:r w:rsidR="005E7548" w:rsidRPr="0032011B">
        <w:t xml:space="preserve"> focus on investigative resources in specific localities where there is a high incidence of gang and gun violence.  ATF’s comprehensive eTrace training program in Mexico</w:t>
      </w:r>
      <w:r w:rsidRPr="0032011B">
        <w:t>,</w:t>
      </w:r>
      <w:r w:rsidR="005E7548" w:rsidRPr="0032011B">
        <w:t xml:space="preserve"> </w:t>
      </w:r>
      <w:r w:rsidRPr="0032011B">
        <w:t xml:space="preserve">assisted in increasing that nation’s firearms investigative capability.  </w:t>
      </w:r>
      <w:r w:rsidR="005E7548" w:rsidRPr="0032011B">
        <w:t xml:space="preserve"> </w:t>
      </w:r>
      <w:r w:rsidRPr="0032011B">
        <w:t>I</w:t>
      </w:r>
      <w:r w:rsidR="005E7548" w:rsidRPr="0032011B">
        <w:t>n calendar year 2010 the Government of Mexico recovered and traced 8</w:t>
      </w:r>
      <w:r w:rsidRPr="0032011B">
        <w:t>,</w:t>
      </w:r>
      <w:r w:rsidR="005E7548" w:rsidRPr="0032011B">
        <w:t xml:space="preserve">060 </w:t>
      </w:r>
      <w:r w:rsidRPr="0032011B">
        <w:t xml:space="preserve">firearms while in calendar year 2011, </w:t>
      </w:r>
      <w:r w:rsidR="005E7548" w:rsidRPr="0032011B">
        <w:t>after ongoing training by ATF</w:t>
      </w:r>
      <w:r w:rsidRPr="0032011B">
        <w:t>,</w:t>
      </w:r>
      <w:r w:rsidR="005E7548" w:rsidRPr="0032011B">
        <w:t xml:space="preserve"> the Government of Mexico recovered and traced 13</w:t>
      </w:r>
      <w:r w:rsidRPr="0032011B">
        <w:t>,</w:t>
      </w:r>
      <w:r w:rsidR="005E7548" w:rsidRPr="0032011B">
        <w:t>594</w:t>
      </w:r>
      <w:r w:rsidRPr="0032011B">
        <w:t xml:space="preserve"> firearms</w:t>
      </w:r>
      <w:r w:rsidR="005E7548" w:rsidRPr="0032011B">
        <w:t>.  Th</w:t>
      </w:r>
      <w:r w:rsidRPr="0032011B">
        <w:t>e</w:t>
      </w:r>
      <w:r w:rsidR="005E7548" w:rsidRPr="0032011B">
        <w:t xml:space="preserve"> increase in recoveries provide</w:t>
      </w:r>
      <w:r w:rsidRPr="0032011B">
        <w:t>d</w:t>
      </w:r>
      <w:r w:rsidR="005E7548" w:rsidRPr="0032011B">
        <w:t xml:space="preserve"> critical information </w:t>
      </w:r>
      <w:r w:rsidRPr="0032011B">
        <w:t>in</w:t>
      </w:r>
      <w:r w:rsidR="005E7548" w:rsidRPr="0032011B">
        <w:t xml:space="preserve"> identifying suspected firearms traffickers.</w:t>
      </w:r>
    </w:p>
    <w:p w:rsidR="006235BA" w:rsidRPr="0032011B" w:rsidRDefault="006235BA" w:rsidP="00B8018F"/>
    <w:p w:rsidR="00B8018F" w:rsidRPr="0032011B" w:rsidRDefault="005E7548" w:rsidP="00B8018F">
      <w:r w:rsidRPr="0032011B">
        <w:t>In partnership with other U.S. agencies and the Government of Mexico, ATF investigates the sources of firearms illegally trafficked from the U.S. into the hands of Mexican criminal groups and individuals.  These firearms are identified from trace data derived from firearm recoveries and subsequent trace requests made by our Mexican counterparts, as well as through proactive criminal investigations initiated in the U.S. based on tactical and strategic intelligence and information.  Since 200</w:t>
      </w:r>
      <w:r w:rsidR="0027468F">
        <w:t>6</w:t>
      </w:r>
      <w:r w:rsidRPr="0032011B">
        <w:t>, ATF has seized over 10,</w:t>
      </w:r>
      <w:r w:rsidR="0027468F">
        <w:t>3</w:t>
      </w:r>
      <w:r w:rsidRPr="0032011B">
        <w:t>00 firearms and 1.</w:t>
      </w:r>
      <w:r w:rsidR="0027468F">
        <w:t>3</w:t>
      </w:r>
      <w:r w:rsidRPr="0032011B">
        <w:t xml:space="preserve"> million rounds of ammunition that was headed towards Mexico.</w:t>
      </w:r>
      <w:r w:rsidR="00B8018F" w:rsidRPr="0032011B">
        <w:t xml:space="preserve">  </w:t>
      </w:r>
    </w:p>
    <w:p w:rsidR="007D0C8C" w:rsidRDefault="007D0C8C" w:rsidP="007D0C8C"/>
    <w:p w:rsidR="007D0C8C" w:rsidRPr="00114140" w:rsidRDefault="007D0C8C" w:rsidP="007D0C8C">
      <w:bookmarkStart w:id="13" w:name="OLE_LINK1"/>
      <w:bookmarkStart w:id="14" w:name="OLE_LINK6"/>
      <w:r w:rsidRPr="00114140">
        <w:t xml:space="preserve">Firearms </w:t>
      </w:r>
      <w:r w:rsidR="00072E7E" w:rsidRPr="004643E9">
        <w:t>tracing,</w:t>
      </w:r>
      <w:r w:rsidRPr="00114140">
        <w:t xml:space="preserve"> </w:t>
      </w:r>
      <w:r w:rsidR="005D2D0D">
        <w:t>including</w:t>
      </w:r>
      <w:r>
        <w:t xml:space="preserve"> the</w:t>
      </w:r>
      <w:r w:rsidRPr="00114140">
        <w:t xml:space="preserve"> expansion of the eTrace </w:t>
      </w:r>
      <w:r w:rsidR="00145EF4">
        <w:t xml:space="preserve">(electronic </w:t>
      </w:r>
      <w:r w:rsidRPr="00114140">
        <w:t xml:space="preserve">firearms </w:t>
      </w:r>
      <w:r w:rsidR="002174F0" w:rsidRPr="0016245C">
        <w:t>tracing</w:t>
      </w:r>
      <w:r w:rsidRPr="00114140">
        <w:t xml:space="preserve"> system</w:t>
      </w:r>
      <w:r w:rsidR="00145EF4">
        <w:t>)</w:t>
      </w:r>
      <w:r>
        <w:t xml:space="preserve"> into the nine U.S. Consulates in Mexico</w:t>
      </w:r>
      <w:r w:rsidRPr="00114140">
        <w:t xml:space="preserve">, </w:t>
      </w:r>
      <w:r w:rsidR="008A2876">
        <w:t xml:space="preserve">has been </w:t>
      </w:r>
      <w:r w:rsidRPr="00114140">
        <w:t xml:space="preserve">critical </w:t>
      </w:r>
      <w:r w:rsidR="008A2876">
        <w:t>to a comprehensive Southwest Border strategy</w:t>
      </w:r>
      <w:r w:rsidR="000A6AFA">
        <w:t xml:space="preserve">.  Further, </w:t>
      </w:r>
      <w:r w:rsidRPr="00114140">
        <w:t xml:space="preserve">ATF </w:t>
      </w:r>
      <w:r>
        <w:t>extensively</w:t>
      </w:r>
      <w:r w:rsidRPr="00114140">
        <w:t xml:space="preserve"> train</w:t>
      </w:r>
      <w:r>
        <w:t>s</w:t>
      </w:r>
      <w:r w:rsidRPr="00114140">
        <w:t xml:space="preserve"> Mexican law enforcement personnel on firearms tracing and trafficking techniques.  ATF and the Government of Mexico continue to </w:t>
      </w:r>
      <w:r>
        <w:t xml:space="preserve">enhance </w:t>
      </w:r>
      <w:r w:rsidRPr="00114140">
        <w:t xml:space="preserve">the firearms tracing process </w:t>
      </w:r>
      <w:r>
        <w:t>through</w:t>
      </w:r>
      <w:r w:rsidRPr="00114140">
        <w:t xml:space="preserve"> </w:t>
      </w:r>
      <w:r>
        <w:t>deployment of</w:t>
      </w:r>
      <w:r w:rsidRPr="00114140">
        <w:t xml:space="preserve"> a Spanish-language version of eTrace to </w:t>
      </w:r>
      <w:r>
        <w:t xml:space="preserve">designated </w:t>
      </w:r>
      <w:r w:rsidRPr="00114140">
        <w:t xml:space="preserve">Mexican law enforcement agencies.  ATF has deployed eTrace to </w:t>
      </w:r>
      <w:r w:rsidR="005D2D0D">
        <w:t xml:space="preserve">31 countries including </w:t>
      </w:r>
      <w:r w:rsidRPr="00114140">
        <w:t>Mexico.</w:t>
      </w:r>
      <w:r w:rsidR="00D1574D">
        <w:t xml:space="preserve">  Brazil may be added in FY 2013.</w:t>
      </w:r>
      <w:r w:rsidRPr="00114140">
        <w:t xml:space="preserve"> </w:t>
      </w:r>
    </w:p>
    <w:bookmarkEnd w:id="13"/>
    <w:bookmarkEnd w:id="14"/>
    <w:p w:rsidR="00E70BD6" w:rsidRDefault="00E70BD6" w:rsidP="00E70BD6"/>
    <w:p w:rsidR="007D0C8C" w:rsidRPr="0032011B" w:rsidRDefault="005E7548" w:rsidP="00E70BD6">
      <w:r w:rsidRPr="0032011B">
        <w:t xml:space="preserve">In 2011, ATF opened two new offices in Sierra Vista, AZ., and Brownsville, TX.  These offices will allow ATF to have a greater impact on the trafficking of weapons to Mexico.  It will also allow ATF to better coordinate its investigative resources with other Federal, state, local and tribal law enforcement partners.  These offices will also deploy increased IOI capacity to more effectively inspect FFL’s along the border to identify possible trafficking schemes as they are occurring.  </w:t>
      </w:r>
    </w:p>
    <w:p w:rsidR="006F123D" w:rsidRPr="0032011B" w:rsidRDefault="006F123D" w:rsidP="00E70BD6"/>
    <w:p w:rsidR="001F18DE" w:rsidRPr="0032011B" w:rsidRDefault="00AB4BAD" w:rsidP="001F18DE">
      <w:r w:rsidRPr="0032011B">
        <w:t xml:space="preserve">Mexican drug cartels minimize risk by acquiring the firearms for crimes as close to the U.S.-Mexico border as possible.  </w:t>
      </w:r>
      <w:r w:rsidR="009709BF" w:rsidRPr="0032011B">
        <w:t>Varying State firearms laws along the U.S. –</w:t>
      </w:r>
      <w:r w:rsidR="00CC6755" w:rsidRPr="0032011B">
        <w:t xml:space="preserve"> </w:t>
      </w:r>
      <w:r w:rsidR="009709BF" w:rsidRPr="0032011B">
        <w:t xml:space="preserve">Mexico border assist drug cartels </w:t>
      </w:r>
      <w:r w:rsidR="00CC6755" w:rsidRPr="0032011B">
        <w:t xml:space="preserve">to </w:t>
      </w:r>
      <w:r w:rsidR="009709BF" w:rsidRPr="0032011B">
        <w:t xml:space="preserve">acquire weapons. </w:t>
      </w:r>
      <w:r w:rsidR="00A91C40" w:rsidRPr="0032011B">
        <w:t>Texas and Arizona are</w:t>
      </w:r>
      <w:r w:rsidR="009709BF" w:rsidRPr="0032011B">
        <w:t xml:space="preserve"> the top tw</w:t>
      </w:r>
      <w:r w:rsidR="00A91C40" w:rsidRPr="0032011B">
        <w:t>o source states for short time-to-crime firearms recovered in Mexico</w:t>
      </w:r>
      <w:r w:rsidR="008D14D2">
        <w:t xml:space="preserve"> (time-to-crime is the amount of time from when an FFL records the purchase of a firearm and the time it is recovered in a crime and traced)</w:t>
      </w:r>
      <w:r w:rsidR="00A91C40" w:rsidRPr="0032011B">
        <w:t>.  There are firearms trafficked to Mexico from other U</w:t>
      </w:r>
      <w:r w:rsidR="009709BF" w:rsidRPr="0032011B">
        <w:t>.</w:t>
      </w:r>
      <w:r w:rsidR="00A91C40" w:rsidRPr="0032011B">
        <w:t>S</w:t>
      </w:r>
      <w:r w:rsidR="009709BF" w:rsidRPr="0032011B">
        <w:t>.</w:t>
      </w:r>
      <w:r w:rsidR="005E7548" w:rsidRPr="0032011B">
        <w:t xml:space="preserve"> states, but the short time-to-crime firearms</w:t>
      </w:r>
      <w:r w:rsidR="009709BF" w:rsidRPr="0032011B">
        <w:t xml:space="preserve"> crimes in Mexico are not as prevalent as those from U.S. border States.</w:t>
      </w:r>
      <w:r w:rsidR="00A91C40" w:rsidRPr="0032011B">
        <w:t xml:space="preserve">  </w:t>
      </w:r>
      <w:r w:rsidR="009709BF" w:rsidRPr="0032011B">
        <w:t xml:space="preserve">This is not to minimize crime guns from other </w:t>
      </w:r>
      <w:r w:rsidR="00A91C40" w:rsidRPr="0032011B">
        <w:t>U</w:t>
      </w:r>
      <w:r w:rsidR="009709BF" w:rsidRPr="0032011B">
        <w:t>.</w:t>
      </w:r>
      <w:r w:rsidR="005E7548" w:rsidRPr="0032011B">
        <w:t>S</w:t>
      </w:r>
      <w:r w:rsidR="009709BF" w:rsidRPr="0032011B">
        <w:t>.</w:t>
      </w:r>
      <w:r w:rsidR="00A91C40" w:rsidRPr="0032011B">
        <w:t xml:space="preserve"> </w:t>
      </w:r>
      <w:r w:rsidR="009709BF" w:rsidRPr="0032011B">
        <w:t>source s</w:t>
      </w:r>
      <w:r w:rsidR="00A91C40" w:rsidRPr="0032011B">
        <w:t xml:space="preserve">tates.  </w:t>
      </w:r>
      <w:r w:rsidR="009709BF" w:rsidRPr="0032011B">
        <w:t xml:space="preserve">ATF’s impact is its focus on short time-to-crime firearms with intelligence efforts centered on firearms recovered in Mexico and enforcement efforts directed at U.S. Southwest border source states. </w:t>
      </w:r>
    </w:p>
    <w:p w:rsidR="00C23D41" w:rsidRPr="0032011B" w:rsidRDefault="00C23D41" w:rsidP="007D0C8C"/>
    <w:p w:rsidR="007D0C8C" w:rsidRDefault="002174F0" w:rsidP="007D0C8C">
      <w:r w:rsidRPr="0032011B">
        <w:t>Trends indicate that the firearms illegally crossing the U.S.-Mexico border, in particular the “weapons of choice” of Mexican criminal organizations, are increasingly of higher calibers and</w:t>
      </w:r>
      <w:r w:rsidRPr="001C18BE">
        <w:t xml:space="preserve"> greater lethality. </w:t>
      </w:r>
      <w:r w:rsidR="00E734CE">
        <w:t xml:space="preserve"> </w:t>
      </w:r>
      <w:r w:rsidRPr="001C18BE">
        <w:t xml:space="preserve">In many cases these </w:t>
      </w:r>
      <w:r w:rsidR="008062BD" w:rsidRPr="00CC6755">
        <w:t>firearms</w:t>
      </w:r>
      <w:r w:rsidR="00FC39D2" w:rsidRPr="001C18BE">
        <w:t xml:space="preserve"> </w:t>
      </w:r>
      <w:r w:rsidRPr="001C18BE">
        <w:t xml:space="preserve">meet or exceed the caliber of weapons used by </w:t>
      </w:r>
      <w:r w:rsidRPr="001C18BE">
        <w:lastRenderedPageBreak/>
        <w:t>Mexican law enforcement and military forces, thus increasing the criminal threat to the population.</w:t>
      </w:r>
      <w:r w:rsidR="003F3BA8" w:rsidRPr="001C18BE">
        <w:t xml:space="preserve">  </w:t>
      </w:r>
      <w:r w:rsidR="007D0C8C" w:rsidRPr="001C18BE">
        <w:t xml:space="preserve">ATF analyzed </w:t>
      </w:r>
      <w:r w:rsidRPr="001C18BE">
        <w:t>tracing data from</w:t>
      </w:r>
      <w:r w:rsidR="003F3BA8" w:rsidRPr="001C18BE">
        <w:t xml:space="preserve"> </w:t>
      </w:r>
      <w:r w:rsidR="007D0C8C" w:rsidRPr="001C18BE">
        <w:t xml:space="preserve">firearms seizures </w:t>
      </w:r>
      <w:r w:rsidRPr="001C18BE">
        <w:t>in</w:t>
      </w:r>
      <w:r w:rsidR="003F3BA8" w:rsidRPr="001C18BE">
        <w:t xml:space="preserve"> </w:t>
      </w:r>
      <w:r w:rsidR="007D0C8C" w:rsidRPr="001C18BE">
        <w:t xml:space="preserve">Mexico from FY </w:t>
      </w:r>
      <w:r w:rsidR="005F25FD" w:rsidRPr="001C18BE">
        <w:t xml:space="preserve">2007 </w:t>
      </w:r>
      <w:r w:rsidR="007D0C8C" w:rsidRPr="001C18BE">
        <w:t xml:space="preserve">to FY </w:t>
      </w:r>
      <w:r w:rsidR="00CC6755">
        <w:t>2011</w:t>
      </w:r>
      <w:r w:rsidR="005F25FD" w:rsidRPr="001C18BE">
        <w:t xml:space="preserve"> </w:t>
      </w:r>
      <w:r w:rsidR="007D0C8C" w:rsidRPr="001C18BE">
        <w:t xml:space="preserve">and identified </w:t>
      </w:r>
      <w:r w:rsidR="00E70BD6" w:rsidRPr="00513BDA">
        <w:t>7.62mm and .223</w:t>
      </w:r>
      <w:r w:rsidR="00CA02A1" w:rsidRPr="00513BDA">
        <w:t xml:space="preserve"> </w:t>
      </w:r>
      <w:r w:rsidR="00E70BD6" w:rsidRPr="00513BDA">
        <w:t>caliber</w:t>
      </w:r>
      <w:r w:rsidR="00E70BD6">
        <w:rPr>
          <w:color w:val="996633"/>
        </w:rPr>
        <w:t xml:space="preserve"> </w:t>
      </w:r>
      <w:r w:rsidR="00E70BD6" w:rsidRPr="00594A5C">
        <w:t>as</w:t>
      </w:r>
      <w:r w:rsidR="00E70BD6">
        <w:rPr>
          <w:color w:val="996633"/>
        </w:rPr>
        <w:t xml:space="preserve"> </w:t>
      </w:r>
      <w:r w:rsidR="007D0C8C" w:rsidRPr="001C18BE">
        <w:t xml:space="preserve">those </w:t>
      </w:r>
      <w:r w:rsidR="00CC6755">
        <w:t>most commonly used by criminals</w:t>
      </w:r>
      <w:r w:rsidR="00E70BD6">
        <w:t>.</w:t>
      </w:r>
      <w:r w:rsidR="00CC6755">
        <w:t xml:space="preserve"> </w:t>
      </w:r>
    </w:p>
    <w:p w:rsidR="007D0C8C" w:rsidRPr="00061CF1" w:rsidRDefault="002174F0" w:rsidP="007D0C8C">
      <w:r w:rsidRPr="00061CF1">
        <w:t xml:space="preserve">Most of the firearms violence in Mexico is perpetrated by </w:t>
      </w:r>
      <w:r w:rsidR="00A8099E">
        <w:t>cartels/</w:t>
      </w:r>
      <w:r w:rsidRPr="00061CF1">
        <w:t>tra</w:t>
      </w:r>
      <w:r w:rsidR="001C18BE" w:rsidRPr="00061CF1">
        <w:t>n</w:t>
      </w:r>
      <w:r w:rsidRPr="00061CF1">
        <w:t xml:space="preserve">snational criminal organizations (TCOs).  These Mexican TCOs, among the leading gun trafficking organizations operating in the U.S., compete for control of highly lucrative drug and firearms trafficking routes into and out of the United </w:t>
      </w:r>
      <w:r w:rsidR="00D31D89">
        <w:t>State</w:t>
      </w:r>
      <w:r w:rsidRPr="00061CF1">
        <w:t>s.  TCOs in Mexico enforce and maintain their narcotics operations by relying on a steady supply of firearms from a variety of l</w:t>
      </w:r>
      <w:r w:rsidR="00012B97">
        <w:t>egal</w:t>
      </w:r>
      <w:r w:rsidRPr="00061CF1">
        <w:t xml:space="preserve"> and ill</w:t>
      </w:r>
      <w:r w:rsidR="00012B97">
        <w:t>egal</w:t>
      </w:r>
      <w:r w:rsidRPr="00061CF1">
        <w:t xml:space="preserve"> sources.  A contiguous land border </w:t>
      </w:r>
      <w:r w:rsidR="00012B97">
        <w:t>and</w:t>
      </w:r>
      <w:r w:rsidRPr="00061CF1">
        <w:t xml:space="preserve"> a</w:t>
      </w:r>
      <w:r w:rsidR="0030692D">
        <w:t xml:space="preserve"> </w:t>
      </w:r>
      <w:r w:rsidR="00012B97">
        <w:t xml:space="preserve">U.S. </w:t>
      </w:r>
      <w:r w:rsidRPr="00061CF1">
        <w:t>legal retail market for firearms make th</w:t>
      </w:r>
      <w:r w:rsidR="0030692D">
        <w:t xml:space="preserve">e border area </w:t>
      </w:r>
      <w:r w:rsidRPr="00061CF1">
        <w:t>an attractive source</w:t>
      </w:r>
      <w:r w:rsidR="0030692D">
        <w:t xml:space="preserve"> </w:t>
      </w:r>
      <w:r w:rsidRPr="00061CF1">
        <w:t xml:space="preserve">for Mexican </w:t>
      </w:r>
      <w:r w:rsidR="0030692D">
        <w:t>cartels to acquire weapons</w:t>
      </w:r>
      <w:r w:rsidRPr="00061CF1">
        <w:t>.  Intelligence indicates</w:t>
      </w:r>
      <w:r w:rsidR="00207D8F">
        <w:t xml:space="preserve"> </w:t>
      </w:r>
      <w:r w:rsidRPr="00061CF1">
        <w:t xml:space="preserve">that the </w:t>
      </w:r>
      <w:r w:rsidR="003C4553">
        <w:t xml:space="preserve">Mexican cartels have </w:t>
      </w:r>
      <w:r w:rsidRPr="00061CF1">
        <w:t xml:space="preserve">tasked their financial, distribution, and transportation infrastructures with reaching into the U.S. to acquire firearms and ammunition.  </w:t>
      </w:r>
    </w:p>
    <w:p w:rsidR="007D0C8C" w:rsidRPr="001610D9" w:rsidRDefault="00207D8F" w:rsidP="007D0C8C">
      <w:pPr>
        <w:rPr>
          <w:highlight w:val="lightGray"/>
        </w:rPr>
      </w:pPr>
      <w:r>
        <w:rPr>
          <w:highlight w:val="lightGray"/>
        </w:rPr>
        <w:t xml:space="preserve"> </w:t>
      </w:r>
    </w:p>
    <w:p w:rsidR="00207D8F" w:rsidRPr="002B2A7B" w:rsidRDefault="002174F0" w:rsidP="007D0C8C">
      <w:r w:rsidRPr="002B2A7B">
        <w:t xml:space="preserve">To disrupt firearms trafficking corridors along the </w:t>
      </w:r>
      <w:r w:rsidR="00207D8F" w:rsidRPr="002B2A7B">
        <w:t>S</w:t>
      </w:r>
      <w:r w:rsidRPr="002B2A7B">
        <w:t xml:space="preserve">outhwest </w:t>
      </w:r>
      <w:r w:rsidR="00207D8F" w:rsidRPr="002B2A7B">
        <w:t>B</w:t>
      </w:r>
      <w:r w:rsidRPr="002B2A7B">
        <w:t xml:space="preserve">order, </w:t>
      </w:r>
      <w:r w:rsidR="003C4553" w:rsidRPr="002B2A7B">
        <w:t xml:space="preserve">groups located in El Paso, Brownsville, Houston, McAllen, El Centro, Las Cruces, Phoenix, Sierra Vista and Tucson </w:t>
      </w:r>
      <w:r w:rsidR="008A2876">
        <w:t>are focused</w:t>
      </w:r>
      <w:r w:rsidR="003C4553" w:rsidRPr="002B2A7B">
        <w:t xml:space="preserve"> exclusively on investigating firearms trafficking to Mexico.</w:t>
      </w:r>
      <w:r w:rsidRPr="002B2A7B">
        <w:t xml:space="preserve">  </w:t>
      </w:r>
      <w:r w:rsidR="005E7548" w:rsidRPr="002B2A7B">
        <w:t>These nine groups employ both special agents and IOIs to aggressively bring to bear ATF’s unique abilities to stem the flow of firearms into Mexico.</w:t>
      </w:r>
      <w:r w:rsidR="003C4553" w:rsidRPr="002B2A7B">
        <w:t xml:space="preserve">  </w:t>
      </w:r>
      <w:r w:rsidR="005E7548" w:rsidRPr="002B2A7B">
        <w:t>The groups compliment ATF’s overall mission of stemming the illegal trafficking of firearms, within the U.S. to countries across the world.</w:t>
      </w:r>
      <w:r w:rsidR="003C4553" w:rsidRPr="002B2A7B">
        <w:t xml:space="preserve">  </w:t>
      </w:r>
      <w:r w:rsidR="00AD1328" w:rsidRPr="002B2A7B">
        <w:t xml:space="preserve">In addition to the special agents and </w:t>
      </w:r>
      <w:r w:rsidR="00207D8F" w:rsidRPr="002B2A7B">
        <w:t>I</w:t>
      </w:r>
      <w:r w:rsidR="00AD1328" w:rsidRPr="002B2A7B">
        <w:t>O</w:t>
      </w:r>
      <w:r w:rsidR="00207D8F" w:rsidRPr="002B2A7B">
        <w:t>I</w:t>
      </w:r>
      <w:r w:rsidR="00AD1328" w:rsidRPr="002B2A7B">
        <w:t>s, ATF utilizes forensic auditors, laboratory personnel and explosives specialists throughout the U.S. and in Mexico to investigate firearms trafficking.</w:t>
      </w:r>
      <w:r w:rsidR="00AD1328" w:rsidRPr="002B2A7B" w:rsidDel="00AD1328">
        <w:t xml:space="preserve"> </w:t>
      </w:r>
    </w:p>
    <w:p w:rsidR="00207D8F" w:rsidRPr="002B2A7B" w:rsidRDefault="00207D8F" w:rsidP="007D0C8C"/>
    <w:p w:rsidR="00207D8F" w:rsidRPr="002B2A7B" w:rsidRDefault="00207D8F" w:rsidP="00207D8F">
      <w:pPr>
        <w:autoSpaceDE w:val="0"/>
        <w:autoSpaceDN w:val="0"/>
        <w:adjustRightInd w:val="0"/>
        <w:ind w:left="1440" w:right="720"/>
        <w:rPr>
          <w:i/>
        </w:rPr>
      </w:pPr>
      <w:r w:rsidRPr="002B2A7B">
        <w:rPr>
          <w:i/>
        </w:rPr>
        <w:t>“The desired outcomes of the strategies are to increase the security U.S. citizens along the Southwest Border and throughout the country; reduce the flow of contraband, primarily drugs, entering the United States: reduce the flow of weapons and illegal cash into Mexico.  The strategies will continue to foster coordinat</w:t>
      </w:r>
      <w:r w:rsidR="001D127A" w:rsidRPr="002B2A7B">
        <w:rPr>
          <w:i/>
        </w:rPr>
        <w:t>ed</w:t>
      </w:r>
      <w:r w:rsidRPr="002B2A7B">
        <w:rPr>
          <w:i/>
        </w:rPr>
        <w:t xml:space="preserve">, nationwide investigations and prosecutions that incapacitate the cartels by incarcerating large segments of the leadership cadres while simultaneously destroying their financial infrastructure through seizure and forfeiture of cartel assets.”  </w:t>
      </w:r>
    </w:p>
    <w:p w:rsidR="00207D8F" w:rsidRDefault="00207D8F" w:rsidP="00207D8F">
      <w:pPr>
        <w:autoSpaceDE w:val="0"/>
        <w:autoSpaceDN w:val="0"/>
        <w:adjustRightInd w:val="0"/>
        <w:ind w:left="1440" w:right="720"/>
        <w:rPr>
          <w:i/>
          <w:color w:val="996633"/>
        </w:rPr>
      </w:pPr>
    </w:p>
    <w:p w:rsidR="00207D8F" w:rsidRDefault="007C0EB5" w:rsidP="00207D8F">
      <w:pPr>
        <w:ind w:left="360"/>
        <w:jc w:val="right"/>
      </w:pPr>
      <w:r>
        <w:t xml:space="preserve">Source: </w:t>
      </w:r>
      <w:r w:rsidR="00207D8F" w:rsidRPr="00407775">
        <w:rPr>
          <w:u w:val="single"/>
        </w:rPr>
        <w:t>US Department of Justice Fiscal Years 2012-2016 Strategic Plan</w:t>
      </w:r>
      <w:r w:rsidR="00207D8F">
        <w:t>, pages 23-24</w:t>
      </w:r>
    </w:p>
    <w:p w:rsidR="005E7548" w:rsidRDefault="005E7548" w:rsidP="005E7548">
      <w:pPr>
        <w:rPr>
          <w:b/>
          <w:i/>
        </w:rPr>
      </w:pPr>
    </w:p>
    <w:p w:rsidR="007D0C8C" w:rsidRPr="002E10D9" w:rsidRDefault="007D0C8C" w:rsidP="007D0C8C">
      <w:pPr>
        <w:autoSpaceDE w:val="0"/>
        <w:autoSpaceDN w:val="0"/>
        <w:adjustRightInd w:val="0"/>
        <w:rPr>
          <w:b/>
          <w:i/>
        </w:rPr>
      </w:pPr>
      <w:r w:rsidRPr="002E10D9">
        <w:rPr>
          <w:b/>
          <w:i/>
        </w:rPr>
        <w:t>Reducing Violent Firearm Crime with National Information Sharing</w:t>
      </w:r>
    </w:p>
    <w:p w:rsidR="00F26649" w:rsidRDefault="00482D19" w:rsidP="00F26649">
      <w:pPr>
        <w:ind w:left="4320" w:firstLine="720"/>
      </w:pPr>
      <w:r>
        <w:rPr>
          <w:noProof/>
        </w:rPr>
        <w:drawing>
          <wp:anchor distT="0" distB="0" distL="114300" distR="114300" simplePos="0" relativeHeight="251677696" behindDoc="0" locked="0" layoutInCell="1" allowOverlap="1">
            <wp:simplePos x="0" y="0"/>
            <wp:positionH relativeFrom="column">
              <wp:posOffset>-279400</wp:posOffset>
            </wp:positionH>
            <wp:positionV relativeFrom="paragraph">
              <wp:posOffset>86360</wp:posOffset>
            </wp:positionV>
            <wp:extent cx="3063875" cy="1943735"/>
            <wp:effectExtent l="19050" t="0" r="3175" b="0"/>
            <wp:wrapThrough wrapText="bothSides">
              <wp:wrapPolygon edited="0">
                <wp:start x="-134" y="0"/>
                <wp:lineTo x="-134" y="21381"/>
                <wp:lineTo x="21622" y="21381"/>
                <wp:lineTo x="21622" y="0"/>
                <wp:lineTo x="-134" y="0"/>
              </wp:wrapPolygon>
            </wp:wrapThrough>
            <wp:docPr id="545" name="Picture 829" descr="The graphic on page 23 illustrates the number of National Integrated Ballistics Information Network (NIBIN) &quot;hits&quot; that have occurred between FY 2006 and FY 20011.  The number of &quot;hits&quot; has doubled in size between FY 2006, where there were over 3,000, to over 6,000 in FY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30" cstate="print"/>
                    <a:srcRect/>
                    <a:stretch>
                      <a:fillRect/>
                    </a:stretch>
                  </pic:blipFill>
                  <pic:spPr bwMode="auto">
                    <a:xfrm>
                      <a:off x="0" y="0"/>
                      <a:ext cx="3063875" cy="1943735"/>
                    </a:xfrm>
                    <a:prstGeom prst="rect">
                      <a:avLst/>
                    </a:prstGeom>
                    <a:noFill/>
                  </pic:spPr>
                </pic:pic>
              </a:graphicData>
            </a:graphic>
          </wp:anchor>
        </w:drawing>
      </w:r>
    </w:p>
    <w:p w:rsidR="007D0C8C" w:rsidRDefault="007D0C8C" w:rsidP="00293226">
      <w:pPr>
        <w:ind w:left="4320"/>
      </w:pPr>
      <w:r w:rsidRPr="00114140">
        <w:t>ATF maintains an extensive firearms reference collection</w:t>
      </w:r>
      <w:r>
        <w:t xml:space="preserve"> that includes </w:t>
      </w:r>
      <w:r w:rsidRPr="00114140">
        <w:t>technical firearms reference files, a library</w:t>
      </w:r>
      <w:r>
        <w:t>,</w:t>
      </w:r>
      <w:r w:rsidRPr="00114140">
        <w:t xml:space="preserve"> and firearms technical and reference databases.  ATF responds to </w:t>
      </w:r>
      <w:r w:rsidR="00D31D89">
        <w:t>Federal</w:t>
      </w:r>
      <w:r w:rsidRPr="00114140">
        <w:t xml:space="preserve">, </w:t>
      </w:r>
      <w:r w:rsidR="00D31D89">
        <w:t>state</w:t>
      </w:r>
      <w:r w:rsidRPr="00114140">
        <w:t xml:space="preserve">, and local law enforcement agencies, the firearms industry, Congress, and the public when requested to test, evaluate, or provide expert testimony regarding firearms and ammunition.  ATF is responsible for rendering opinions </w:t>
      </w:r>
      <w:r w:rsidR="00482D19">
        <w:t>re</w:t>
      </w:r>
      <w:r w:rsidRPr="00114140">
        <w:t>garding the classification of suspected illegal firearms and newly designed firearms.</w:t>
      </w:r>
    </w:p>
    <w:p w:rsidR="003E2F44" w:rsidRDefault="003337F7" w:rsidP="00DE2A3D">
      <w:r>
        <w:lastRenderedPageBreak/>
        <w:t>A</w:t>
      </w:r>
      <w:r w:rsidR="007D0C8C">
        <w:t>TF collects, reports, and shares ballistic intelligence</w:t>
      </w:r>
      <w:r w:rsidR="005A6FC0">
        <w:t xml:space="preserve"> </w:t>
      </w:r>
      <w:r w:rsidR="007D0C8C">
        <w:t xml:space="preserve">to identify, target, and dismantle violent gangs and criminal organizations engaged in firearms-related violent crimes. ATF administers automated ballistic imaging technology for </w:t>
      </w:r>
      <w:r w:rsidR="00D31D89">
        <w:t>Federal</w:t>
      </w:r>
      <w:r w:rsidR="007D0C8C">
        <w:t xml:space="preserve">, </w:t>
      </w:r>
      <w:r w:rsidR="00D31D89">
        <w:t>state</w:t>
      </w:r>
      <w:r w:rsidR="007D0C8C">
        <w:t xml:space="preserve">, and local law enforcement, forensic science, and attorney agencies in the United </w:t>
      </w:r>
      <w:r w:rsidR="00D31D89">
        <w:t>State</w:t>
      </w:r>
      <w:r w:rsidR="007D0C8C">
        <w:t xml:space="preserve">s through ATF’s National Integrated Ballistic Information Network (NIBIN). </w:t>
      </w:r>
      <w:r w:rsidR="00CA04D8">
        <w:t xml:space="preserve"> </w:t>
      </w:r>
      <w:r w:rsidR="007D0C8C">
        <w:t xml:space="preserve">NIBIN partners use Integrated Ballistic Identification Systems (IBIS) </w:t>
      </w:r>
      <w:r w:rsidR="007D0C8C" w:rsidRPr="00114140">
        <w:t>to acquire digital images of markings made on spent ammunition recovered from a crime scene or a crime gun test fire</w:t>
      </w:r>
      <w:r w:rsidR="007D0C8C">
        <w:t>,</w:t>
      </w:r>
      <w:r w:rsidR="007D0C8C" w:rsidRPr="00114140">
        <w:t xml:space="preserve"> and then </w:t>
      </w:r>
      <w:r w:rsidR="008D14D2">
        <w:t>match and compare</w:t>
      </w:r>
      <w:r w:rsidR="007D0C8C" w:rsidRPr="00114140">
        <w:t xml:space="preserve"> those images </w:t>
      </w:r>
      <w:r w:rsidR="007D0C8C">
        <w:t>with</w:t>
      </w:r>
      <w:r w:rsidR="007D0C8C" w:rsidRPr="00114140">
        <w:t xml:space="preserve"> earlier NIBIN entries.</w:t>
      </w:r>
      <w:r w:rsidR="00942C08">
        <w:t xml:space="preserve">  These matches are commonly referred to as “hits.”</w:t>
      </w:r>
    </w:p>
    <w:p w:rsidR="001D127A" w:rsidRDefault="001D127A" w:rsidP="007D0C8C"/>
    <w:p w:rsidR="005552CF" w:rsidRPr="0032011B" w:rsidRDefault="00F26649" w:rsidP="007D0C8C">
      <w:r>
        <w:rPr>
          <w:noProof/>
        </w:rPr>
        <w:drawing>
          <wp:anchor distT="0" distB="0" distL="114300" distR="114300" simplePos="0" relativeHeight="251678720" behindDoc="0" locked="0" layoutInCell="1" allowOverlap="1">
            <wp:simplePos x="0" y="0"/>
            <wp:positionH relativeFrom="column">
              <wp:posOffset>-29210</wp:posOffset>
            </wp:positionH>
            <wp:positionV relativeFrom="paragraph">
              <wp:posOffset>930275</wp:posOffset>
            </wp:positionV>
            <wp:extent cx="3695700" cy="1991995"/>
            <wp:effectExtent l="19050" t="0" r="0" b="0"/>
            <wp:wrapThrough wrapText="bothSides">
              <wp:wrapPolygon edited="0">
                <wp:start x="-111" y="0"/>
                <wp:lineTo x="-111" y="21483"/>
                <wp:lineTo x="21600" y="21483"/>
                <wp:lineTo x="21600" y="0"/>
                <wp:lineTo x="-111" y="0"/>
              </wp:wrapPolygon>
            </wp:wrapThrough>
            <wp:docPr id="25" name="Picture 1" descr="The graphic on page 24 depicts the number of firearms trace requests handled by ATF's National Tracing Center between FY 2007 and FY 2011.  Trace requests in FY 2007 were approximately 285,000 and have risen to over 330,000 in FY 2011.  The highest number of trace requests occurred in FY 2009, where there were over 340,000 trace requests"/>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31" cstate="print"/>
                    <a:srcRect/>
                    <a:stretch>
                      <a:fillRect/>
                    </a:stretch>
                  </pic:blipFill>
                  <pic:spPr bwMode="auto">
                    <a:xfrm>
                      <a:off x="0" y="0"/>
                      <a:ext cx="3695700" cy="1991995"/>
                    </a:xfrm>
                    <a:prstGeom prst="rect">
                      <a:avLst/>
                    </a:prstGeom>
                    <a:noFill/>
                  </pic:spPr>
                </pic:pic>
              </a:graphicData>
            </a:graphic>
          </wp:anchor>
        </w:drawing>
      </w:r>
      <w:r w:rsidR="007D0C8C" w:rsidRPr="0032011B">
        <w:t xml:space="preserve">ATF’s National </w:t>
      </w:r>
      <w:r w:rsidR="002174F0" w:rsidRPr="0032011B">
        <w:t>Tracing</w:t>
      </w:r>
      <w:r w:rsidR="007D0C8C" w:rsidRPr="0032011B">
        <w:t xml:space="preserve"> Center (NTC) is another key </w:t>
      </w:r>
      <w:r w:rsidR="002C2E7E" w:rsidRPr="0032011B">
        <w:t>component</w:t>
      </w:r>
      <w:r w:rsidR="007D0C8C" w:rsidRPr="0032011B">
        <w:t xml:space="preserve"> in fighting violent crime.  Each year, the NTC traces hundreds of thousands of recovered crime guns</w:t>
      </w:r>
      <w:r w:rsidR="00015453" w:rsidRPr="0032011B">
        <w:t xml:space="preserve"> for law enforcement</w:t>
      </w:r>
      <w:r w:rsidR="007D0C8C" w:rsidRPr="0032011B">
        <w:t>.  In FY 20</w:t>
      </w:r>
      <w:r w:rsidR="00061721" w:rsidRPr="0032011B">
        <w:t>1</w:t>
      </w:r>
      <w:r w:rsidR="00CC6755" w:rsidRPr="0032011B">
        <w:t>1,</w:t>
      </w:r>
      <w:r w:rsidR="007D0C8C" w:rsidRPr="0032011B">
        <w:t xml:space="preserve"> the NTC traced </w:t>
      </w:r>
      <w:r w:rsidR="00FE0099" w:rsidRPr="0032011B">
        <w:t>333,445</w:t>
      </w:r>
      <w:r w:rsidR="007D0C8C" w:rsidRPr="0032011B">
        <w:t xml:space="preserve"> firearms</w:t>
      </w:r>
      <w:r w:rsidR="00015453" w:rsidRPr="0032011B">
        <w:t xml:space="preserve"> recovered in crimes</w:t>
      </w:r>
      <w:r w:rsidR="007D0C8C" w:rsidRPr="0032011B">
        <w:t xml:space="preserve"> for law enforcement </w:t>
      </w:r>
      <w:r w:rsidR="00015453" w:rsidRPr="0032011B">
        <w:t>agencies</w:t>
      </w:r>
      <w:r w:rsidR="007D0C8C" w:rsidRPr="0032011B">
        <w:t xml:space="preserve"> in over </w:t>
      </w:r>
      <w:r w:rsidR="00015453" w:rsidRPr="0032011B">
        <w:t>5</w:t>
      </w:r>
      <w:r w:rsidR="00216352" w:rsidRPr="0032011B">
        <w:t>0</w:t>
      </w:r>
      <w:r w:rsidR="007D0C8C" w:rsidRPr="0032011B">
        <w:t xml:space="preserve"> different countries.  The NTC anticipates that it will receive about </w:t>
      </w:r>
      <w:r w:rsidR="00FE0099" w:rsidRPr="0032011B">
        <w:t>293,000</w:t>
      </w:r>
      <w:r w:rsidR="007D0C8C" w:rsidRPr="0032011B">
        <w:t xml:space="preserve"> trace requests in FY </w:t>
      </w:r>
      <w:r w:rsidR="009E6741" w:rsidRPr="0032011B">
        <w:t>2012</w:t>
      </w:r>
      <w:r w:rsidR="00FE0099" w:rsidRPr="0032011B">
        <w:t xml:space="preserve"> </w:t>
      </w:r>
      <w:r w:rsidR="007D0C8C" w:rsidRPr="0032011B">
        <w:t xml:space="preserve">and about </w:t>
      </w:r>
      <w:r w:rsidR="00FE0099" w:rsidRPr="0032011B">
        <w:t>330,000</w:t>
      </w:r>
      <w:r w:rsidR="007D0C8C" w:rsidRPr="0032011B">
        <w:t xml:space="preserve"> trace requests in FY </w:t>
      </w:r>
      <w:r w:rsidR="00FE0099" w:rsidRPr="0032011B">
        <w:t>2013</w:t>
      </w:r>
      <w:r w:rsidR="007D0C8C" w:rsidRPr="0032011B">
        <w:t xml:space="preserve">.  The NTC is the only repository of all crime gun trace data, multiple handgun sales information, </w:t>
      </w:r>
      <w:r w:rsidR="00015453" w:rsidRPr="0032011B">
        <w:t xml:space="preserve">FFL Theft </w:t>
      </w:r>
      <w:r w:rsidR="00FF523A" w:rsidRPr="0032011B">
        <w:t>information, Inter</w:t>
      </w:r>
      <w:r w:rsidR="00D31D89" w:rsidRPr="0032011B">
        <w:t>state</w:t>
      </w:r>
      <w:r w:rsidR="00FF523A" w:rsidRPr="0032011B">
        <w:t xml:space="preserve"> </w:t>
      </w:r>
    </w:p>
    <w:p w:rsidR="005552CF" w:rsidRPr="0032011B" w:rsidRDefault="00FF523A" w:rsidP="007D0C8C">
      <w:r w:rsidRPr="0032011B">
        <w:t xml:space="preserve">Theft </w:t>
      </w:r>
      <w:r w:rsidR="007D0C8C" w:rsidRPr="0032011B">
        <w:t xml:space="preserve">information, suspect gun information, and over </w:t>
      </w:r>
      <w:r w:rsidRPr="0032011B">
        <w:t>4</w:t>
      </w:r>
      <w:r w:rsidR="007D0C8C" w:rsidRPr="0032011B">
        <w:t xml:space="preserve">00 million firearms transaction records from out-of-business FFLs. </w:t>
      </w:r>
    </w:p>
    <w:p w:rsidR="005552CF" w:rsidRPr="0032011B" w:rsidRDefault="005552CF" w:rsidP="007D0C8C"/>
    <w:p w:rsidR="007D0C8C" w:rsidRPr="0032011B" w:rsidRDefault="007D0C8C" w:rsidP="007D0C8C">
      <w:r w:rsidRPr="0032011B">
        <w:t xml:space="preserve">The </w:t>
      </w:r>
      <w:r w:rsidR="00FF523A" w:rsidRPr="0032011B">
        <w:t xml:space="preserve">trace information </w:t>
      </w:r>
      <w:r w:rsidRPr="0032011B">
        <w:t>allow</w:t>
      </w:r>
      <w:r w:rsidR="002174F0" w:rsidRPr="0032011B">
        <w:t>s</w:t>
      </w:r>
      <w:r w:rsidRPr="0032011B">
        <w:t xml:space="preserve"> ATF to </w:t>
      </w:r>
      <w:r w:rsidR="00FF523A" w:rsidRPr="0032011B">
        <w:t xml:space="preserve">link suspects to firearms in criminal investigations for </w:t>
      </w:r>
      <w:r w:rsidR="00D31D89" w:rsidRPr="0032011B">
        <w:t>Federal</w:t>
      </w:r>
      <w:r w:rsidR="00FF523A" w:rsidRPr="0032011B">
        <w:t xml:space="preserve">, </w:t>
      </w:r>
      <w:r w:rsidR="00D31D89" w:rsidRPr="0032011B">
        <w:t>state</w:t>
      </w:r>
      <w:r w:rsidR="00FF523A" w:rsidRPr="0032011B">
        <w:t xml:space="preserve">, and local law enforcement agencies making the trace requests; to </w:t>
      </w:r>
      <w:r w:rsidRPr="0032011B">
        <w:t xml:space="preserve">identify </w:t>
      </w:r>
      <w:r w:rsidR="00FF523A" w:rsidRPr="0032011B">
        <w:t xml:space="preserve">illegal firearms traffickers through </w:t>
      </w:r>
      <w:r w:rsidRPr="0032011B">
        <w:t>recurring patterns and trends indicative of illegal firearms trafficking</w:t>
      </w:r>
      <w:r w:rsidR="00FF523A" w:rsidRPr="0032011B">
        <w:t>;</w:t>
      </w:r>
      <w:r w:rsidRPr="0032011B">
        <w:t xml:space="preserve"> </w:t>
      </w:r>
      <w:r w:rsidR="00FF523A" w:rsidRPr="0032011B">
        <w:t>and provides ATF a means through a</w:t>
      </w:r>
      <w:r w:rsidRPr="0032011B">
        <w:t xml:space="preserve">nalysis of the </w:t>
      </w:r>
      <w:r w:rsidR="00FF523A" w:rsidRPr="0032011B">
        <w:t>aggregate</w:t>
      </w:r>
      <w:r w:rsidRPr="0032011B">
        <w:t xml:space="preserve"> trace data </w:t>
      </w:r>
      <w:r w:rsidR="00FF523A" w:rsidRPr="0032011B">
        <w:t xml:space="preserve">to </w:t>
      </w:r>
      <w:r w:rsidRPr="0032011B">
        <w:t xml:space="preserve">help communities develop focused strategies </w:t>
      </w:r>
      <w:r w:rsidR="00AD1328" w:rsidRPr="0032011B">
        <w:t>and</w:t>
      </w:r>
      <w:r w:rsidRPr="0032011B">
        <w:t xml:space="preserve"> programs that address specific factors that contribute to armed crime.  </w:t>
      </w:r>
    </w:p>
    <w:p w:rsidR="007D0C8C" w:rsidRPr="0032011B" w:rsidRDefault="007D0C8C" w:rsidP="007D0C8C"/>
    <w:p w:rsidR="007D0C8C" w:rsidRPr="00114140" w:rsidRDefault="007D0C8C" w:rsidP="007D0C8C">
      <w:r w:rsidRPr="0032011B">
        <w:t>In</w:t>
      </w:r>
      <w:r w:rsidR="00463DC3" w:rsidRPr="0032011B">
        <w:t>formation</w:t>
      </w:r>
      <w:r w:rsidRPr="0032011B">
        <w:t xml:space="preserve"> gathered from </w:t>
      </w:r>
      <w:r w:rsidR="002174F0" w:rsidRPr="0032011B">
        <w:t>tracing</w:t>
      </w:r>
      <w:r w:rsidRPr="0032011B">
        <w:t xml:space="preserve"> </w:t>
      </w:r>
      <w:r w:rsidR="00463DC3" w:rsidRPr="0032011B">
        <w:t>firearms recovered in crimes</w:t>
      </w:r>
      <w:r w:rsidRPr="0032011B">
        <w:t xml:space="preserve"> provides </w:t>
      </w:r>
      <w:r w:rsidR="00463DC3" w:rsidRPr="0032011B">
        <w:t xml:space="preserve">investigative </w:t>
      </w:r>
      <w:r w:rsidRPr="0032011B">
        <w:t>leads</w:t>
      </w:r>
      <w:r w:rsidR="00463DC3" w:rsidRPr="0032011B">
        <w:t xml:space="preserve"> to identify</w:t>
      </w:r>
      <w:r w:rsidRPr="0032011B">
        <w:t xml:space="preserve"> illegal firearms traffickers, straw purchasers, and others involved in violent firearms crime, </w:t>
      </w:r>
      <w:r w:rsidR="005A6FC0" w:rsidRPr="0032011B">
        <w:t>including</w:t>
      </w:r>
      <w:r w:rsidRPr="0032011B">
        <w:t xml:space="preserve"> criminal gang members.  Firearm trace data identifies “hot spots” of criminal activity and locates weapons sources even if they are in other </w:t>
      </w:r>
      <w:r w:rsidR="00D31D89" w:rsidRPr="0032011B">
        <w:t>state</w:t>
      </w:r>
      <w:r w:rsidRPr="0032011B">
        <w:t>s</w:t>
      </w:r>
      <w:r w:rsidR="00B24F60" w:rsidRPr="0032011B">
        <w:t>,</w:t>
      </w:r>
      <w:r w:rsidRPr="0032011B">
        <w:t xml:space="preserve"> across the country</w:t>
      </w:r>
      <w:r w:rsidR="00B24F60" w:rsidRPr="0032011B">
        <w:t>,</w:t>
      </w:r>
      <w:r w:rsidR="00463DC3" w:rsidRPr="0032011B">
        <w:t xml:space="preserve"> or in</w:t>
      </w:r>
      <w:r w:rsidR="00463DC3">
        <w:t xml:space="preserve"> another country</w:t>
      </w:r>
      <w:r w:rsidRPr="00114140">
        <w:t xml:space="preserve">.  ATF uses this data to target and perfect its own criminal investigations, and transmits information to </w:t>
      </w:r>
      <w:r w:rsidR="00463DC3">
        <w:t xml:space="preserve">Foreign, </w:t>
      </w:r>
      <w:r w:rsidR="00D31D89">
        <w:t>Federal</w:t>
      </w:r>
      <w:r w:rsidR="00463DC3">
        <w:t xml:space="preserve">, </w:t>
      </w:r>
      <w:r w:rsidR="00D31D89">
        <w:t>state</w:t>
      </w:r>
      <w:r w:rsidRPr="00114140">
        <w:t xml:space="preserve"> and local law enforcement.</w:t>
      </w:r>
    </w:p>
    <w:p w:rsidR="007D0C8C" w:rsidRDefault="007D0C8C" w:rsidP="007D0C8C"/>
    <w:p w:rsidR="007D0C8C" w:rsidRPr="00114140" w:rsidRDefault="007D0C8C" w:rsidP="007D0C8C">
      <w:r w:rsidRPr="00114140">
        <w:t xml:space="preserve">ATF’s National </w:t>
      </w:r>
      <w:r w:rsidR="002174F0" w:rsidRPr="00FE074D">
        <w:t>Tracing</w:t>
      </w:r>
      <w:r w:rsidRPr="00114140">
        <w:t xml:space="preserve"> Center performs a number of functions that play a critical role in </w:t>
      </w:r>
      <w:r w:rsidR="00463DC3">
        <w:t>disrupting</w:t>
      </w:r>
      <w:r w:rsidRPr="00114140">
        <w:t xml:space="preserve"> the flow of illegal guns and improving FFL compliance with </w:t>
      </w:r>
      <w:r w:rsidR="00D31D89">
        <w:t>Federal</w:t>
      </w:r>
      <w:r w:rsidRPr="00114140">
        <w:t xml:space="preserve"> gun laws.  Below are some of the key functions of the NTC</w:t>
      </w:r>
      <w:r w:rsidR="00384947">
        <w:t>.</w:t>
      </w:r>
    </w:p>
    <w:p w:rsidR="00FE074D" w:rsidRDefault="00FE074D" w:rsidP="007D0C8C"/>
    <w:p w:rsidR="00463DC3" w:rsidRPr="0032011B" w:rsidRDefault="00122256" w:rsidP="00E734CE">
      <w:pPr>
        <w:pStyle w:val="ListParagraph"/>
        <w:numPr>
          <w:ilvl w:val="0"/>
          <w:numId w:val="60"/>
        </w:numPr>
      </w:pPr>
      <w:r w:rsidRPr="0032011B">
        <w:rPr>
          <w:b/>
        </w:rPr>
        <w:t>Firearms Tracing Program:</w:t>
      </w:r>
      <w:r w:rsidRPr="0032011B">
        <w:t xml:space="preserve"> The NTC conducts firearms tracing for </w:t>
      </w:r>
      <w:r w:rsidR="00D31D89" w:rsidRPr="0032011B">
        <w:t>Federal</w:t>
      </w:r>
      <w:r w:rsidRPr="0032011B">
        <w:t xml:space="preserve">, </w:t>
      </w:r>
      <w:r w:rsidR="00D31D89" w:rsidRPr="0032011B">
        <w:t>state</w:t>
      </w:r>
      <w:r w:rsidRPr="0032011B">
        <w:t xml:space="preserve">, local </w:t>
      </w:r>
      <w:r w:rsidR="001C3487" w:rsidRPr="0032011B">
        <w:t xml:space="preserve">and foreign </w:t>
      </w:r>
      <w:r w:rsidRPr="0032011B">
        <w:t>law enforcement agencies in order to produce</w:t>
      </w:r>
      <w:r w:rsidR="00766FF2" w:rsidRPr="0032011B">
        <w:t xml:space="preserve"> investigative leads. A firearms trace in the systematic tracking of a firearm recovered by law enforcement in a crime from its manufacturer or importation, through a chain of distribution, normally involving </w:t>
      </w:r>
      <w:r w:rsidR="00766FF2" w:rsidRPr="0032011B">
        <w:lastRenderedPageBreak/>
        <w:t xml:space="preserve">a wholesaler and a retail dealer, to the first unlicensed purchaser.  </w:t>
      </w:r>
      <w:r w:rsidR="001C3487" w:rsidRPr="0032011B">
        <w:t xml:space="preserve">The NTC traced </w:t>
      </w:r>
      <w:r w:rsidR="00FE0099" w:rsidRPr="0032011B">
        <w:t>333,445</w:t>
      </w:r>
      <w:r w:rsidR="001C3487" w:rsidRPr="0032011B">
        <w:t xml:space="preserve"> requests in FY 2011</w:t>
      </w:r>
      <w:r w:rsidR="00E9002E" w:rsidRPr="0032011B">
        <w:t>.</w:t>
      </w:r>
    </w:p>
    <w:p w:rsidR="00E9002E" w:rsidRPr="0032011B" w:rsidRDefault="00E9002E" w:rsidP="00E9002E">
      <w:pPr>
        <w:pStyle w:val="ListParagraph"/>
      </w:pPr>
    </w:p>
    <w:p w:rsidR="001C61D7" w:rsidRPr="0032011B" w:rsidRDefault="007D0C8C">
      <w:pPr>
        <w:pStyle w:val="ListParagraph"/>
        <w:numPr>
          <w:ilvl w:val="0"/>
          <w:numId w:val="58"/>
        </w:numPr>
      </w:pPr>
      <w:r w:rsidRPr="0032011B">
        <w:rPr>
          <w:b/>
        </w:rPr>
        <w:t>eTrace</w:t>
      </w:r>
      <w:r w:rsidR="005C08BA" w:rsidRPr="0032011B">
        <w:rPr>
          <w:b/>
        </w:rPr>
        <w:t xml:space="preserve"> Program:</w:t>
      </w:r>
      <w:r w:rsidRPr="0032011B">
        <w:t xml:space="preserve"> This is a web-based firearms tracing system interface that ATF developed to allow law enforcement agencies to securely submit trace requests via the Internet, receive trace results</w:t>
      </w:r>
      <w:r w:rsidR="004637CC" w:rsidRPr="0032011B">
        <w:t>,</w:t>
      </w:r>
      <w:r w:rsidRPr="0032011B">
        <w:t xml:space="preserve"> and perform analysis of the data.  eTrace is the primary means through which a law enforcement agency interacts with the NTC.  To date, </w:t>
      </w:r>
      <w:r w:rsidR="005C08BA" w:rsidRPr="0032011B">
        <w:t xml:space="preserve">more than </w:t>
      </w:r>
      <w:r w:rsidR="00FE0099" w:rsidRPr="0032011B">
        <w:t>3,900</w:t>
      </w:r>
      <w:r w:rsidRPr="0032011B">
        <w:t xml:space="preserve"> law enforcement agencies use eTrace to submit their trace requests to the NTC, including law enforcement agencies from </w:t>
      </w:r>
      <w:r w:rsidR="005F25FD" w:rsidRPr="0032011B">
        <w:t>3</w:t>
      </w:r>
      <w:r w:rsidR="005C08BA" w:rsidRPr="0032011B">
        <w:t>1</w:t>
      </w:r>
      <w:r w:rsidR="005F25FD" w:rsidRPr="0032011B">
        <w:t xml:space="preserve"> </w:t>
      </w:r>
      <w:r w:rsidRPr="0032011B">
        <w:t>foreign countries.</w:t>
      </w:r>
    </w:p>
    <w:p w:rsidR="007D0C8C" w:rsidRPr="0032011B" w:rsidRDefault="007D0C8C" w:rsidP="007D0C8C"/>
    <w:p w:rsidR="001C61D7" w:rsidRPr="0032011B" w:rsidRDefault="007D0C8C">
      <w:pPr>
        <w:pStyle w:val="ListParagraph"/>
        <w:numPr>
          <w:ilvl w:val="0"/>
          <w:numId w:val="58"/>
        </w:numPr>
      </w:pPr>
      <w:r w:rsidRPr="0032011B">
        <w:rPr>
          <w:b/>
        </w:rPr>
        <w:t>Suspect Gun</w:t>
      </w:r>
      <w:r w:rsidR="0033494C" w:rsidRPr="0032011B">
        <w:rPr>
          <w:b/>
        </w:rPr>
        <w:t xml:space="preserve"> Program</w:t>
      </w:r>
      <w:r w:rsidRPr="0032011B">
        <w:rPr>
          <w:b/>
        </w:rPr>
        <w:t>:</w:t>
      </w:r>
      <w:r w:rsidRPr="0032011B">
        <w:t xml:space="preserve"> A suspect gun is a firearm that has not been recovered by law enforcement but is suspected to be involved in criminal activity</w:t>
      </w:r>
      <w:r w:rsidR="005C08BA" w:rsidRPr="0032011B">
        <w:t xml:space="preserve"> by ATF</w:t>
      </w:r>
      <w:r w:rsidRPr="0032011B">
        <w:t xml:space="preserve">.  </w:t>
      </w:r>
      <w:r w:rsidR="005C08BA" w:rsidRPr="0032011B">
        <w:t xml:space="preserve">An ATF agent with an open criminal investigation may flag the </w:t>
      </w:r>
      <w:r w:rsidR="0019306E" w:rsidRPr="0032011B">
        <w:t xml:space="preserve">firearm </w:t>
      </w:r>
      <w:r w:rsidRPr="0032011B">
        <w:t xml:space="preserve">in the Firearms </w:t>
      </w:r>
      <w:r w:rsidR="002174F0" w:rsidRPr="0032011B">
        <w:t>Tracing</w:t>
      </w:r>
      <w:r w:rsidRPr="0032011B">
        <w:t xml:space="preserve"> System (FTS) so that if it is </w:t>
      </w:r>
      <w:r w:rsidR="0019306E" w:rsidRPr="0032011B">
        <w:t xml:space="preserve">subsequently </w:t>
      </w:r>
      <w:r w:rsidRPr="0032011B">
        <w:t xml:space="preserve">recovered and traced by a law enforcement agency, the </w:t>
      </w:r>
      <w:r w:rsidR="0019306E" w:rsidRPr="0032011B">
        <w:t xml:space="preserve">ATF agent will be notified of its recovery and </w:t>
      </w:r>
      <w:r w:rsidRPr="0032011B">
        <w:t>criminal investigations can be coordinated.</w:t>
      </w:r>
    </w:p>
    <w:p w:rsidR="007D0C8C" w:rsidRPr="0032011B" w:rsidRDefault="007D0C8C" w:rsidP="007D0C8C"/>
    <w:p w:rsidR="001C61D7" w:rsidRPr="0032011B" w:rsidRDefault="0019306E">
      <w:pPr>
        <w:pStyle w:val="ListParagraph"/>
        <w:numPr>
          <w:ilvl w:val="0"/>
          <w:numId w:val="58"/>
        </w:numPr>
      </w:pPr>
      <w:r w:rsidRPr="0032011B">
        <w:rPr>
          <w:b/>
        </w:rPr>
        <w:t>FFL</w:t>
      </w:r>
      <w:r w:rsidR="007D0C8C" w:rsidRPr="0032011B">
        <w:rPr>
          <w:b/>
        </w:rPr>
        <w:t xml:space="preserve"> Theft</w:t>
      </w:r>
      <w:r w:rsidRPr="0032011B">
        <w:rPr>
          <w:b/>
        </w:rPr>
        <w:t xml:space="preserve"> Program</w:t>
      </w:r>
      <w:r w:rsidR="007D0C8C" w:rsidRPr="0032011B">
        <w:rPr>
          <w:b/>
        </w:rPr>
        <w:t>:</w:t>
      </w:r>
      <w:r w:rsidR="007D0C8C" w:rsidRPr="0032011B">
        <w:t xml:space="preserve"> FFLs are required to report the theft or loss of firearms in their inventory to ATF</w:t>
      </w:r>
      <w:r w:rsidRPr="0032011B">
        <w:t>’s National Tracing Center within 48 hours</w:t>
      </w:r>
      <w:r w:rsidR="007D0C8C" w:rsidRPr="0032011B">
        <w:t xml:space="preserve"> so that when they are recovered and traced by a law enforcement agency, the criminal investigations can be coordinated.</w:t>
      </w:r>
      <w:r w:rsidRPr="0032011B">
        <w:t xml:space="preserve">  There is an average of about </w:t>
      </w:r>
      <w:r w:rsidR="00FE0099" w:rsidRPr="0032011B">
        <w:t>19,000</w:t>
      </w:r>
      <w:r w:rsidRPr="0032011B">
        <w:t xml:space="preserve"> firearms reported stolen or lost each year.</w:t>
      </w:r>
    </w:p>
    <w:p w:rsidR="007D0C8C" w:rsidRPr="0032011B" w:rsidRDefault="007D0C8C" w:rsidP="007D0C8C"/>
    <w:p w:rsidR="001C61D7" w:rsidRPr="0032011B" w:rsidRDefault="007D0C8C">
      <w:pPr>
        <w:pStyle w:val="ListParagraph"/>
        <w:numPr>
          <w:ilvl w:val="0"/>
          <w:numId w:val="58"/>
        </w:numPr>
      </w:pPr>
      <w:r w:rsidRPr="0032011B">
        <w:rPr>
          <w:b/>
        </w:rPr>
        <w:t>Inter</w:t>
      </w:r>
      <w:r w:rsidR="00D31D89" w:rsidRPr="0032011B">
        <w:rPr>
          <w:b/>
        </w:rPr>
        <w:t>state</w:t>
      </w:r>
      <w:r w:rsidRPr="0032011B">
        <w:rPr>
          <w:b/>
        </w:rPr>
        <w:t xml:space="preserve"> Theft</w:t>
      </w:r>
      <w:r w:rsidR="0033494C" w:rsidRPr="0032011B">
        <w:rPr>
          <w:b/>
        </w:rPr>
        <w:t xml:space="preserve"> Program</w:t>
      </w:r>
      <w:r w:rsidRPr="0032011B">
        <w:rPr>
          <w:b/>
        </w:rPr>
        <w:t>:</w:t>
      </w:r>
      <w:r w:rsidRPr="0032011B">
        <w:t xml:space="preserve"> Inter</w:t>
      </w:r>
      <w:r w:rsidR="00D31D89" w:rsidRPr="0032011B">
        <w:t>state</w:t>
      </w:r>
      <w:r w:rsidRPr="0032011B">
        <w:t xml:space="preserve"> carriers can voluntarily report the theft or loss of firearms in transit </w:t>
      </w:r>
      <w:r w:rsidR="0019306E" w:rsidRPr="0032011B">
        <w:t xml:space="preserve">to ATF’s National Tracing Center </w:t>
      </w:r>
      <w:r w:rsidRPr="0032011B">
        <w:t>so that if they are recovered and traced by a law enforcement agency, the criminal investigations can be coordinated.</w:t>
      </w:r>
      <w:r w:rsidR="0019306E" w:rsidRPr="0032011B">
        <w:t xml:space="preserve">  There </w:t>
      </w:r>
      <w:r w:rsidR="00015CD3" w:rsidRPr="0032011B">
        <w:t>were</w:t>
      </w:r>
      <w:r w:rsidR="0019306E" w:rsidRPr="0032011B">
        <w:t xml:space="preserve"> about </w:t>
      </w:r>
      <w:r w:rsidR="00015CD3" w:rsidRPr="0032011B">
        <w:t>1,000</w:t>
      </w:r>
      <w:r w:rsidR="0019306E" w:rsidRPr="0032011B">
        <w:t xml:space="preserve"> firearms reported stolen by inter</w:t>
      </w:r>
      <w:r w:rsidR="00D31D89" w:rsidRPr="0032011B">
        <w:t>state</w:t>
      </w:r>
      <w:r w:rsidR="0019306E" w:rsidRPr="0032011B">
        <w:t xml:space="preserve"> carriers </w:t>
      </w:r>
      <w:r w:rsidR="00015CD3" w:rsidRPr="0032011B">
        <w:t>in FY 2011</w:t>
      </w:r>
      <w:r w:rsidR="0019306E" w:rsidRPr="0032011B">
        <w:t xml:space="preserve">. </w:t>
      </w:r>
    </w:p>
    <w:p w:rsidR="007D0C8C" w:rsidRPr="0032011B" w:rsidRDefault="007D0C8C" w:rsidP="007D0C8C"/>
    <w:p w:rsidR="001C61D7" w:rsidRPr="0032011B" w:rsidRDefault="007D0C8C">
      <w:pPr>
        <w:pStyle w:val="ListParagraph"/>
        <w:numPr>
          <w:ilvl w:val="0"/>
          <w:numId w:val="58"/>
        </w:numPr>
      </w:pPr>
      <w:r w:rsidRPr="0032011B">
        <w:rPr>
          <w:b/>
        </w:rPr>
        <w:t>Obliterated Serial Number</w:t>
      </w:r>
      <w:r w:rsidR="0033494C" w:rsidRPr="0032011B">
        <w:rPr>
          <w:b/>
        </w:rPr>
        <w:t xml:space="preserve"> Program</w:t>
      </w:r>
      <w:r w:rsidRPr="0032011B">
        <w:rPr>
          <w:b/>
        </w:rPr>
        <w:t>:</w:t>
      </w:r>
      <w:r w:rsidRPr="0032011B">
        <w:t xml:space="preserve"> Allows law enforcement agencies to submit firearms trace requests </w:t>
      </w:r>
      <w:r w:rsidR="0033494C" w:rsidRPr="0032011B">
        <w:t xml:space="preserve">to ATF’s National Tracing Center </w:t>
      </w:r>
      <w:r w:rsidRPr="0032011B">
        <w:t>with partial serial numbers from crime guns recovered with obliterated serial numbers to identify the crime gun and develop investigative leads.</w:t>
      </w:r>
      <w:r w:rsidR="0033494C" w:rsidRPr="0032011B">
        <w:t xml:space="preserve">  The NTC </w:t>
      </w:r>
      <w:r w:rsidR="00015CD3" w:rsidRPr="0032011B">
        <w:t xml:space="preserve">received </w:t>
      </w:r>
      <w:r w:rsidR="0033494C" w:rsidRPr="0032011B">
        <w:t xml:space="preserve">about 10,000 firearm trace requests </w:t>
      </w:r>
      <w:r w:rsidR="00015CD3" w:rsidRPr="0032011B">
        <w:t>in FY 2011</w:t>
      </w:r>
      <w:r w:rsidR="0033494C" w:rsidRPr="0032011B">
        <w:t xml:space="preserve"> with only partial serial numbers. </w:t>
      </w:r>
    </w:p>
    <w:p w:rsidR="007D0C8C" w:rsidRPr="0032011B" w:rsidRDefault="007D0C8C" w:rsidP="007D0C8C"/>
    <w:p w:rsidR="001C61D7" w:rsidRDefault="007D0C8C">
      <w:pPr>
        <w:pStyle w:val="ListParagraph"/>
        <w:numPr>
          <w:ilvl w:val="0"/>
          <w:numId w:val="58"/>
        </w:numPr>
      </w:pPr>
      <w:r w:rsidRPr="0032011B">
        <w:rPr>
          <w:b/>
        </w:rPr>
        <w:t xml:space="preserve">International </w:t>
      </w:r>
      <w:r w:rsidR="002174F0" w:rsidRPr="0032011B">
        <w:rPr>
          <w:b/>
        </w:rPr>
        <w:t>Tracing</w:t>
      </w:r>
      <w:r w:rsidRPr="0032011B">
        <w:rPr>
          <w:b/>
        </w:rPr>
        <w:t>:</w:t>
      </w:r>
      <w:r w:rsidRPr="0032011B">
        <w:t xml:space="preserve"> ATF traces firearms for foreign law enforcement agencies to provide investigative leads, detect firearms traffickers and to determine international</w:t>
      </w:r>
      <w:r w:rsidRPr="00114140">
        <w:t xml:space="preserve"> </w:t>
      </w:r>
      <w:r w:rsidR="007E4490">
        <w:t>fire</w:t>
      </w:r>
      <w:r w:rsidRPr="00114140">
        <w:t>arms trafficking routes.  More than 50 countries annually submit trace requests to the NTC.</w:t>
      </w:r>
    </w:p>
    <w:p w:rsidR="007D0C8C" w:rsidRDefault="007D0C8C" w:rsidP="007D0C8C"/>
    <w:p w:rsidR="007D0C8C" w:rsidRDefault="007D0C8C" w:rsidP="00AB2682">
      <w:pPr>
        <w:pStyle w:val="ListParagraph"/>
        <w:numPr>
          <w:ilvl w:val="0"/>
          <w:numId w:val="60"/>
        </w:numPr>
      </w:pPr>
      <w:r w:rsidRPr="00AB2682">
        <w:rPr>
          <w:b/>
        </w:rPr>
        <w:t>Out-Of-Business Records:</w:t>
      </w:r>
      <w:r w:rsidRPr="00114140">
        <w:t xml:space="preserve"> When an FFL discontinues business, </w:t>
      </w:r>
      <w:r w:rsidR="004637CC">
        <w:t xml:space="preserve">it must send its </w:t>
      </w:r>
      <w:r w:rsidRPr="00114140">
        <w:t>firearms transactions records to the NTC.  The NTC receives an average of 1.2 million out-of-business records per month and is the only repository for these records within the U.S.</w:t>
      </w:r>
      <w:r w:rsidR="0033494C">
        <w:t xml:space="preserve">  These records are used to complete trace requests.  On average nearly 39 percent of all trace requests have at</w:t>
      </w:r>
      <w:r w:rsidR="00F3333D">
        <w:t xml:space="preserve"> </w:t>
      </w:r>
      <w:r w:rsidR="0033494C">
        <w:t>least one</w:t>
      </w:r>
      <w:r w:rsidR="00F3333D">
        <w:t xml:space="preserve"> FFL in the chain of distribution that has gone out of business.</w:t>
      </w:r>
    </w:p>
    <w:p w:rsidR="00AB2682" w:rsidRDefault="00AB2682" w:rsidP="007D0C8C"/>
    <w:p w:rsidR="001C61D7" w:rsidRDefault="007D0C8C">
      <w:pPr>
        <w:pStyle w:val="ListParagraph"/>
        <w:numPr>
          <w:ilvl w:val="0"/>
          <w:numId w:val="58"/>
        </w:numPr>
      </w:pPr>
      <w:r w:rsidRPr="001C3487">
        <w:rPr>
          <w:b/>
        </w:rPr>
        <w:lastRenderedPageBreak/>
        <w:t>Record Search Requests:</w:t>
      </w:r>
      <w:r w:rsidRPr="00114140">
        <w:t xml:space="preserve"> By searching the out-of-business FFL records, the NTC can assist law enforcement agencies investigating the theft of firearms to obtain firearms serial numbers.  This is conducted when the owner has no record of the firearm serial number and the FFL from whom the owner purchased the firearm is now out of business.</w:t>
      </w:r>
      <w:r w:rsidR="00F3333D">
        <w:t xml:space="preserve">  The NTC conducts record search requests for law enforcement over 1,000 times each year.</w:t>
      </w:r>
    </w:p>
    <w:p w:rsidR="007D0C8C" w:rsidRDefault="007D0C8C" w:rsidP="007D0C8C"/>
    <w:p w:rsidR="001C61D7" w:rsidRDefault="007D0C8C">
      <w:pPr>
        <w:pStyle w:val="ListParagraph"/>
        <w:numPr>
          <w:ilvl w:val="0"/>
          <w:numId w:val="58"/>
        </w:numPr>
      </w:pPr>
      <w:r w:rsidRPr="001C3487">
        <w:rPr>
          <w:b/>
        </w:rPr>
        <w:t>Certified Trace Requests:</w:t>
      </w:r>
      <w:r w:rsidRPr="00114140">
        <w:t xml:space="preserve"> The NTC validates and certifies firearms trace records and FFL out-of-business records for ATF and U.S. prosecutors for criminal court purposes.  </w:t>
      </w:r>
    </w:p>
    <w:p w:rsidR="00AB600F" w:rsidRDefault="00AB600F" w:rsidP="000F1A1A"/>
    <w:p w:rsidR="001C61D7" w:rsidRPr="0032011B" w:rsidRDefault="000F1A1A" w:rsidP="00467F42">
      <w:pPr>
        <w:pStyle w:val="ListParagraph"/>
        <w:numPr>
          <w:ilvl w:val="0"/>
          <w:numId w:val="58"/>
        </w:numPr>
      </w:pPr>
      <w:r w:rsidRPr="001C3487">
        <w:rPr>
          <w:b/>
        </w:rPr>
        <w:t>Access 2000 Program</w:t>
      </w:r>
      <w:r>
        <w:t>:  FFL</w:t>
      </w:r>
      <w:r w:rsidR="006F2CCA">
        <w:t>s</w:t>
      </w:r>
      <w:r>
        <w:t xml:space="preserve"> are required to respond to trace requests within 24 hours</w:t>
      </w:r>
      <w:r w:rsidR="00467F42">
        <w:t>.</w:t>
      </w:r>
      <w:r>
        <w:t xml:space="preserve">  </w:t>
      </w:r>
      <w:r w:rsidR="00CA04D8">
        <w:t xml:space="preserve">Often times this is a </w:t>
      </w:r>
      <w:r w:rsidR="00467F42">
        <w:t>burden on FFLs</w:t>
      </w:r>
      <w:r w:rsidR="00FE7295">
        <w:t xml:space="preserve"> as</w:t>
      </w:r>
      <w:r w:rsidR="00467F42">
        <w:t xml:space="preserve"> they</w:t>
      </w:r>
      <w:r>
        <w:t xml:space="preserve"> may voluntarily participate in the </w:t>
      </w:r>
      <w:r w:rsidR="006F2CCA">
        <w:t xml:space="preserve">ATF </w:t>
      </w:r>
      <w:r>
        <w:t xml:space="preserve">program </w:t>
      </w:r>
      <w:r w:rsidR="006F2CCA">
        <w:t xml:space="preserve">that </w:t>
      </w:r>
      <w:r>
        <w:t xml:space="preserve">places a server at their </w:t>
      </w:r>
      <w:r w:rsidR="006F2CCA">
        <w:t>location</w:t>
      </w:r>
      <w:r w:rsidR="00CA04D8">
        <w:t xml:space="preserve"> to handle trace requests.</w:t>
      </w:r>
      <w:r w:rsidR="00467F42">
        <w:t xml:space="preserve"> </w:t>
      </w:r>
      <w:r w:rsidR="004F10A1">
        <w:t xml:space="preserve"> </w:t>
      </w:r>
      <w:r w:rsidR="006F2CCA">
        <w:t xml:space="preserve">The FFL can export </w:t>
      </w:r>
      <w:r>
        <w:t>their firearm disposition information</w:t>
      </w:r>
      <w:r w:rsidR="006F2CCA">
        <w:t xml:space="preserve"> to </w:t>
      </w:r>
      <w:r w:rsidR="00CA04D8">
        <w:t xml:space="preserve">the </w:t>
      </w:r>
      <w:r w:rsidR="006F2CCA">
        <w:t xml:space="preserve">ATF </w:t>
      </w:r>
      <w:r w:rsidR="00CA04D8">
        <w:t xml:space="preserve">server; allowing FFLs to comply with disposition information requirements </w:t>
      </w:r>
      <w:r>
        <w:t xml:space="preserve">without the </w:t>
      </w:r>
      <w:r w:rsidR="006F2CCA">
        <w:t xml:space="preserve">FFL </w:t>
      </w:r>
      <w:r>
        <w:t xml:space="preserve">having to staff the process on their end.  The NTC </w:t>
      </w:r>
      <w:r w:rsidRPr="0032011B">
        <w:t xml:space="preserve">used Access 2000 to acquire dispositions for over </w:t>
      </w:r>
      <w:r w:rsidR="00015CD3" w:rsidRPr="0032011B">
        <w:t>138,000</w:t>
      </w:r>
      <w:r w:rsidRPr="0032011B">
        <w:t xml:space="preserve"> firearms trace requests in FY</w:t>
      </w:r>
      <w:r w:rsidR="00467F42" w:rsidRPr="0032011B">
        <w:t xml:space="preserve"> </w:t>
      </w:r>
      <w:r w:rsidR="00015CD3" w:rsidRPr="0032011B">
        <w:t>2011.</w:t>
      </w:r>
      <w:r w:rsidRPr="0032011B">
        <w:t xml:space="preserve">  </w:t>
      </w:r>
    </w:p>
    <w:p w:rsidR="0048034D" w:rsidRPr="0032011B" w:rsidRDefault="0048034D" w:rsidP="007D0C8C"/>
    <w:p w:rsidR="00B20B2B" w:rsidRDefault="0073475D" w:rsidP="00B20B2B">
      <w:pPr>
        <w:pStyle w:val="ListParagraph"/>
        <w:numPr>
          <w:ilvl w:val="0"/>
          <w:numId w:val="60"/>
        </w:numPr>
      </w:pPr>
      <w:r w:rsidRPr="00B20B2B">
        <w:rPr>
          <w:b/>
        </w:rPr>
        <w:t>Demand Letter</w:t>
      </w:r>
      <w:r w:rsidR="00015CD3" w:rsidRPr="00B20B2B">
        <w:rPr>
          <w:b/>
        </w:rPr>
        <w:t xml:space="preserve"> 2</w:t>
      </w:r>
      <w:r w:rsidRPr="00B20B2B">
        <w:rPr>
          <w:b/>
        </w:rPr>
        <w:t xml:space="preserve"> Project:</w:t>
      </w:r>
      <w:r w:rsidRPr="0032011B">
        <w:t xml:space="preserve"> </w:t>
      </w:r>
      <w:r w:rsidR="00B20B2B">
        <w:t xml:space="preserve">The NTC is authorized to require FFL who have had 10 or more crime guns traced through them in the previous year to provide the NTC with their acquisition records relating to used firearms on a quarterly basis.  This requirement is referred to as Demand Letter 2 by ATF.  There were about 900 FFLs subject to Demand Letter 2 in FY-2011.  The NTC received reports involving more than 600,000 used firearms in FY 2011 and completed more than 7,700 firearms trace requests using the Demand Letter 2 data.   </w:t>
      </w:r>
      <w:r w:rsidR="00B20B2B" w:rsidRPr="00B20B2B">
        <w:rPr>
          <w:rStyle w:val="CommentReference"/>
          <w:sz w:val="20"/>
          <w:szCs w:val="20"/>
        </w:rPr>
        <w:t> </w:t>
      </w:r>
      <w:r w:rsidR="00B20B2B">
        <w:rPr>
          <w:rStyle w:val="CommentReference"/>
        </w:rPr>
        <w:t> </w:t>
      </w:r>
      <w:r w:rsidR="00B20B2B">
        <w:t xml:space="preserve"> </w:t>
      </w:r>
    </w:p>
    <w:p w:rsidR="0073475D" w:rsidRPr="0032011B" w:rsidRDefault="0073475D" w:rsidP="007D0C8C"/>
    <w:p w:rsidR="007D0C8C" w:rsidRPr="002D1D76" w:rsidRDefault="007D0C8C" w:rsidP="007D0C8C">
      <w:pPr>
        <w:rPr>
          <w:b/>
        </w:rPr>
      </w:pPr>
      <w:r w:rsidRPr="002D1D76">
        <w:rPr>
          <w:b/>
        </w:rPr>
        <w:t>National Firearms Act (NFA) Enforcement</w:t>
      </w:r>
    </w:p>
    <w:p w:rsidR="007D0C8C" w:rsidRDefault="007D0C8C" w:rsidP="007D0C8C"/>
    <w:p w:rsidR="0083683E" w:rsidRDefault="007D0C8C" w:rsidP="0083683E">
      <w:pPr>
        <w:pStyle w:val="ListParagraph"/>
        <w:numPr>
          <w:ilvl w:val="0"/>
          <w:numId w:val="60"/>
        </w:numPr>
      </w:pPr>
      <w:r w:rsidRPr="0083683E">
        <w:rPr>
          <w:b/>
          <w:i/>
        </w:rPr>
        <w:t>Weapons</w:t>
      </w:r>
      <w:r w:rsidR="0083683E" w:rsidRPr="0083683E">
        <w:rPr>
          <w:b/>
          <w:i/>
        </w:rPr>
        <w:t xml:space="preserve">. </w:t>
      </w:r>
      <w:r w:rsidRPr="0083683E">
        <w:rPr>
          <w:b/>
          <w:i/>
        </w:rPr>
        <w:t xml:space="preserve"> </w:t>
      </w:r>
      <w:r w:rsidRPr="00114140">
        <w:t xml:space="preserve">The NFA requires registration and </w:t>
      </w:r>
      <w:r>
        <w:t xml:space="preserve">tax </w:t>
      </w:r>
      <w:r w:rsidRPr="00114140">
        <w:t>payment for making or transfer</w:t>
      </w:r>
      <w:r>
        <w:t>ring</w:t>
      </w:r>
      <w:r w:rsidRPr="00114140">
        <w:t xml:space="preserve"> the following types of firearms: machine guns, silencers, short-barreled rifles and shotguns, destructive devices, and certain concealable weapons classified as “any other weapons.”  </w:t>
      </w:r>
      <w:r>
        <w:t>The NFA mandates that individuals as well as firearms manufacturers and importers register the NFA firearms that they make, manufacture</w:t>
      </w:r>
      <w:r w:rsidR="004637CC">
        <w:t>,</w:t>
      </w:r>
      <w:r>
        <w:t xml:space="preserve"> or import, and that ATF approve in advance all NFA firearms transfers and exports.</w:t>
      </w:r>
      <w:r w:rsidRPr="00114140">
        <w:t xml:space="preserve">  </w:t>
      </w:r>
    </w:p>
    <w:p w:rsidR="0083683E" w:rsidRDefault="0083683E" w:rsidP="0083683E">
      <w:pPr>
        <w:pStyle w:val="ListParagraph"/>
      </w:pPr>
    </w:p>
    <w:p w:rsidR="009F55A5" w:rsidRDefault="007D0C8C" w:rsidP="0086122E">
      <w:pPr>
        <w:pStyle w:val="ListParagraph"/>
      </w:pPr>
      <w:r w:rsidRPr="00114140">
        <w:t xml:space="preserve">The NFA </w:t>
      </w:r>
      <w:r>
        <w:t>taxes</w:t>
      </w:r>
      <w:r w:rsidRPr="00114140">
        <w:t xml:space="preserve"> the manufacture and transfer of NFA firearms, and directs manufacturers, importers, and dealers to pay a special occupational tax.  </w:t>
      </w:r>
    </w:p>
    <w:p w:rsidR="0086122E" w:rsidRPr="0033516E" w:rsidRDefault="0086122E" w:rsidP="0086122E">
      <w:pPr>
        <w:pStyle w:val="ListParagraph"/>
        <w:rPr>
          <w:color w:val="7030A0"/>
        </w:rPr>
      </w:pPr>
    </w:p>
    <w:p w:rsidR="009029D6" w:rsidRDefault="007D0C8C" w:rsidP="00B74222">
      <w:pPr>
        <w:pStyle w:val="ListParagraph"/>
        <w:rPr>
          <w:noProof/>
        </w:rPr>
      </w:pPr>
      <w:r w:rsidRPr="00114140">
        <w:t>ATF processes all applications to manufacture, transfer, and register NFA firearms</w:t>
      </w:r>
      <w:r>
        <w:t>, as well as</w:t>
      </w:r>
      <w:r w:rsidRPr="00114140">
        <w:t xml:space="preserve"> notices of NFA firearms manufactured or imported. </w:t>
      </w:r>
      <w:r w:rsidR="00015CD3">
        <w:t xml:space="preserve"> </w:t>
      </w:r>
      <w:r w:rsidR="008062BD" w:rsidRPr="0032011B">
        <w:t>During FY 2011</w:t>
      </w:r>
      <w:r w:rsidR="00F270A3" w:rsidRPr="0032011B">
        <w:t xml:space="preserve"> ATF processed 105,373 NFA applications involving 992,975 NFA weapons. </w:t>
      </w:r>
      <w:r w:rsidRPr="0032011B">
        <w:t xml:space="preserve"> The</w:t>
      </w:r>
      <w:r w:rsidRPr="00114140">
        <w:t xml:space="preserve"> registration information is recorded in the National Firearms Registration and Transfer Record (NFRTR). </w:t>
      </w:r>
      <w:r>
        <w:t xml:space="preserve"> </w:t>
      </w:r>
      <w:r w:rsidRPr="00114140">
        <w:t>The NFRTR supports ATF’s efforts to inspect firearms licensees and conduct criminal investigations.  ATF has unique statutory authority to classify weapons under the NFA.  ATF continually provides technical information to the industry and the public concerning compliance with the NFA.</w:t>
      </w:r>
      <w:r w:rsidR="0033046B" w:rsidRPr="0033046B">
        <w:rPr>
          <w:noProof/>
        </w:rPr>
        <w:t xml:space="preserve"> </w:t>
      </w:r>
    </w:p>
    <w:p w:rsidR="00B74222" w:rsidRDefault="00440E5A" w:rsidP="00B74222">
      <w:pPr>
        <w:pStyle w:val="ListParagraph"/>
      </w:pPr>
      <w:r>
        <w:rPr>
          <w:noProof/>
        </w:rPr>
        <w:lastRenderedPageBreak/>
        <w:drawing>
          <wp:anchor distT="0" distB="0" distL="114300" distR="114300" simplePos="0" relativeHeight="251679744" behindDoc="0" locked="0" layoutInCell="1" allowOverlap="1">
            <wp:simplePos x="0" y="0"/>
            <wp:positionH relativeFrom="column">
              <wp:posOffset>432435</wp:posOffset>
            </wp:positionH>
            <wp:positionV relativeFrom="paragraph">
              <wp:posOffset>-452755</wp:posOffset>
            </wp:positionV>
            <wp:extent cx="3609340" cy="2261870"/>
            <wp:effectExtent l="19050" t="0" r="0" b="0"/>
            <wp:wrapThrough wrapText="bothSides">
              <wp:wrapPolygon edited="0">
                <wp:start x="-114" y="0"/>
                <wp:lineTo x="-114" y="21467"/>
                <wp:lineTo x="21547" y="21467"/>
                <wp:lineTo x="21547" y="0"/>
                <wp:lineTo x="-114" y="0"/>
              </wp:wrapPolygon>
            </wp:wrapThrough>
            <wp:docPr id="555" name="Picture 830" descr="The graphic on page 27 shows the trend of National Firearms Act (NFA) registrations processed between FY 2007 and FY 2011.  NFA registrations have ncrease from over 550,000 in FY 2007 to just under 1,000,000 by FY 2011.  ATF is responsible for processing all applications to register NFA fire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32" cstate="print"/>
                    <a:srcRect/>
                    <a:stretch>
                      <a:fillRect/>
                    </a:stretch>
                  </pic:blipFill>
                  <pic:spPr bwMode="auto">
                    <a:xfrm>
                      <a:off x="0" y="0"/>
                      <a:ext cx="3609340" cy="2261870"/>
                    </a:xfrm>
                    <a:prstGeom prst="rect">
                      <a:avLst/>
                    </a:prstGeom>
                    <a:noFill/>
                  </pic:spPr>
                </pic:pic>
              </a:graphicData>
            </a:graphic>
          </wp:anchor>
        </w:drawing>
      </w:r>
    </w:p>
    <w:p w:rsidR="007D0C8C" w:rsidRPr="00717B89" w:rsidRDefault="007D0C8C" w:rsidP="007D0C8C">
      <w:pPr>
        <w:pStyle w:val="ListParagraph"/>
        <w:numPr>
          <w:ilvl w:val="0"/>
          <w:numId w:val="60"/>
        </w:numPr>
        <w:spacing w:before="100" w:beforeAutospacing="1" w:after="100" w:afterAutospacing="1"/>
        <w:rPr>
          <w:b/>
          <w:i/>
        </w:rPr>
      </w:pPr>
      <w:r w:rsidRPr="0083683E">
        <w:rPr>
          <w:b/>
          <w:i/>
        </w:rPr>
        <w:t>Importation of Firearms</w:t>
      </w:r>
      <w:r w:rsidR="0083683E">
        <w:rPr>
          <w:b/>
          <w:i/>
        </w:rPr>
        <w:t xml:space="preserve">.  </w:t>
      </w:r>
      <w:r w:rsidRPr="00114140">
        <w:t xml:space="preserve">ATF regulates the importation of firearms, ammunition, and other defense-related articles </w:t>
      </w:r>
      <w:r>
        <w:t>by issuing</w:t>
      </w:r>
      <w:r w:rsidRPr="00114140">
        <w:t xml:space="preserve"> import permits.  ATF also regulates the </w:t>
      </w:r>
      <w:r w:rsidR="009029D6">
        <w:t>i</w:t>
      </w:r>
      <w:r w:rsidRPr="00114140">
        <w:t>mportation of firearms and ammunition by non</w:t>
      </w:r>
      <w:r>
        <w:t>-</w:t>
      </w:r>
      <w:r w:rsidRPr="00114140">
        <w:t xml:space="preserve">immigrant aliens.  ATF maintains close liaison with the Department of </w:t>
      </w:r>
      <w:r w:rsidR="00D31D89">
        <w:t>State</w:t>
      </w:r>
      <w:r w:rsidRPr="00114140">
        <w:t xml:space="preserve"> and U.S. Customs and Border Protection to ensure that the permits issued do not conflict with the foreign policy and national security interests of the U.S.</w:t>
      </w:r>
    </w:p>
    <w:p w:rsidR="00717B89" w:rsidRPr="00717B89" w:rsidRDefault="00717B89" w:rsidP="00717B89">
      <w:pPr>
        <w:pStyle w:val="ListParagraph"/>
        <w:spacing w:before="100" w:beforeAutospacing="1" w:after="100" w:afterAutospacing="1"/>
        <w:rPr>
          <w:b/>
          <w:i/>
        </w:rPr>
      </w:pPr>
    </w:p>
    <w:p w:rsidR="0083683E" w:rsidRDefault="007D0C8C" w:rsidP="007D0C8C">
      <w:pPr>
        <w:pStyle w:val="ListParagraph"/>
        <w:numPr>
          <w:ilvl w:val="0"/>
          <w:numId w:val="60"/>
        </w:numPr>
      </w:pPr>
      <w:r w:rsidRPr="0083683E">
        <w:rPr>
          <w:b/>
          <w:i/>
        </w:rPr>
        <w:t xml:space="preserve">ATF </w:t>
      </w:r>
      <w:r w:rsidR="0073475D" w:rsidRPr="0083683E">
        <w:rPr>
          <w:b/>
          <w:i/>
        </w:rPr>
        <w:t>Interaction</w:t>
      </w:r>
      <w:r w:rsidRPr="0083683E">
        <w:rPr>
          <w:b/>
          <w:i/>
        </w:rPr>
        <w:t xml:space="preserve"> with the Firearms Industry</w:t>
      </w:r>
      <w:r w:rsidR="0083683E">
        <w:rPr>
          <w:b/>
          <w:i/>
        </w:rPr>
        <w:t xml:space="preserve">.  </w:t>
      </w:r>
      <w:r w:rsidRPr="00114140">
        <w:t>ATF updates members of the regulated firearms community o</w:t>
      </w:r>
      <w:r>
        <w:t>n</w:t>
      </w:r>
      <w:r w:rsidRPr="00114140">
        <w:t xml:space="preserve"> statutory, regulatory, and policy changes that affect their day-to-day operations</w:t>
      </w:r>
      <w:r>
        <w:t xml:space="preserve"> and routinely holds s</w:t>
      </w:r>
      <w:r w:rsidRPr="00114140">
        <w:t xml:space="preserve">eminars with industry associations such as the National Firearms Act Trade and Collectors Association, Firearms and Ammunition Importers Roundtable, National Shooting Sports Foundation, National Pawnbrokers Association, the National Association of Arms Shows, and </w:t>
      </w:r>
      <w:r>
        <w:t>similar</w:t>
      </w:r>
      <w:r w:rsidRPr="00114140">
        <w:t xml:space="preserve"> industry groups.  </w:t>
      </w:r>
    </w:p>
    <w:p w:rsidR="0083683E" w:rsidRDefault="0083683E" w:rsidP="0083683E">
      <w:pPr>
        <w:pStyle w:val="ListParagraph"/>
      </w:pPr>
    </w:p>
    <w:p w:rsidR="0083683E" w:rsidRDefault="007D0C8C" w:rsidP="0083683E">
      <w:pPr>
        <w:pStyle w:val="ListParagraph"/>
      </w:pPr>
      <w:r w:rsidRPr="00114140">
        <w:t>ATF publishes pertinent articles in its semi-annual FFL Newsletter and conducts seminars for licensees at various locations.</w:t>
      </w:r>
      <w:r w:rsidR="0083683E">
        <w:t xml:space="preserve">  </w:t>
      </w:r>
      <w:r w:rsidR="002170E2">
        <w:t xml:space="preserve">In addition, </w:t>
      </w:r>
      <w:r w:rsidR="0083683E">
        <w:t>ATF frequently participates in gun show events throughout the country to answer questions and provide handout material about firearms laws and regulations</w:t>
      </w:r>
      <w:r w:rsidR="00532845">
        <w:t xml:space="preserve"> to the public</w:t>
      </w:r>
      <w:r w:rsidR="0083683E">
        <w:t>.</w:t>
      </w:r>
      <w:r w:rsidR="0083683E" w:rsidRPr="00460F38">
        <w:t xml:space="preserve"> </w:t>
      </w:r>
    </w:p>
    <w:p w:rsidR="0083683E" w:rsidRDefault="0083683E" w:rsidP="0083683E">
      <w:pPr>
        <w:pStyle w:val="ListParagraph"/>
      </w:pPr>
    </w:p>
    <w:p w:rsidR="005E74DA" w:rsidRPr="00B20B2B" w:rsidRDefault="007D0C8C" w:rsidP="00343437">
      <w:pPr>
        <w:pStyle w:val="ListParagraph"/>
        <w:numPr>
          <w:ilvl w:val="0"/>
          <w:numId w:val="63"/>
        </w:numPr>
        <w:spacing w:before="100" w:beforeAutospacing="1" w:after="100" w:afterAutospacing="1"/>
        <w:ind w:left="720"/>
      </w:pPr>
      <w:r w:rsidRPr="0083683E">
        <w:rPr>
          <w:b/>
          <w:i/>
        </w:rPr>
        <w:t>International Policy</w:t>
      </w:r>
      <w:r w:rsidR="0083683E" w:rsidRPr="0083683E">
        <w:rPr>
          <w:b/>
          <w:i/>
        </w:rPr>
        <w:t>.</w:t>
      </w:r>
      <w:r w:rsidR="0083683E">
        <w:rPr>
          <w:b/>
          <w:i/>
        </w:rPr>
        <w:t xml:space="preserve">  </w:t>
      </w:r>
      <w:r w:rsidR="00532845" w:rsidRPr="00762F09">
        <w:t xml:space="preserve">At the request of the Department of </w:t>
      </w:r>
      <w:r w:rsidR="00532845">
        <w:t>State</w:t>
      </w:r>
      <w:r w:rsidR="00532845" w:rsidRPr="00762F09">
        <w:t xml:space="preserve">, ATF </w:t>
      </w:r>
      <w:r w:rsidR="00532845">
        <w:t>serves as an advocate for</w:t>
      </w:r>
      <w:r w:rsidR="00532845" w:rsidRPr="00762F09">
        <w:t xml:space="preserve"> the firearms policies of the U.S. in international </w:t>
      </w:r>
      <w:r w:rsidR="00532845">
        <w:t xml:space="preserve">forums </w:t>
      </w:r>
      <w:r w:rsidR="00532845" w:rsidRPr="00762F09">
        <w:t xml:space="preserve">such as the United Nations and the Organization of American </w:t>
      </w:r>
      <w:r w:rsidR="00532845">
        <w:t>State</w:t>
      </w:r>
      <w:r w:rsidR="00532845" w:rsidRPr="00762F09">
        <w:t>s.</w:t>
      </w:r>
      <w:r w:rsidR="005E74DA">
        <w:t xml:space="preserve">  </w:t>
      </w:r>
      <w:r w:rsidRPr="00762F09">
        <w:t xml:space="preserve">ATF ensures that the international firearms agreements in which the U.S. participates are consistent with U.S. laws, regulations, policies, and practices.  The United Nations Program of Action, the Organization of American </w:t>
      </w:r>
      <w:r w:rsidR="00D31D89">
        <w:t>State</w:t>
      </w:r>
      <w:r w:rsidRPr="00762F09">
        <w:t xml:space="preserve">s Convention on Firearms, and the International </w:t>
      </w:r>
      <w:r w:rsidR="002174F0" w:rsidRPr="00AB600F">
        <w:t>Tracing</w:t>
      </w:r>
      <w:r w:rsidRPr="00762F09">
        <w:t xml:space="preserve"> Instrument are just a few of the agreements </w:t>
      </w:r>
      <w:r>
        <w:t>through</w:t>
      </w:r>
      <w:r w:rsidRPr="00762F09">
        <w:t xml:space="preserve"> which ATF </w:t>
      </w:r>
      <w:r w:rsidR="004637CC">
        <w:t>protects</w:t>
      </w:r>
      <w:r w:rsidRPr="00762F09">
        <w:t xml:space="preserve"> the policies of the U.S. in international settings.</w:t>
      </w:r>
      <w:r>
        <w:t xml:space="preserve">  </w:t>
      </w:r>
      <w:r w:rsidRPr="00762F09">
        <w:t xml:space="preserve">  </w:t>
      </w:r>
    </w:p>
    <w:p w:rsidR="00FF3232" w:rsidRDefault="00FF3232" w:rsidP="00343437">
      <w:pPr>
        <w:rPr>
          <w:b/>
          <w:u w:val="single"/>
        </w:rPr>
      </w:pPr>
    </w:p>
    <w:p w:rsidR="00343437" w:rsidRPr="002D1D76" w:rsidRDefault="00343437" w:rsidP="00343437">
      <w:pPr>
        <w:rPr>
          <w:b/>
          <w:u w:val="single"/>
        </w:rPr>
      </w:pPr>
      <w:r w:rsidRPr="002D1D76">
        <w:rPr>
          <w:b/>
          <w:u w:val="single"/>
        </w:rPr>
        <w:t>E</w:t>
      </w:r>
      <w:r w:rsidR="00B24F60" w:rsidRPr="002D1D76">
        <w:rPr>
          <w:b/>
          <w:u w:val="single"/>
        </w:rPr>
        <w:t xml:space="preserve">mergency </w:t>
      </w:r>
      <w:r w:rsidRPr="002D1D76">
        <w:rPr>
          <w:b/>
          <w:u w:val="single"/>
        </w:rPr>
        <w:t>S</w:t>
      </w:r>
      <w:r w:rsidR="00B24F60" w:rsidRPr="002D1D76">
        <w:rPr>
          <w:b/>
          <w:u w:val="single"/>
        </w:rPr>
        <w:t xml:space="preserve">upport </w:t>
      </w:r>
      <w:r w:rsidRPr="002D1D76">
        <w:rPr>
          <w:b/>
          <w:u w:val="single"/>
        </w:rPr>
        <w:t>F</w:t>
      </w:r>
      <w:r w:rsidR="00B24F60" w:rsidRPr="002D1D76">
        <w:rPr>
          <w:b/>
          <w:u w:val="single"/>
        </w:rPr>
        <w:t>unction</w:t>
      </w:r>
      <w:r w:rsidR="00B6553B" w:rsidRPr="002D1D76">
        <w:rPr>
          <w:b/>
          <w:u w:val="single"/>
        </w:rPr>
        <w:t xml:space="preserve"> #13</w:t>
      </w:r>
      <w:r w:rsidR="00B24F60" w:rsidRPr="002D1D76">
        <w:rPr>
          <w:b/>
          <w:u w:val="single"/>
        </w:rPr>
        <w:t xml:space="preserve"> (ES</w:t>
      </w:r>
      <w:r w:rsidR="00B6553B" w:rsidRPr="002D1D76">
        <w:rPr>
          <w:b/>
          <w:u w:val="single"/>
        </w:rPr>
        <w:t>F</w:t>
      </w:r>
      <w:r w:rsidRPr="002D1D76">
        <w:rPr>
          <w:b/>
          <w:u w:val="single"/>
        </w:rPr>
        <w:t xml:space="preserve"> #13</w:t>
      </w:r>
      <w:r w:rsidR="00B6553B" w:rsidRPr="002D1D76">
        <w:rPr>
          <w:b/>
          <w:u w:val="single"/>
        </w:rPr>
        <w:t>)</w:t>
      </w:r>
    </w:p>
    <w:p w:rsidR="00343437" w:rsidRPr="0032011B" w:rsidRDefault="00343437" w:rsidP="00343437">
      <w:pPr>
        <w:rPr>
          <w:b/>
          <w:i/>
          <w:u w:val="single"/>
        </w:rPr>
      </w:pPr>
    </w:p>
    <w:p w:rsidR="00343437" w:rsidRPr="0032011B" w:rsidRDefault="00B6553B" w:rsidP="00343437">
      <w:r w:rsidRPr="0032011B">
        <w:t xml:space="preserve">In reaction to </w:t>
      </w:r>
      <w:r w:rsidR="009E6741" w:rsidRPr="0032011B">
        <w:rPr>
          <w:b/>
          <w:bCs/>
          <w:i/>
          <w:iCs/>
        </w:rPr>
        <w:t>The Federal Response to Hurricane Katrina: Lessons Learned</w:t>
      </w:r>
      <w:r w:rsidR="009E6741" w:rsidRPr="0032011B">
        <w:rPr>
          <w:i/>
          <w:iCs/>
        </w:rPr>
        <w:t xml:space="preserve"> </w:t>
      </w:r>
      <w:r w:rsidR="009E6741" w:rsidRPr="0032011B">
        <w:t xml:space="preserve">report of February 2006, the Department of Justice (DOJ) was appointed the sole coordinating agency for ESF #13.  DOJ has designated ATF as the DOJ coordinating agency for ESF #13.  </w:t>
      </w:r>
    </w:p>
    <w:p w:rsidR="00343437" w:rsidRPr="0032011B" w:rsidRDefault="00343437" w:rsidP="00343437">
      <w:pPr>
        <w:rPr>
          <w:rFonts w:ascii="Calibri" w:hAnsi="Calibri"/>
          <w:sz w:val="22"/>
          <w:szCs w:val="22"/>
        </w:rPr>
      </w:pPr>
    </w:p>
    <w:p w:rsidR="00343437" w:rsidRPr="0032011B" w:rsidRDefault="009E6741" w:rsidP="00343437">
      <w:r w:rsidRPr="0032011B">
        <w:t xml:space="preserve">ESF #13, Public Safety and Security, is one of the 15 Emergency Support Functions (ESFs) that support the National Response Framework (NRF), originally adopted as the National Response Plan by President George W. Bush in 2004,  The NRF presents the guiding principles that enable </w:t>
      </w:r>
      <w:r w:rsidRPr="0032011B">
        <w:lastRenderedPageBreak/>
        <w:t>all response partners to prepare for and provide a unified national response to disasters and emergencies.  It was written to guide the integration of Federal, State, local, tribal and territorial (FSLTT) response efforts.  ESF #13 serves as coordination mechanism that enhances the capabilities of law enforcement overwhelmed or incapacitated by a disaster or incident.</w:t>
      </w:r>
    </w:p>
    <w:p w:rsidR="00343437" w:rsidRPr="0032011B" w:rsidRDefault="00343437" w:rsidP="00343437"/>
    <w:p w:rsidR="00343437" w:rsidRPr="0032011B" w:rsidRDefault="009E6741" w:rsidP="00343437">
      <w:pPr>
        <w:rPr>
          <w:b/>
          <w:bCs/>
        </w:rPr>
      </w:pPr>
      <w:r w:rsidRPr="0032011B">
        <w:t>The ESF #13 mission consists of three primary functions:</w:t>
      </w:r>
    </w:p>
    <w:p w:rsidR="00343437" w:rsidRPr="0032011B" w:rsidRDefault="00343437" w:rsidP="00343437">
      <w:pPr>
        <w:rPr>
          <w:b/>
          <w:bCs/>
        </w:rPr>
      </w:pPr>
    </w:p>
    <w:p w:rsidR="00343437" w:rsidRPr="0032011B" w:rsidRDefault="009E6741" w:rsidP="00343437">
      <w:pPr>
        <w:pStyle w:val="ListParagraph"/>
        <w:numPr>
          <w:ilvl w:val="0"/>
          <w:numId w:val="70"/>
        </w:numPr>
        <w:contextualSpacing w:val="0"/>
        <w:rPr>
          <w:b/>
          <w:bCs/>
        </w:rPr>
      </w:pPr>
      <w:r w:rsidRPr="0032011B">
        <w:t>Provide Federal law enforcement assistance to other FSLTT departments/agencies (D/As) overwhelmed by the consequences of an incident.</w:t>
      </w:r>
    </w:p>
    <w:p w:rsidR="00343437" w:rsidRPr="0032011B" w:rsidRDefault="00343437" w:rsidP="00343437"/>
    <w:p w:rsidR="00343437" w:rsidRPr="0032011B" w:rsidRDefault="009E6741" w:rsidP="00343437">
      <w:pPr>
        <w:pStyle w:val="ListParagraph"/>
        <w:numPr>
          <w:ilvl w:val="0"/>
          <w:numId w:val="70"/>
        </w:numPr>
        <w:contextualSpacing w:val="0"/>
      </w:pPr>
      <w:r w:rsidRPr="0032011B">
        <w:t xml:space="preserve">Provide assistance to FSLTT law enforcement D/As to protect critical infrastructure/key resources when a credible threat exists and security is insufficient.       </w:t>
      </w:r>
    </w:p>
    <w:p w:rsidR="00343437" w:rsidRPr="0032011B" w:rsidRDefault="00343437" w:rsidP="00343437"/>
    <w:p w:rsidR="00343437" w:rsidRPr="0032011B" w:rsidRDefault="009E6741" w:rsidP="00343437">
      <w:pPr>
        <w:pStyle w:val="ListParagraph"/>
        <w:numPr>
          <w:ilvl w:val="0"/>
          <w:numId w:val="70"/>
        </w:numPr>
        <w:contextualSpacing w:val="0"/>
        <w:rPr>
          <w:b/>
          <w:bCs/>
        </w:rPr>
      </w:pPr>
      <w:r w:rsidRPr="0032011B">
        <w:t>Provide force protection to other responding ESF resources when their parent D/A is not capable of providing security.</w:t>
      </w:r>
    </w:p>
    <w:p w:rsidR="00343437" w:rsidRPr="0032011B" w:rsidRDefault="00343437" w:rsidP="00343437">
      <w:pPr>
        <w:jc w:val="both"/>
      </w:pPr>
    </w:p>
    <w:p w:rsidR="00343437" w:rsidRPr="0032011B" w:rsidRDefault="009E6741" w:rsidP="00343437">
      <w:r w:rsidRPr="0032011B">
        <w:t>ESF #13 capabilities support incident management requirements including, but not limited to, force and critical infrastructure protection, security planning and technical assistance, technology support, and general law enforcement assistance in both pre-incident and post-incident situations.</w:t>
      </w:r>
    </w:p>
    <w:p w:rsidR="00532845" w:rsidRPr="0032011B" w:rsidRDefault="00532845" w:rsidP="00532845">
      <w:pPr>
        <w:pStyle w:val="ListParagraph"/>
        <w:spacing w:before="100" w:beforeAutospacing="1" w:after="100" w:afterAutospacing="1"/>
      </w:pPr>
    </w:p>
    <w:p w:rsidR="00860A0D" w:rsidRDefault="00860A0D" w:rsidP="00787806">
      <w:pPr>
        <w:spacing w:before="100" w:beforeAutospacing="1" w:after="100" w:afterAutospacing="1"/>
      </w:pPr>
    </w:p>
    <w:p w:rsidR="00717B89" w:rsidRPr="00787806" w:rsidRDefault="00717B89" w:rsidP="00717B89">
      <w:pPr>
        <w:spacing w:before="100" w:beforeAutospacing="1" w:after="100" w:afterAutospacing="1"/>
        <w:sectPr w:rsidR="00717B89" w:rsidRPr="00787806" w:rsidSect="003C2B91">
          <w:headerReference w:type="even" r:id="rId33"/>
          <w:headerReference w:type="default" r:id="rId34"/>
          <w:footerReference w:type="default" r:id="rId35"/>
          <w:headerReference w:type="first" r:id="rId36"/>
          <w:pgSz w:w="12240" w:h="15840" w:code="1"/>
          <w:pgMar w:top="1440" w:right="1440" w:bottom="1440" w:left="1440" w:header="720" w:footer="720" w:gutter="0"/>
          <w:pgNumType w:start="1"/>
          <w:cols w:space="720"/>
          <w:noEndnote/>
          <w:docGrid w:linePitch="326"/>
        </w:sectPr>
      </w:pPr>
    </w:p>
    <w:p w:rsidR="005E0F48" w:rsidRPr="00B74C21" w:rsidRDefault="00925455" w:rsidP="005E0F48">
      <w:pPr>
        <w:tabs>
          <w:tab w:val="left" w:pos="7950"/>
        </w:tabs>
        <w:spacing w:before="100" w:beforeAutospacing="1" w:after="100" w:afterAutospacing="1"/>
        <w:rPr>
          <w:b/>
          <w:bCs/>
          <w:color w:val="FF0000"/>
        </w:rPr>
      </w:pPr>
      <w:r w:rsidRPr="00925455">
        <w:rPr>
          <w:b/>
          <w:bCs/>
        </w:rPr>
        <w:lastRenderedPageBreak/>
        <w:t>2</w:t>
      </w:r>
      <w:r w:rsidR="005E0F48" w:rsidRPr="002D1D76">
        <w:rPr>
          <w:b/>
          <w:bCs/>
        </w:rPr>
        <w:t xml:space="preserve">.   Performance </w:t>
      </w:r>
      <w:r w:rsidRPr="002D1D76">
        <w:rPr>
          <w:b/>
          <w:bCs/>
        </w:rPr>
        <w:t xml:space="preserve">Tables </w:t>
      </w:r>
      <w:r w:rsidR="002D1D76" w:rsidRPr="002D1D76">
        <w:rPr>
          <w:b/>
          <w:bCs/>
        </w:rPr>
        <w:t>–</w:t>
      </w:r>
      <w:r w:rsidRPr="002D1D76">
        <w:rPr>
          <w:b/>
          <w:bCs/>
        </w:rPr>
        <w:t xml:space="preserve"> Firearms</w:t>
      </w:r>
      <w:r w:rsidR="00B74C21">
        <w:rPr>
          <w:b/>
          <w:bCs/>
        </w:rPr>
        <w:t xml:space="preserve"> </w:t>
      </w:r>
      <w:r w:rsidR="005E0F48" w:rsidRPr="00B74C21">
        <w:rPr>
          <w:b/>
          <w:bCs/>
          <w:color w:val="FF0000"/>
        </w:rPr>
        <w:tab/>
      </w:r>
    </w:p>
    <w:tbl>
      <w:tblPr>
        <w:tblpPr w:leftFromText="180" w:rightFromText="180" w:vertAnchor="text" w:horzAnchor="margin" w:tblpXSpec="center" w:tblpY="117"/>
        <w:tblW w:w="14598" w:type="dxa"/>
        <w:tblLayout w:type="fixed"/>
        <w:tblCellMar>
          <w:left w:w="0" w:type="dxa"/>
          <w:right w:w="0" w:type="dxa"/>
        </w:tblCellMar>
        <w:tblLook w:val="0000"/>
      </w:tblPr>
      <w:tblGrid>
        <w:gridCol w:w="1952"/>
        <w:gridCol w:w="2907"/>
        <w:gridCol w:w="1079"/>
        <w:gridCol w:w="897"/>
        <w:gridCol w:w="738"/>
        <w:gridCol w:w="1069"/>
        <w:gridCol w:w="630"/>
        <w:gridCol w:w="8"/>
        <w:gridCol w:w="988"/>
        <w:gridCol w:w="624"/>
        <w:gridCol w:w="1352"/>
        <w:gridCol w:w="719"/>
        <w:gridCol w:w="1635"/>
      </w:tblGrid>
      <w:tr w:rsidR="00313988" w:rsidRPr="00762F09" w:rsidTr="00313988">
        <w:trPr>
          <w:trHeight w:val="110"/>
        </w:trPr>
        <w:tc>
          <w:tcPr>
            <w:tcW w:w="14598" w:type="dxa"/>
            <w:gridSpan w:val="13"/>
            <w:tcBorders>
              <w:top w:val="single" w:sz="8" w:space="0" w:color="auto"/>
              <w:left w:val="single" w:sz="8" w:space="0" w:color="auto"/>
              <w:bottom w:val="single" w:sz="4" w:space="0" w:color="auto"/>
              <w:right w:val="single" w:sz="8" w:space="0" w:color="000000"/>
            </w:tcBorders>
            <w:shd w:val="clear" w:color="auto" w:fill="FFFFFF"/>
            <w:tcMar>
              <w:top w:w="25" w:type="dxa"/>
              <w:left w:w="25" w:type="dxa"/>
              <w:bottom w:w="0" w:type="dxa"/>
              <w:right w:w="25" w:type="dxa"/>
            </w:tcMar>
            <w:vAlign w:val="bottom"/>
          </w:tcPr>
          <w:p w:rsidR="00313988" w:rsidRPr="00AB50B6" w:rsidRDefault="00313988" w:rsidP="00313988">
            <w:pPr>
              <w:spacing w:before="100" w:beforeAutospacing="1" w:after="100" w:afterAutospacing="1"/>
              <w:ind w:right="-205"/>
              <w:jc w:val="center"/>
              <w:rPr>
                <w:b/>
                <w:color w:val="FF0000"/>
                <w:sz w:val="28"/>
                <w:szCs w:val="28"/>
              </w:rPr>
            </w:pPr>
            <w:r w:rsidRPr="00762F09">
              <w:rPr>
                <w:b/>
                <w:szCs w:val="20"/>
              </w:rPr>
              <w:t>PERFORMANCE AND RESOURCES TABLE</w:t>
            </w:r>
            <w:r>
              <w:rPr>
                <w:b/>
                <w:szCs w:val="20"/>
              </w:rPr>
              <w:t xml:space="preserve"> </w:t>
            </w:r>
          </w:p>
        </w:tc>
      </w:tr>
      <w:tr w:rsidR="00313988" w:rsidRPr="00762F09" w:rsidTr="00313988">
        <w:trPr>
          <w:trHeight w:val="333"/>
        </w:trPr>
        <w:tc>
          <w:tcPr>
            <w:tcW w:w="14598" w:type="dxa"/>
            <w:gridSpan w:val="13"/>
            <w:tcBorders>
              <w:top w:val="single" w:sz="8" w:space="0" w:color="auto"/>
              <w:left w:val="single" w:sz="8" w:space="0" w:color="auto"/>
              <w:bottom w:val="single" w:sz="4" w:space="0" w:color="auto"/>
              <w:right w:val="single" w:sz="8" w:space="0" w:color="000000"/>
            </w:tcBorders>
            <w:shd w:val="clear" w:color="auto" w:fill="FFFFFF"/>
            <w:tcMar>
              <w:top w:w="25" w:type="dxa"/>
              <w:left w:w="25" w:type="dxa"/>
              <w:bottom w:w="0" w:type="dxa"/>
              <w:right w:w="25" w:type="dxa"/>
            </w:tcMar>
            <w:vAlign w:val="bottom"/>
          </w:tcPr>
          <w:p w:rsidR="00313988" w:rsidRPr="00762F09" w:rsidRDefault="00313988" w:rsidP="00313988">
            <w:pPr>
              <w:spacing w:before="100" w:beforeAutospacing="1" w:after="100" w:afterAutospacing="1"/>
              <w:ind w:right="-205"/>
              <w:rPr>
                <w:b/>
                <w:bCs/>
              </w:rPr>
            </w:pPr>
            <w:r w:rsidRPr="00762F09">
              <w:rPr>
                <w:b/>
              </w:rPr>
              <w:t>Decision Unit: Firearms</w:t>
            </w:r>
          </w:p>
        </w:tc>
      </w:tr>
      <w:tr w:rsidR="00313988" w:rsidRPr="00762F09" w:rsidTr="00313988">
        <w:trPr>
          <w:trHeight w:val="110"/>
        </w:trPr>
        <w:tc>
          <w:tcPr>
            <w:tcW w:w="14598" w:type="dxa"/>
            <w:gridSpan w:val="13"/>
            <w:tcBorders>
              <w:top w:val="single" w:sz="8" w:space="0" w:color="auto"/>
              <w:left w:val="single" w:sz="8" w:space="0" w:color="auto"/>
              <w:bottom w:val="single" w:sz="4" w:space="0" w:color="auto"/>
              <w:right w:val="single" w:sz="8" w:space="0" w:color="000000"/>
            </w:tcBorders>
            <w:shd w:val="clear" w:color="auto" w:fill="FFFFFF"/>
            <w:tcMar>
              <w:top w:w="25" w:type="dxa"/>
              <w:left w:w="25" w:type="dxa"/>
              <w:bottom w:w="0" w:type="dxa"/>
              <w:right w:w="25" w:type="dxa"/>
            </w:tcMar>
            <w:vAlign w:val="bottom"/>
          </w:tcPr>
          <w:p w:rsidR="00313988" w:rsidRPr="00762F09" w:rsidRDefault="00313988" w:rsidP="00313988">
            <w:pPr>
              <w:spacing w:before="100" w:beforeAutospacing="1" w:after="100" w:afterAutospacing="1"/>
              <w:ind w:right="-205"/>
              <w:rPr>
                <w:b/>
              </w:rPr>
            </w:pPr>
            <w:r w:rsidRPr="00762F09">
              <w:rPr>
                <w:b/>
              </w:rPr>
              <w:t>DOJ Strategic Goal/Objective: Goal 2, Objective 2.2</w:t>
            </w:r>
          </w:p>
        </w:tc>
      </w:tr>
      <w:tr w:rsidR="00313988" w:rsidRPr="00762F09" w:rsidTr="00313988">
        <w:trPr>
          <w:trHeight w:val="110"/>
        </w:trPr>
        <w:tc>
          <w:tcPr>
            <w:tcW w:w="4859" w:type="dxa"/>
            <w:gridSpan w:val="2"/>
            <w:tcBorders>
              <w:top w:val="single" w:sz="8" w:space="0" w:color="auto"/>
              <w:left w:val="single" w:sz="8" w:space="0" w:color="auto"/>
              <w:bottom w:val="single" w:sz="4" w:space="0" w:color="auto"/>
              <w:right w:val="single" w:sz="4" w:space="0" w:color="000000"/>
            </w:tcBorders>
            <w:shd w:val="clear" w:color="auto" w:fill="FFFFFF"/>
            <w:tcMar>
              <w:top w:w="25" w:type="dxa"/>
              <w:left w:w="25" w:type="dxa"/>
              <w:bottom w:w="0" w:type="dxa"/>
              <w:right w:w="25" w:type="dxa"/>
            </w:tcMar>
            <w:vAlign w:val="bottom"/>
          </w:tcPr>
          <w:p w:rsidR="00313988" w:rsidRPr="00762F09" w:rsidRDefault="00313988" w:rsidP="00313988">
            <w:pPr>
              <w:spacing w:before="100" w:beforeAutospacing="1" w:after="100" w:afterAutospacing="1"/>
              <w:rPr>
                <w:rFonts w:eastAsia="Arial Unicode MS"/>
                <w:b/>
              </w:rPr>
            </w:pPr>
            <w:r>
              <w:rPr>
                <w:b/>
              </w:rPr>
              <w:t>WORKLOAD/</w:t>
            </w:r>
            <w:r w:rsidRPr="00762F09">
              <w:rPr>
                <w:b/>
              </w:rPr>
              <w:t>RESOURCES</w:t>
            </w:r>
          </w:p>
        </w:tc>
        <w:tc>
          <w:tcPr>
            <w:tcW w:w="1976" w:type="dxa"/>
            <w:gridSpan w:val="2"/>
            <w:tcBorders>
              <w:top w:val="single" w:sz="8" w:space="0" w:color="auto"/>
              <w:left w:val="nil"/>
              <w:bottom w:val="single" w:sz="4" w:space="0" w:color="auto"/>
              <w:right w:val="single" w:sz="4" w:space="0" w:color="000000"/>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jc w:val="center"/>
              <w:rPr>
                <w:rFonts w:eastAsia="Arial Unicode MS"/>
                <w:b/>
              </w:rPr>
            </w:pPr>
            <w:bookmarkStart w:id="15" w:name="OLE_LINK3"/>
            <w:bookmarkStart w:id="16" w:name="OLE_LINK4"/>
            <w:r w:rsidRPr="00762F09">
              <w:rPr>
                <w:b/>
              </w:rPr>
              <w:t>Final Target</w:t>
            </w:r>
            <w:bookmarkEnd w:id="15"/>
            <w:bookmarkEnd w:id="16"/>
          </w:p>
        </w:tc>
        <w:tc>
          <w:tcPr>
            <w:tcW w:w="1807" w:type="dxa"/>
            <w:gridSpan w:val="2"/>
            <w:tcBorders>
              <w:top w:val="single" w:sz="8" w:space="0" w:color="auto"/>
              <w:left w:val="nil"/>
              <w:bottom w:val="single" w:sz="4" w:space="0" w:color="auto"/>
              <w:right w:val="single" w:sz="4" w:space="0" w:color="000000"/>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jc w:val="center"/>
              <w:rPr>
                <w:b/>
              </w:rPr>
            </w:pPr>
            <w:r>
              <w:rPr>
                <w:b/>
              </w:rPr>
              <w:t>Actual</w:t>
            </w:r>
          </w:p>
        </w:tc>
        <w:tc>
          <w:tcPr>
            <w:tcW w:w="1626" w:type="dxa"/>
            <w:gridSpan w:val="3"/>
            <w:tcBorders>
              <w:top w:val="single" w:sz="8" w:space="0" w:color="auto"/>
              <w:left w:val="nil"/>
              <w:bottom w:val="single" w:sz="4" w:space="0" w:color="auto"/>
              <w:right w:val="single" w:sz="8" w:space="0" w:color="auto"/>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jc w:val="center"/>
              <w:rPr>
                <w:rFonts w:eastAsia="Arial Unicode MS"/>
                <w:b/>
              </w:rPr>
            </w:pPr>
            <w:r>
              <w:rPr>
                <w:rFonts w:eastAsia="Arial Unicode MS"/>
                <w:b/>
              </w:rPr>
              <w:t>Enacted</w:t>
            </w:r>
          </w:p>
        </w:tc>
        <w:tc>
          <w:tcPr>
            <w:tcW w:w="1976" w:type="dxa"/>
            <w:gridSpan w:val="2"/>
            <w:tcBorders>
              <w:top w:val="single" w:sz="8" w:space="0" w:color="auto"/>
              <w:left w:val="single" w:sz="8" w:space="0" w:color="auto"/>
              <w:bottom w:val="single" w:sz="4" w:space="0" w:color="auto"/>
              <w:right w:val="single" w:sz="8" w:space="0" w:color="000000"/>
            </w:tcBorders>
            <w:shd w:val="clear" w:color="auto" w:fill="FFFFFF"/>
            <w:vAlign w:val="center"/>
          </w:tcPr>
          <w:p w:rsidR="00313988" w:rsidRPr="00762F09" w:rsidRDefault="00313988" w:rsidP="00313988">
            <w:pPr>
              <w:spacing w:before="100" w:beforeAutospacing="1" w:after="100" w:afterAutospacing="1"/>
              <w:jc w:val="center"/>
              <w:rPr>
                <w:b/>
              </w:rPr>
            </w:pPr>
            <w:r w:rsidRPr="00762F09">
              <w:rPr>
                <w:b/>
              </w:rPr>
              <w:t>Changes</w:t>
            </w:r>
          </w:p>
        </w:tc>
        <w:tc>
          <w:tcPr>
            <w:tcW w:w="2354" w:type="dxa"/>
            <w:gridSpan w:val="2"/>
            <w:tcBorders>
              <w:top w:val="single" w:sz="8" w:space="0" w:color="auto"/>
              <w:left w:val="single" w:sz="8" w:space="0" w:color="000000"/>
              <w:bottom w:val="single" w:sz="4" w:space="0" w:color="auto"/>
              <w:right w:val="single" w:sz="8" w:space="0" w:color="000000"/>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ind w:right="-205"/>
              <w:jc w:val="center"/>
              <w:rPr>
                <w:rFonts w:eastAsia="Arial Unicode MS"/>
                <w:b/>
              </w:rPr>
            </w:pPr>
            <w:r w:rsidRPr="00762F09">
              <w:rPr>
                <w:b/>
              </w:rPr>
              <w:t>Requested (Total)</w:t>
            </w:r>
          </w:p>
        </w:tc>
      </w:tr>
      <w:tr w:rsidR="00313988" w:rsidRPr="00762F09" w:rsidTr="00313988">
        <w:trPr>
          <w:trHeight w:val="199"/>
        </w:trPr>
        <w:tc>
          <w:tcPr>
            <w:tcW w:w="4859" w:type="dxa"/>
            <w:gridSpan w:val="2"/>
            <w:tcBorders>
              <w:top w:val="single" w:sz="4" w:space="0" w:color="auto"/>
              <w:left w:val="single" w:sz="8" w:space="0" w:color="auto"/>
              <w:bottom w:val="single" w:sz="4" w:space="0" w:color="auto"/>
              <w:right w:val="single" w:sz="4" w:space="0" w:color="000000"/>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rPr>
                <w:rFonts w:eastAsia="Arial Unicode MS"/>
              </w:rPr>
            </w:pPr>
            <w:r w:rsidRPr="00762F09">
              <w:t> </w:t>
            </w:r>
          </w:p>
        </w:tc>
        <w:tc>
          <w:tcPr>
            <w:tcW w:w="1976" w:type="dxa"/>
            <w:gridSpan w:val="2"/>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center"/>
          </w:tcPr>
          <w:p w:rsidR="00313988" w:rsidRPr="00762F09" w:rsidRDefault="00313988" w:rsidP="00313988">
            <w:pPr>
              <w:spacing w:before="100" w:beforeAutospacing="1" w:after="100" w:afterAutospacing="1"/>
              <w:jc w:val="center"/>
              <w:rPr>
                <w:b/>
              </w:rPr>
            </w:pPr>
            <w:r>
              <w:rPr>
                <w:b/>
              </w:rPr>
              <w:t>FY 2011</w:t>
            </w:r>
          </w:p>
        </w:tc>
        <w:tc>
          <w:tcPr>
            <w:tcW w:w="1807" w:type="dxa"/>
            <w:gridSpan w:val="2"/>
            <w:tcBorders>
              <w:top w:val="single" w:sz="4" w:space="0" w:color="auto"/>
              <w:left w:val="nil"/>
              <w:bottom w:val="single" w:sz="4" w:space="0" w:color="auto"/>
              <w:right w:val="single" w:sz="4" w:space="0" w:color="000000"/>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jc w:val="center"/>
              <w:rPr>
                <w:rFonts w:eastAsia="Arial Unicode MS"/>
                <w:b/>
              </w:rPr>
            </w:pPr>
            <w:r w:rsidRPr="00762F09">
              <w:rPr>
                <w:b/>
              </w:rPr>
              <w:t>FY 20</w:t>
            </w:r>
            <w:r>
              <w:rPr>
                <w:b/>
              </w:rPr>
              <w:t>11</w:t>
            </w:r>
          </w:p>
        </w:tc>
        <w:tc>
          <w:tcPr>
            <w:tcW w:w="1626" w:type="dxa"/>
            <w:gridSpan w:val="3"/>
            <w:tcBorders>
              <w:top w:val="single" w:sz="4" w:space="0" w:color="auto"/>
              <w:left w:val="nil"/>
              <w:bottom w:val="single" w:sz="4" w:space="0" w:color="auto"/>
              <w:right w:val="single" w:sz="4" w:space="0" w:color="000000"/>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jc w:val="center"/>
              <w:rPr>
                <w:rFonts w:eastAsia="Arial Unicode MS"/>
                <w:b/>
              </w:rPr>
            </w:pPr>
            <w:r>
              <w:rPr>
                <w:b/>
              </w:rPr>
              <w:t>FY 2012</w:t>
            </w:r>
          </w:p>
        </w:tc>
        <w:tc>
          <w:tcPr>
            <w:tcW w:w="1976" w:type="dxa"/>
            <w:gridSpan w:val="2"/>
            <w:tcBorders>
              <w:top w:val="single" w:sz="4" w:space="0" w:color="auto"/>
              <w:left w:val="nil"/>
              <w:bottom w:val="single" w:sz="4" w:space="0" w:color="auto"/>
              <w:right w:val="single" w:sz="4" w:space="0" w:color="000000"/>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jc w:val="center"/>
              <w:rPr>
                <w:rFonts w:eastAsia="Arial Unicode MS"/>
                <w:b/>
              </w:rPr>
            </w:pPr>
            <w:r w:rsidRPr="00762F09">
              <w:rPr>
                <w:rFonts w:eastAsia="Arial Unicode MS"/>
                <w:b/>
              </w:rPr>
              <w:t>Current Services Adjustments a</w:t>
            </w:r>
            <w:r>
              <w:rPr>
                <w:rFonts w:eastAsia="Arial Unicode MS"/>
                <w:b/>
              </w:rPr>
              <w:t>nd FY 2013</w:t>
            </w:r>
            <w:r w:rsidRPr="00762F09">
              <w:rPr>
                <w:rFonts w:eastAsia="Arial Unicode MS"/>
                <w:b/>
              </w:rPr>
              <w:t xml:space="preserve"> Program Change</w:t>
            </w:r>
          </w:p>
        </w:tc>
        <w:tc>
          <w:tcPr>
            <w:tcW w:w="2354" w:type="dxa"/>
            <w:gridSpan w:val="2"/>
            <w:tcBorders>
              <w:top w:val="single" w:sz="4" w:space="0" w:color="auto"/>
              <w:left w:val="nil"/>
              <w:bottom w:val="single" w:sz="4" w:space="0" w:color="auto"/>
              <w:right w:val="single" w:sz="8" w:space="0" w:color="000000"/>
            </w:tcBorders>
            <w:shd w:val="clear" w:color="auto" w:fill="FFFFFF"/>
            <w:noWrap/>
            <w:tcMar>
              <w:top w:w="25" w:type="dxa"/>
              <w:left w:w="25" w:type="dxa"/>
              <w:bottom w:w="0" w:type="dxa"/>
              <w:right w:w="25" w:type="dxa"/>
            </w:tcMar>
            <w:vAlign w:val="center"/>
          </w:tcPr>
          <w:p w:rsidR="00313988" w:rsidRPr="00762F09" w:rsidRDefault="00313988" w:rsidP="00313988">
            <w:pPr>
              <w:spacing w:before="100" w:beforeAutospacing="1" w:after="100" w:afterAutospacing="1"/>
              <w:jc w:val="center"/>
              <w:rPr>
                <w:rFonts w:eastAsia="Arial Unicode MS"/>
                <w:b/>
              </w:rPr>
            </w:pPr>
            <w:r>
              <w:rPr>
                <w:b/>
              </w:rPr>
              <w:t>FY 2013</w:t>
            </w:r>
            <w:r w:rsidRPr="00762F09">
              <w:rPr>
                <w:b/>
              </w:rPr>
              <w:t xml:space="preserve"> Request</w:t>
            </w:r>
          </w:p>
        </w:tc>
      </w:tr>
      <w:tr w:rsidR="00313988" w:rsidRPr="00762F09" w:rsidTr="00313988">
        <w:trPr>
          <w:cantSplit/>
          <w:trHeight w:val="110"/>
        </w:trPr>
        <w:tc>
          <w:tcPr>
            <w:tcW w:w="4859" w:type="dxa"/>
            <w:gridSpan w:val="2"/>
            <w:vMerge w:val="restart"/>
            <w:tcBorders>
              <w:top w:val="single" w:sz="4" w:space="0" w:color="auto"/>
              <w:left w:val="single" w:sz="8" w:space="0" w:color="auto"/>
              <w:right w:val="single" w:sz="4" w:space="0" w:color="000000"/>
            </w:tcBorders>
            <w:shd w:val="clear" w:color="auto" w:fill="FFFFFF"/>
            <w:noWrap/>
            <w:tcMar>
              <w:top w:w="25" w:type="dxa"/>
              <w:left w:w="25" w:type="dxa"/>
              <w:bottom w:w="0" w:type="dxa"/>
              <w:right w:w="25" w:type="dxa"/>
            </w:tcMar>
          </w:tcPr>
          <w:p w:rsidR="00313988" w:rsidRPr="00664E3A" w:rsidRDefault="00313988" w:rsidP="00313988">
            <w:pPr>
              <w:spacing w:before="100" w:beforeAutospacing="1" w:after="100" w:afterAutospacing="1"/>
              <w:rPr>
                <w:rFonts w:eastAsia="Arial Unicode MS"/>
                <w:b/>
                <w:color w:val="FF0000"/>
                <w:sz w:val="12"/>
                <w:szCs w:val="12"/>
              </w:rPr>
            </w:pPr>
            <w:r w:rsidRPr="00762F09">
              <w:rPr>
                <w:b/>
              </w:rPr>
              <w:t>Total Costs and FTE</w:t>
            </w:r>
          </w:p>
        </w:tc>
        <w:tc>
          <w:tcPr>
            <w:tcW w:w="1079" w:type="dxa"/>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jc w:val="center"/>
              <w:rPr>
                <w:rFonts w:eastAsia="Arial Unicode MS"/>
                <w:b/>
              </w:rPr>
            </w:pPr>
            <w:r w:rsidRPr="00762F09">
              <w:rPr>
                <w:b/>
                <w:sz w:val="22"/>
                <w:szCs w:val="22"/>
              </w:rPr>
              <w:t>FTE</w:t>
            </w:r>
          </w:p>
        </w:tc>
        <w:tc>
          <w:tcPr>
            <w:tcW w:w="897" w:type="dxa"/>
            <w:tcBorders>
              <w:top w:val="single" w:sz="4" w:space="0" w:color="auto"/>
              <w:left w:val="nil"/>
              <w:bottom w:val="single" w:sz="4" w:space="0" w:color="auto"/>
              <w:right w:val="single" w:sz="4" w:space="0" w:color="000000"/>
            </w:tcBorders>
            <w:shd w:val="clear" w:color="auto" w:fill="FFFFFF"/>
            <w:vAlign w:val="bottom"/>
          </w:tcPr>
          <w:p w:rsidR="00313988" w:rsidRPr="00762F09" w:rsidRDefault="00313988" w:rsidP="00313988">
            <w:pPr>
              <w:spacing w:before="100" w:beforeAutospacing="1" w:after="100" w:afterAutospacing="1"/>
              <w:jc w:val="center"/>
              <w:rPr>
                <w:rFonts w:eastAsia="Arial Unicode MS"/>
                <w:b/>
              </w:rPr>
            </w:pPr>
            <w:r w:rsidRPr="00762F09">
              <w:rPr>
                <w:b/>
                <w:sz w:val="22"/>
                <w:szCs w:val="22"/>
              </w:rPr>
              <w:t>$000</w:t>
            </w:r>
          </w:p>
        </w:tc>
        <w:tc>
          <w:tcPr>
            <w:tcW w:w="738" w:type="dxa"/>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313988" w:rsidRPr="00762F09" w:rsidRDefault="00313988" w:rsidP="00313988">
            <w:pPr>
              <w:spacing w:before="100" w:beforeAutospacing="1" w:after="100" w:afterAutospacing="1"/>
              <w:jc w:val="center"/>
              <w:rPr>
                <w:rFonts w:eastAsia="Arial Unicode MS"/>
                <w:b/>
              </w:rPr>
            </w:pPr>
            <w:r w:rsidRPr="00762F09">
              <w:rPr>
                <w:b/>
                <w:sz w:val="22"/>
                <w:szCs w:val="22"/>
              </w:rPr>
              <w:t>FTE</w:t>
            </w:r>
          </w:p>
        </w:tc>
        <w:tc>
          <w:tcPr>
            <w:tcW w:w="1069" w:type="dxa"/>
            <w:tcBorders>
              <w:top w:val="single" w:sz="4" w:space="0" w:color="auto"/>
              <w:left w:val="nil"/>
              <w:bottom w:val="single" w:sz="4" w:space="0" w:color="auto"/>
              <w:right w:val="single" w:sz="4" w:space="0" w:color="000000"/>
            </w:tcBorders>
            <w:vAlign w:val="bottom"/>
          </w:tcPr>
          <w:p w:rsidR="00313988" w:rsidRPr="00762F09" w:rsidRDefault="00313988" w:rsidP="00313988">
            <w:pPr>
              <w:spacing w:before="100" w:beforeAutospacing="1" w:after="100" w:afterAutospacing="1"/>
              <w:jc w:val="center"/>
              <w:rPr>
                <w:rFonts w:eastAsia="Arial Unicode MS"/>
                <w:b/>
              </w:rPr>
            </w:pPr>
            <w:r w:rsidRPr="00762F09">
              <w:rPr>
                <w:b/>
                <w:sz w:val="22"/>
                <w:szCs w:val="22"/>
              </w:rPr>
              <w:t>$000</w:t>
            </w:r>
          </w:p>
        </w:tc>
        <w:tc>
          <w:tcPr>
            <w:tcW w:w="630" w:type="dxa"/>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jc w:val="center"/>
              <w:rPr>
                <w:rFonts w:eastAsia="Arial Unicode MS"/>
                <w:b/>
              </w:rPr>
            </w:pPr>
            <w:r w:rsidRPr="00762F09">
              <w:rPr>
                <w:b/>
                <w:sz w:val="22"/>
                <w:szCs w:val="22"/>
              </w:rPr>
              <w:t>FTE</w:t>
            </w:r>
          </w:p>
        </w:tc>
        <w:tc>
          <w:tcPr>
            <w:tcW w:w="996" w:type="dxa"/>
            <w:gridSpan w:val="2"/>
            <w:tcBorders>
              <w:top w:val="single" w:sz="4" w:space="0" w:color="auto"/>
              <w:left w:val="nil"/>
              <w:bottom w:val="single" w:sz="4" w:space="0" w:color="auto"/>
              <w:right w:val="single" w:sz="4" w:space="0" w:color="000000"/>
            </w:tcBorders>
            <w:shd w:val="clear" w:color="auto" w:fill="FFFFFF"/>
            <w:vAlign w:val="bottom"/>
          </w:tcPr>
          <w:p w:rsidR="00313988" w:rsidRPr="00762F09" w:rsidRDefault="00313988" w:rsidP="00313988">
            <w:pPr>
              <w:spacing w:before="100" w:beforeAutospacing="1" w:after="100" w:afterAutospacing="1"/>
              <w:jc w:val="center"/>
              <w:rPr>
                <w:rFonts w:eastAsia="Arial Unicode MS"/>
                <w:b/>
              </w:rPr>
            </w:pPr>
            <w:r w:rsidRPr="00762F09">
              <w:rPr>
                <w:b/>
                <w:sz w:val="22"/>
                <w:szCs w:val="22"/>
              </w:rPr>
              <w:t>$000</w:t>
            </w:r>
          </w:p>
        </w:tc>
        <w:tc>
          <w:tcPr>
            <w:tcW w:w="624" w:type="dxa"/>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313988" w:rsidRPr="00762F09" w:rsidRDefault="00313988" w:rsidP="00313988">
            <w:pPr>
              <w:spacing w:before="100" w:beforeAutospacing="1" w:after="100" w:afterAutospacing="1"/>
              <w:jc w:val="center"/>
              <w:rPr>
                <w:rFonts w:eastAsia="Arial Unicode MS"/>
                <w:b/>
              </w:rPr>
            </w:pPr>
            <w:r w:rsidRPr="00762F09">
              <w:rPr>
                <w:b/>
                <w:sz w:val="22"/>
                <w:szCs w:val="22"/>
              </w:rPr>
              <w:t>FTE</w:t>
            </w:r>
          </w:p>
        </w:tc>
        <w:tc>
          <w:tcPr>
            <w:tcW w:w="1352" w:type="dxa"/>
            <w:tcBorders>
              <w:top w:val="single" w:sz="4" w:space="0" w:color="auto"/>
              <w:left w:val="nil"/>
              <w:bottom w:val="single" w:sz="4" w:space="0" w:color="auto"/>
              <w:right w:val="single" w:sz="4" w:space="0" w:color="000000"/>
            </w:tcBorders>
            <w:vAlign w:val="bottom"/>
          </w:tcPr>
          <w:p w:rsidR="00313988" w:rsidRPr="00762F09" w:rsidRDefault="00313988" w:rsidP="00313988">
            <w:pPr>
              <w:spacing w:before="100" w:beforeAutospacing="1" w:after="100" w:afterAutospacing="1"/>
              <w:jc w:val="center"/>
              <w:rPr>
                <w:rFonts w:eastAsia="Arial Unicode MS"/>
                <w:b/>
              </w:rPr>
            </w:pPr>
            <w:r w:rsidRPr="00762F09">
              <w:rPr>
                <w:b/>
                <w:sz w:val="22"/>
                <w:szCs w:val="22"/>
              </w:rPr>
              <w:t>$000</w:t>
            </w:r>
          </w:p>
        </w:tc>
        <w:tc>
          <w:tcPr>
            <w:tcW w:w="719" w:type="dxa"/>
            <w:tcBorders>
              <w:top w:val="single" w:sz="4" w:space="0" w:color="auto"/>
              <w:left w:val="nil"/>
              <w:bottom w:val="single" w:sz="4" w:space="0" w:color="auto"/>
              <w:right w:val="single" w:sz="8" w:space="0" w:color="000000"/>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jc w:val="center"/>
              <w:rPr>
                <w:rFonts w:eastAsia="Arial Unicode MS"/>
                <w:b/>
              </w:rPr>
            </w:pPr>
            <w:r w:rsidRPr="00762F09">
              <w:rPr>
                <w:b/>
                <w:sz w:val="22"/>
                <w:szCs w:val="22"/>
              </w:rPr>
              <w:t>FTE</w:t>
            </w:r>
          </w:p>
        </w:tc>
        <w:tc>
          <w:tcPr>
            <w:tcW w:w="1635" w:type="dxa"/>
            <w:tcBorders>
              <w:top w:val="single" w:sz="4" w:space="0" w:color="auto"/>
              <w:left w:val="nil"/>
              <w:bottom w:val="single" w:sz="4" w:space="0" w:color="auto"/>
              <w:right w:val="single" w:sz="8" w:space="0" w:color="000000"/>
            </w:tcBorders>
            <w:shd w:val="clear" w:color="auto" w:fill="FFFFFF"/>
            <w:vAlign w:val="bottom"/>
          </w:tcPr>
          <w:p w:rsidR="00313988" w:rsidRPr="00762F09" w:rsidRDefault="00313988" w:rsidP="00313988">
            <w:pPr>
              <w:spacing w:before="100" w:beforeAutospacing="1" w:after="100" w:afterAutospacing="1"/>
              <w:jc w:val="center"/>
              <w:rPr>
                <w:rFonts w:eastAsia="Arial Unicode MS"/>
                <w:b/>
              </w:rPr>
            </w:pPr>
            <w:r w:rsidRPr="00762F09">
              <w:rPr>
                <w:b/>
                <w:sz w:val="22"/>
                <w:szCs w:val="22"/>
              </w:rPr>
              <w:t>$000</w:t>
            </w:r>
          </w:p>
        </w:tc>
      </w:tr>
      <w:tr w:rsidR="00313988" w:rsidRPr="00532845" w:rsidTr="00313988">
        <w:trPr>
          <w:cantSplit/>
          <w:trHeight w:val="253"/>
        </w:trPr>
        <w:tc>
          <w:tcPr>
            <w:tcW w:w="4859" w:type="dxa"/>
            <w:gridSpan w:val="2"/>
            <w:vMerge/>
            <w:tcBorders>
              <w:left w:val="single" w:sz="8" w:space="0" w:color="auto"/>
              <w:bottom w:val="single" w:sz="4" w:space="0" w:color="auto"/>
              <w:right w:val="single" w:sz="4" w:space="0" w:color="000000"/>
            </w:tcBorders>
            <w:shd w:val="clear" w:color="auto" w:fill="FFFFFF"/>
            <w:noWrap/>
            <w:tcMar>
              <w:top w:w="25" w:type="dxa"/>
              <w:left w:w="25" w:type="dxa"/>
              <w:bottom w:w="0" w:type="dxa"/>
              <w:right w:w="25" w:type="dxa"/>
            </w:tcMar>
            <w:vAlign w:val="center"/>
          </w:tcPr>
          <w:p w:rsidR="00313988" w:rsidRPr="00762F09" w:rsidRDefault="00313988" w:rsidP="00313988">
            <w:pPr>
              <w:spacing w:before="100" w:beforeAutospacing="1" w:after="100" w:afterAutospacing="1"/>
              <w:rPr>
                <w:rFonts w:eastAsia="Arial Unicode MS"/>
                <w:b/>
              </w:rPr>
            </w:pPr>
          </w:p>
        </w:tc>
        <w:tc>
          <w:tcPr>
            <w:tcW w:w="1079" w:type="dxa"/>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jc w:val="center"/>
              <w:rPr>
                <w:rFonts w:eastAsia="Arial Unicode MS"/>
                <w:b/>
              </w:rPr>
            </w:pPr>
            <w:r>
              <w:rPr>
                <w:rFonts w:eastAsia="Arial Unicode MS"/>
                <w:b/>
                <w:sz w:val="22"/>
                <w:szCs w:val="22"/>
              </w:rPr>
              <w:t>3,</w:t>
            </w:r>
            <w:r w:rsidR="00300684">
              <w:rPr>
                <w:rFonts w:eastAsia="Arial Unicode MS"/>
                <w:b/>
                <w:sz w:val="22"/>
                <w:szCs w:val="22"/>
              </w:rPr>
              <w:t>769</w:t>
            </w:r>
          </w:p>
        </w:tc>
        <w:tc>
          <w:tcPr>
            <w:tcW w:w="897" w:type="dxa"/>
            <w:tcBorders>
              <w:top w:val="single" w:sz="4" w:space="0" w:color="auto"/>
              <w:left w:val="nil"/>
              <w:bottom w:val="single" w:sz="4" w:space="0" w:color="auto"/>
              <w:right w:val="single" w:sz="4" w:space="0" w:color="000000"/>
            </w:tcBorders>
            <w:shd w:val="clear" w:color="auto" w:fill="FFFFFF"/>
            <w:vAlign w:val="bottom"/>
          </w:tcPr>
          <w:p w:rsidR="00313988" w:rsidRPr="00762F09" w:rsidRDefault="00313988" w:rsidP="00313988">
            <w:pPr>
              <w:spacing w:before="100" w:beforeAutospacing="1" w:after="100" w:afterAutospacing="1"/>
              <w:jc w:val="center"/>
              <w:rPr>
                <w:rFonts w:eastAsia="Arial Unicode MS"/>
                <w:b/>
              </w:rPr>
            </w:pPr>
            <w:r>
              <w:rPr>
                <w:rFonts w:eastAsia="Arial Unicode MS"/>
                <w:b/>
                <w:sz w:val="22"/>
                <w:szCs w:val="22"/>
              </w:rPr>
              <w:t>$834,407</w:t>
            </w:r>
          </w:p>
        </w:tc>
        <w:tc>
          <w:tcPr>
            <w:tcW w:w="738" w:type="dxa"/>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313988" w:rsidRPr="00CF3FC3" w:rsidRDefault="00335ABD" w:rsidP="00313988">
            <w:pPr>
              <w:spacing w:before="100" w:beforeAutospacing="1" w:after="100" w:afterAutospacing="1"/>
              <w:jc w:val="center"/>
              <w:rPr>
                <w:rFonts w:eastAsia="Arial Unicode MS"/>
                <w:b/>
              </w:rPr>
            </w:pPr>
            <w:r>
              <w:rPr>
                <w:rFonts w:eastAsia="Arial Unicode MS"/>
                <w:b/>
                <w:sz w:val="22"/>
                <w:szCs w:val="22"/>
              </w:rPr>
              <w:t>3,377</w:t>
            </w:r>
          </w:p>
        </w:tc>
        <w:tc>
          <w:tcPr>
            <w:tcW w:w="1069" w:type="dxa"/>
            <w:tcBorders>
              <w:top w:val="single" w:sz="4" w:space="0" w:color="auto"/>
              <w:left w:val="nil"/>
              <w:bottom w:val="single" w:sz="4" w:space="0" w:color="auto"/>
              <w:right w:val="single" w:sz="4" w:space="0" w:color="000000"/>
            </w:tcBorders>
            <w:vAlign w:val="bottom"/>
          </w:tcPr>
          <w:p w:rsidR="00313988" w:rsidRPr="00CF3FC3" w:rsidRDefault="00335ABD" w:rsidP="00313988">
            <w:pPr>
              <w:spacing w:before="100" w:beforeAutospacing="1" w:after="100" w:afterAutospacing="1"/>
              <w:jc w:val="center"/>
              <w:rPr>
                <w:rFonts w:eastAsia="Arial Unicode MS"/>
                <w:b/>
              </w:rPr>
            </w:pPr>
            <w:r>
              <w:rPr>
                <w:rFonts w:eastAsia="Arial Unicode MS"/>
                <w:b/>
                <w:sz w:val="22"/>
                <w:szCs w:val="22"/>
              </w:rPr>
              <w:t>$839,579</w:t>
            </w:r>
          </w:p>
        </w:tc>
        <w:tc>
          <w:tcPr>
            <w:tcW w:w="630" w:type="dxa"/>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313988" w:rsidRPr="00762F09" w:rsidRDefault="00313988" w:rsidP="00F963A2">
            <w:pPr>
              <w:spacing w:before="100" w:beforeAutospacing="1" w:after="100" w:afterAutospacing="1"/>
              <w:jc w:val="center"/>
              <w:rPr>
                <w:rFonts w:eastAsia="Arial Unicode MS"/>
                <w:b/>
              </w:rPr>
            </w:pPr>
            <w:r>
              <w:rPr>
                <w:rFonts w:eastAsia="Arial Unicode MS"/>
                <w:b/>
                <w:sz w:val="22"/>
                <w:szCs w:val="22"/>
              </w:rPr>
              <w:t>3,</w:t>
            </w:r>
            <w:r w:rsidR="00F963A2">
              <w:rPr>
                <w:rFonts w:eastAsia="Arial Unicode MS"/>
                <w:b/>
                <w:sz w:val="22"/>
                <w:szCs w:val="22"/>
              </w:rPr>
              <w:t>769</w:t>
            </w:r>
          </w:p>
        </w:tc>
        <w:tc>
          <w:tcPr>
            <w:tcW w:w="996" w:type="dxa"/>
            <w:gridSpan w:val="2"/>
            <w:tcBorders>
              <w:top w:val="single" w:sz="4" w:space="0" w:color="auto"/>
              <w:left w:val="nil"/>
              <w:bottom w:val="single" w:sz="4" w:space="0" w:color="auto"/>
              <w:right w:val="single" w:sz="4" w:space="0" w:color="000000"/>
            </w:tcBorders>
            <w:shd w:val="clear" w:color="auto" w:fill="FFFFFF"/>
            <w:vAlign w:val="bottom"/>
          </w:tcPr>
          <w:p w:rsidR="00313988" w:rsidRPr="00762F09" w:rsidRDefault="00313988" w:rsidP="00300684">
            <w:pPr>
              <w:spacing w:before="100" w:beforeAutospacing="1" w:after="100" w:afterAutospacing="1"/>
              <w:jc w:val="center"/>
              <w:rPr>
                <w:rFonts w:eastAsia="Arial Unicode MS"/>
                <w:b/>
              </w:rPr>
            </w:pPr>
            <w:r>
              <w:rPr>
                <w:rFonts w:eastAsia="Arial Unicode MS"/>
                <w:b/>
                <w:sz w:val="22"/>
                <w:szCs w:val="22"/>
              </w:rPr>
              <w:t>$8</w:t>
            </w:r>
            <w:r w:rsidR="00300684">
              <w:rPr>
                <w:rFonts w:eastAsia="Arial Unicode MS"/>
                <w:b/>
                <w:sz w:val="22"/>
                <w:szCs w:val="22"/>
              </w:rPr>
              <w:t>7</w:t>
            </w:r>
            <w:r w:rsidR="00CD6E95">
              <w:rPr>
                <w:rFonts w:eastAsia="Arial Unicode MS"/>
                <w:b/>
                <w:sz w:val="22"/>
                <w:szCs w:val="22"/>
              </w:rPr>
              <w:t>5</w:t>
            </w:r>
            <w:r w:rsidR="00407AA6">
              <w:rPr>
                <w:rFonts w:eastAsia="Arial Unicode MS"/>
                <w:b/>
                <w:sz w:val="22"/>
                <w:szCs w:val="22"/>
              </w:rPr>
              <w:t>,</w:t>
            </w:r>
            <w:r w:rsidR="00300684">
              <w:rPr>
                <w:rFonts w:eastAsia="Arial Unicode MS"/>
                <w:b/>
                <w:sz w:val="22"/>
                <w:szCs w:val="22"/>
              </w:rPr>
              <w:t>520</w:t>
            </w:r>
          </w:p>
        </w:tc>
        <w:tc>
          <w:tcPr>
            <w:tcW w:w="624" w:type="dxa"/>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313988" w:rsidRPr="00CF3FC3" w:rsidRDefault="00313988" w:rsidP="0014323B">
            <w:pPr>
              <w:spacing w:before="100" w:beforeAutospacing="1" w:after="100" w:afterAutospacing="1"/>
              <w:jc w:val="center"/>
              <w:rPr>
                <w:rFonts w:eastAsia="Arial Unicode MS"/>
                <w:b/>
              </w:rPr>
            </w:pPr>
            <w:r>
              <w:rPr>
                <w:rFonts w:eastAsia="Arial Unicode MS"/>
                <w:b/>
              </w:rPr>
              <w:t>(</w:t>
            </w:r>
            <w:r w:rsidR="0014323B">
              <w:rPr>
                <w:rFonts w:eastAsia="Arial Unicode MS"/>
                <w:b/>
              </w:rPr>
              <w:t>7</w:t>
            </w:r>
            <w:r w:rsidR="00407AA6">
              <w:rPr>
                <w:rFonts w:eastAsia="Arial Unicode MS"/>
                <w:b/>
              </w:rPr>
              <w:t>5</w:t>
            </w:r>
            <w:r>
              <w:rPr>
                <w:rFonts w:eastAsia="Arial Unicode MS"/>
                <w:b/>
              </w:rPr>
              <w:t>)</w:t>
            </w:r>
          </w:p>
        </w:tc>
        <w:tc>
          <w:tcPr>
            <w:tcW w:w="1352" w:type="dxa"/>
            <w:tcBorders>
              <w:top w:val="single" w:sz="4" w:space="0" w:color="auto"/>
              <w:left w:val="nil"/>
              <w:bottom w:val="single" w:sz="4" w:space="0" w:color="auto"/>
              <w:right w:val="single" w:sz="4" w:space="0" w:color="000000"/>
            </w:tcBorders>
            <w:vAlign w:val="bottom"/>
          </w:tcPr>
          <w:p w:rsidR="00313988" w:rsidRPr="00CF3FC3" w:rsidRDefault="00A57B1B" w:rsidP="00987BD5">
            <w:pPr>
              <w:spacing w:before="100" w:beforeAutospacing="1" w:after="100" w:afterAutospacing="1"/>
              <w:jc w:val="center"/>
              <w:rPr>
                <w:rFonts w:eastAsia="Arial Unicode MS"/>
                <w:b/>
              </w:rPr>
            </w:pPr>
            <w:r>
              <w:rPr>
                <w:rFonts w:eastAsia="Arial Unicode MS"/>
                <w:b/>
              </w:rPr>
              <w:t>$</w:t>
            </w:r>
            <w:r w:rsidR="00313988">
              <w:rPr>
                <w:rFonts w:eastAsia="Arial Unicode MS"/>
                <w:b/>
              </w:rPr>
              <w:t>1</w:t>
            </w:r>
            <w:r w:rsidR="001F630E">
              <w:rPr>
                <w:rFonts w:eastAsia="Arial Unicode MS"/>
                <w:b/>
              </w:rPr>
              <w:t>,</w:t>
            </w:r>
            <w:r w:rsidR="00987BD5">
              <w:rPr>
                <w:rFonts w:eastAsia="Arial Unicode MS"/>
                <w:b/>
              </w:rPr>
              <w:t>022</w:t>
            </w:r>
          </w:p>
        </w:tc>
        <w:tc>
          <w:tcPr>
            <w:tcW w:w="719" w:type="dxa"/>
            <w:tcBorders>
              <w:top w:val="single" w:sz="4" w:space="0" w:color="auto"/>
              <w:left w:val="nil"/>
              <w:bottom w:val="single" w:sz="4" w:space="0" w:color="auto"/>
              <w:right w:val="single" w:sz="8" w:space="0" w:color="000000"/>
            </w:tcBorders>
            <w:shd w:val="clear" w:color="auto" w:fill="FFFFFF"/>
            <w:noWrap/>
            <w:tcMar>
              <w:top w:w="25" w:type="dxa"/>
              <w:left w:w="25" w:type="dxa"/>
              <w:bottom w:w="0" w:type="dxa"/>
              <w:right w:w="25" w:type="dxa"/>
            </w:tcMar>
            <w:vAlign w:val="bottom"/>
          </w:tcPr>
          <w:p w:rsidR="00313988" w:rsidRPr="00CF3FC3" w:rsidRDefault="00407AA6" w:rsidP="00F963A2">
            <w:pPr>
              <w:spacing w:before="100" w:beforeAutospacing="1" w:after="100" w:afterAutospacing="1"/>
              <w:jc w:val="center"/>
              <w:rPr>
                <w:rFonts w:eastAsia="Arial Unicode MS"/>
                <w:b/>
              </w:rPr>
            </w:pPr>
            <w:r>
              <w:rPr>
                <w:rFonts w:eastAsia="Arial Unicode MS"/>
                <w:b/>
              </w:rPr>
              <w:t>3,</w:t>
            </w:r>
            <w:r w:rsidR="00300684">
              <w:rPr>
                <w:rFonts w:eastAsia="Arial Unicode MS"/>
                <w:b/>
              </w:rPr>
              <w:t>69</w:t>
            </w:r>
            <w:r w:rsidR="00F963A2">
              <w:rPr>
                <w:rFonts w:eastAsia="Arial Unicode MS"/>
                <w:b/>
              </w:rPr>
              <w:t>4</w:t>
            </w:r>
          </w:p>
        </w:tc>
        <w:tc>
          <w:tcPr>
            <w:tcW w:w="1635" w:type="dxa"/>
            <w:tcBorders>
              <w:top w:val="single" w:sz="4" w:space="0" w:color="auto"/>
              <w:left w:val="nil"/>
              <w:bottom w:val="single" w:sz="4" w:space="0" w:color="auto"/>
              <w:right w:val="single" w:sz="8" w:space="0" w:color="000000"/>
            </w:tcBorders>
            <w:shd w:val="clear" w:color="auto" w:fill="FFFFFF"/>
            <w:vAlign w:val="bottom"/>
          </w:tcPr>
          <w:p w:rsidR="00313988" w:rsidRPr="00CF3FC3" w:rsidRDefault="00300684" w:rsidP="00300684">
            <w:pPr>
              <w:spacing w:before="100" w:beforeAutospacing="1" w:after="100" w:afterAutospacing="1"/>
              <w:jc w:val="center"/>
              <w:rPr>
                <w:rFonts w:eastAsia="Arial Unicode MS"/>
                <w:b/>
              </w:rPr>
            </w:pPr>
            <w:r>
              <w:rPr>
                <w:rFonts w:eastAsia="Arial Unicode MS"/>
                <w:b/>
              </w:rPr>
              <w:t>$876</w:t>
            </w:r>
            <w:r w:rsidR="00313988">
              <w:rPr>
                <w:rFonts w:eastAsia="Arial Unicode MS"/>
                <w:b/>
              </w:rPr>
              <w:t>,</w:t>
            </w:r>
            <w:r>
              <w:rPr>
                <w:rFonts w:eastAsia="Arial Unicode MS"/>
                <w:b/>
              </w:rPr>
              <w:t>542</w:t>
            </w:r>
          </w:p>
        </w:tc>
      </w:tr>
      <w:tr w:rsidR="00313988" w:rsidRPr="00762F09" w:rsidTr="00313988">
        <w:trPr>
          <w:cantSplit/>
          <w:trHeight w:val="94"/>
        </w:trPr>
        <w:tc>
          <w:tcPr>
            <w:tcW w:w="1952" w:type="dxa"/>
            <w:vMerge w:val="restart"/>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ind w:left="-25"/>
              <w:rPr>
                <w:rFonts w:eastAsia="Arial Unicode MS"/>
                <w:b/>
              </w:rPr>
            </w:pPr>
            <w:r w:rsidRPr="00762F09">
              <w:rPr>
                <w:b/>
              </w:rPr>
              <w:t>Program Activity</w:t>
            </w:r>
          </w:p>
        </w:tc>
        <w:tc>
          <w:tcPr>
            <w:tcW w:w="2907" w:type="dxa"/>
            <w:vMerge w:val="restart"/>
            <w:tcBorders>
              <w:top w:val="single" w:sz="4" w:space="0" w:color="auto"/>
              <w:left w:val="single" w:sz="4" w:space="0" w:color="auto"/>
              <w:bottom w:val="single" w:sz="4" w:space="0" w:color="auto"/>
              <w:right w:val="single" w:sz="4" w:space="0" w:color="auto"/>
            </w:tcBorders>
            <w:shd w:val="clear" w:color="auto" w:fill="FFFFFF"/>
            <w:tcMar>
              <w:top w:w="25" w:type="dxa"/>
              <w:left w:w="25" w:type="dxa"/>
              <w:bottom w:w="0" w:type="dxa"/>
              <w:right w:w="25" w:type="dxa"/>
            </w:tcMar>
            <w:vAlign w:val="center"/>
          </w:tcPr>
          <w:p w:rsidR="00313988" w:rsidRPr="00A13F4F" w:rsidRDefault="00313988" w:rsidP="00313988">
            <w:pPr>
              <w:spacing w:before="100" w:beforeAutospacing="1" w:after="100" w:afterAutospacing="1"/>
              <w:ind w:left="-25"/>
              <w:rPr>
                <w:rFonts w:eastAsia="Arial Unicode MS"/>
                <w:b/>
                <w:color w:val="FF0000"/>
              </w:rPr>
            </w:pPr>
            <w:r w:rsidRPr="00762F09">
              <w:rPr>
                <w:rFonts w:eastAsia="Arial Unicode MS"/>
                <w:b/>
              </w:rPr>
              <w:t>Criminal Enforcement</w:t>
            </w:r>
          </w:p>
        </w:tc>
        <w:tc>
          <w:tcPr>
            <w:tcW w:w="1079" w:type="dxa"/>
            <w:tcBorders>
              <w:top w:val="single" w:sz="4" w:space="0" w:color="auto"/>
              <w:left w:val="nil"/>
              <w:bottom w:val="single" w:sz="4" w:space="0" w:color="auto"/>
              <w:right w:val="nil"/>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ind w:left="-25"/>
              <w:jc w:val="center"/>
              <w:rPr>
                <w:rFonts w:eastAsia="Arial Unicode MS"/>
                <w:b/>
              </w:rPr>
            </w:pPr>
            <w:r w:rsidRPr="00762F09">
              <w:rPr>
                <w:b/>
                <w:sz w:val="22"/>
                <w:szCs w:val="22"/>
              </w:rPr>
              <w:t>FTE</w:t>
            </w:r>
          </w:p>
        </w:tc>
        <w:tc>
          <w:tcPr>
            <w:tcW w:w="897" w:type="dxa"/>
            <w:tcBorders>
              <w:top w:val="single" w:sz="4" w:space="0" w:color="auto"/>
              <w:left w:val="single" w:sz="4" w:space="0" w:color="auto"/>
              <w:bottom w:val="single" w:sz="4" w:space="0" w:color="auto"/>
              <w:right w:val="nil"/>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ind w:left="-25"/>
              <w:jc w:val="center"/>
              <w:rPr>
                <w:rFonts w:eastAsia="Arial Unicode MS"/>
                <w:b/>
              </w:rPr>
            </w:pPr>
            <w:r w:rsidRPr="00762F09">
              <w:rPr>
                <w:b/>
                <w:sz w:val="22"/>
                <w:szCs w:val="22"/>
              </w:rPr>
              <w:t>$000</w:t>
            </w:r>
          </w:p>
        </w:tc>
        <w:tc>
          <w:tcPr>
            <w:tcW w:w="738" w:type="dxa"/>
            <w:tcBorders>
              <w:top w:val="single" w:sz="4" w:space="0" w:color="auto"/>
              <w:left w:val="single" w:sz="4" w:space="0" w:color="auto"/>
              <w:bottom w:val="single" w:sz="4" w:space="0" w:color="auto"/>
              <w:right w:val="single" w:sz="4" w:space="0" w:color="auto"/>
            </w:tcBorders>
            <w:noWrap/>
            <w:tcMar>
              <w:top w:w="25" w:type="dxa"/>
              <w:left w:w="25" w:type="dxa"/>
              <w:bottom w:w="0" w:type="dxa"/>
              <w:right w:w="25" w:type="dxa"/>
            </w:tcMar>
            <w:vAlign w:val="bottom"/>
          </w:tcPr>
          <w:p w:rsidR="00313988" w:rsidRPr="00762F09" w:rsidRDefault="00313988" w:rsidP="00313988">
            <w:pPr>
              <w:spacing w:before="100" w:beforeAutospacing="1" w:after="100" w:afterAutospacing="1"/>
              <w:ind w:left="-25"/>
              <w:jc w:val="center"/>
              <w:rPr>
                <w:rFonts w:eastAsia="Arial Unicode MS"/>
                <w:b/>
              </w:rPr>
            </w:pPr>
            <w:r w:rsidRPr="00762F09">
              <w:rPr>
                <w:b/>
                <w:sz w:val="22"/>
                <w:szCs w:val="22"/>
              </w:rPr>
              <w:t>FTE</w:t>
            </w:r>
          </w:p>
        </w:tc>
        <w:tc>
          <w:tcPr>
            <w:tcW w:w="1069"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313988" w:rsidRPr="00762F09" w:rsidRDefault="00313988" w:rsidP="00313988">
            <w:pPr>
              <w:spacing w:before="100" w:beforeAutospacing="1" w:after="100" w:afterAutospacing="1"/>
              <w:ind w:left="-25"/>
              <w:jc w:val="center"/>
              <w:rPr>
                <w:rFonts w:eastAsia="Arial Unicode MS"/>
                <w:b/>
              </w:rPr>
            </w:pPr>
            <w:r w:rsidRPr="00762F09">
              <w:rPr>
                <w:b/>
                <w:sz w:val="22"/>
                <w:szCs w:val="22"/>
              </w:rPr>
              <w:t>$000</w:t>
            </w:r>
          </w:p>
        </w:tc>
        <w:tc>
          <w:tcPr>
            <w:tcW w:w="638" w:type="dxa"/>
            <w:gridSpan w:val="2"/>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ind w:left="-25"/>
              <w:jc w:val="center"/>
              <w:rPr>
                <w:rFonts w:eastAsia="Arial Unicode MS"/>
                <w:b/>
              </w:rPr>
            </w:pPr>
            <w:r w:rsidRPr="00762F09">
              <w:rPr>
                <w:b/>
                <w:sz w:val="22"/>
                <w:szCs w:val="22"/>
              </w:rPr>
              <w:t>FTE</w:t>
            </w:r>
          </w:p>
        </w:tc>
        <w:tc>
          <w:tcPr>
            <w:tcW w:w="988"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ind w:left="-25"/>
              <w:jc w:val="center"/>
              <w:rPr>
                <w:rFonts w:eastAsia="Arial Unicode MS"/>
                <w:b/>
              </w:rPr>
            </w:pPr>
            <w:r w:rsidRPr="00762F09">
              <w:rPr>
                <w:b/>
                <w:sz w:val="22"/>
                <w:szCs w:val="22"/>
              </w:rPr>
              <w:t>$000</w:t>
            </w:r>
          </w:p>
        </w:tc>
        <w:tc>
          <w:tcPr>
            <w:tcW w:w="624"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ind w:left="-25"/>
              <w:jc w:val="center"/>
              <w:rPr>
                <w:rFonts w:eastAsia="Arial Unicode MS"/>
                <w:b/>
              </w:rPr>
            </w:pPr>
            <w:r w:rsidRPr="00762F09">
              <w:rPr>
                <w:b/>
                <w:sz w:val="22"/>
                <w:szCs w:val="22"/>
              </w:rPr>
              <w:t>FTE</w:t>
            </w:r>
          </w:p>
        </w:tc>
        <w:tc>
          <w:tcPr>
            <w:tcW w:w="1352"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ind w:left="-25"/>
              <w:jc w:val="center"/>
              <w:rPr>
                <w:rFonts w:eastAsia="Arial Unicode MS"/>
                <w:b/>
              </w:rPr>
            </w:pPr>
            <w:r w:rsidRPr="00762F09">
              <w:rPr>
                <w:b/>
                <w:sz w:val="22"/>
                <w:szCs w:val="22"/>
              </w:rPr>
              <w:t>$000</w:t>
            </w:r>
          </w:p>
        </w:tc>
        <w:tc>
          <w:tcPr>
            <w:tcW w:w="719"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ind w:left="-25"/>
              <w:jc w:val="center"/>
              <w:rPr>
                <w:rFonts w:eastAsia="Arial Unicode MS"/>
                <w:b/>
              </w:rPr>
            </w:pPr>
            <w:r w:rsidRPr="00762F09">
              <w:rPr>
                <w:b/>
                <w:sz w:val="22"/>
                <w:szCs w:val="22"/>
              </w:rPr>
              <w:t>FTE</w:t>
            </w:r>
          </w:p>
        </w:tc>
        <w:tc>
          <w:tcPr>
            <w:tcW w:w="1635"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ind w:left="-25"/>
              <w:jc w:val="center"/>
              <w:rPr>
                <w:rFonts w:eastAsia="Arial Unicode MS"/>
                <w:b/>
              </w:rPr>
            </w:pPr>
            <w:r w:rsidRPr="00762F09">
              <w:rPr>
                <w:b/>
                <w:sz w:val="22"/>
                <w:szCs w:val="22"/>
              </w:rPr>
              <w:t>$000</w:t>
            </w:r>
          </w:p>
        </w:tc>
      </w:tr>
      <w:tr w:rsidR="00313988" w:rsidRPr="00762F09" w:rsidTr="00313988">
        <w:trPr>
          <w:cantSplit/>
          <w:trHeight w:val="334"/>
        </w:trPr>
        <w:tc>
          <w:tcPr>
            <w:tcW w:w="1952" w:type="dxa"/>
            <w:vMerge/>
            <w:tcBorders>
              <w:top w:val="single" w:sz="4" w:space="0" w:color="auto"/>
              <w:left w:val="single" w:sz="4" w:space="0" w:color="auto"/>
              <w:bottom w:val="single" w:sz="4" w:space="0" w:color="auto"/>
              <w:right w:val="nil"/>
            </w:tcBorders>
            <w:vAlign w:val="center"/>
          </w:tcPr>
          <w:p w:rsidR="00313988" w:rsidRPr="00762F09" w:rsidRDefault="00313988" w:rsidP="00313988">
            <w:pPr>
              <w:spacing w:before="100" w:beforeAutospacing="1" w:after="100" w:afterAutospacing="1"/>
              <w:ind w:left="-25"/>
              <w:rPr>
                <w:rFonts w:eastAsia="Arial Unicode MS"/>
                <w:b/>
              </w:rPr>
            </w:pPr>
          </w:p>
        </w:tc>
        <w:tc>
          <w:tcPr>
            <w:tcW w:w="2907" w:type="dxa"/>
            <w:vMerge/>
            <w:tcBorders>
              <w:top w:val="single" w:sz="4" w:space="0" w:color="auto"/>
              <w:left w:val="single" w:sz="4" w:space="0" w:color="auto"/>
              <w:bottom w:val="single" w:sz="4" w:space="0" w:color="auto"/>
              <w:right w:val="single" w:sz="4" w:space="0" w:color="auto"/>
            </w:tcBorders>
            <w:vAlign w:val="center"/>
          </w:tcPr>
          <w:p w:rsidR="00313988" w:rsidRPr="00762F09" w:rsidRDefault="00313988" w:rsidP="00313988">
            <w:pPr>
              <w:spacing w:before="100" w:beforeAutospacing="1" w:after="100" w:afterAutospacing="1"/>
              <w:ind w:left="-25"/>
              <w:rPr>
                <w:rFonts w:eastAsia="Arial Unicode MS"/>
                <w:b/>
              </w:rPr>
            </w:pPr>
          </w:p>
        </w:tc>
        <w:tc>
          <w:tcPr>
            <w:tcW w:w="1079" w:type="dxa"/>
            <w:tcBorders>
              <w:top w:val="single" w:sz="4" w:space="0" w:color="auto"/>
              <w:left w:val="nil"/>
              <w:bottom w:val="single" w:sz="4" w:space="0" w:color="auto"/>
              <w:right w:val="nil"/>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ind w:left="-25"/>
              <w:jc w:val="center"/>
              <w:rPr>
                <w:rFonts w:eastAsia="Arial Unicode MS"/>
                <w:b/>
              </w:rPr>
            </w:pPr>
            <w:r>
              <w:rPr>
                <w:rFonts w:eastAsia="Arial Unicode MS"/>
                <w:b/>
                <w:sz w:val="22"/>
                <w:szCs w:val="22"/>
              </w:rPr>
              <w:t>3,002</w:t>
            </w:r>
          </w:p>
        </w:tc>
        <w:tc>
          <w:tcPr>
            <w:tcW w:w="897" w:type="dxa"/>
            <w:tcBorders>
              <w:top w:val="single" w:sz="4" w:space="0" w:color="auto"/>
              <w:left w:val="single" w:sz="4" w:space="0" w:color="auto"/>
              <w:bottom w:val="single" w:sz="4" w:space="0" w:color="auto"/>
              <w:right w:val="single" w:sz="4" w:space="0" w:color="auto"/>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ind w:left="-25"/>
              <w:jc w:val="center"/>
              <w:rPr>
                <w:rFonts w:eastAsia="Arial Unicode MS"/>
                <w:b/>
              </w:rPr>
            </w:pPr>
            <w:r>
              <w:rPr>
                <w:rFonts w:eastAsia="Arial Unicode MS"/>
                <w:b/>
                <w:sz w:val="22"/>
                <w:szCs w:val="22"/>
              </w:rPr>
              <w:t>$701,945</w:t>
            </w:r>
          </w:p>
        </w:tc>
        <w:tc>
          <w:tcPr>
            <w:tcW w:w="738"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313988" w:rsidRPr="00CF3FC3" w:rsidRDefault="00335ABD" w:rsidP="00313988">
            <w:pPr>
              <w:spacing w:before="100" w:beforeAutospacing="1" w:after="100" w:afterAutospacing="1"/>
              <w:ind w:left="-25"/>
              <w:jc w:val="center"/>
              <w:rPr>
                <w:rFonts w:eastAsia="Arial Unicode MS"/>
                <w:b/>
              </w:rPr>
            </w:pPr>
            <w:r>
              <w:rPr>
                <w:rFonts w:eastAsia="Arial Unicode MS"/>
                <w:b/>
                <w:sz w:val="22"/>
                <w:szCs w:val="22"/>
              </w:rPr>
              <w:t>2,735</w:t>
            </w:r>
          </w:p>
        </w:tc>
        <w:tc>
          <w:tcPr>
            <w:tcW w:w="1069"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313988" w:rsidRPr="00CF3FC3" w:rsidRDefault="00335ABD" w:rsidP="00313988">
            <w:pPr>
              <w:spacing w:before="100" w:beforeAutospacing="1" w:after="100" w:afterAutospacing="1"/>
              <w:ind w:left="-25"/>
              <w:jc w:val="center"/>
              <w:rPr>
                <w:rFonts w:eastAsia="Arial Unicode MS"/>
                <w:b/>
              </w:rPr>
            </w:pPr>
            <w:r>
              <w:rPr>
                <w:rFonts w:eastAsia="Arial Unicode MS"/>
                <w:b/>
                <w:sz w:val="22"/>
                <w:szCs w:val="22"/>
              </w:rPr>
              <w:t>$705,246</w:t>
            </w:r>
          </w:p>
        </w:tc>
        <w:tc>
          <w:tcPr>
            <w:tcW w:w="638" w:type="dxa"/>
            <w:gridSpan w:val="2"/>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313988" w:rsidRPr="00762F09" w:rsidRDefault="00E667D6" w:rsidP="006B15A3">
            <w:pPr>
              <w:spacing w:before="100" w:beforeAutospacing="1" w:after="100" w:afterAutospacing="1"/>
              <w:ind w:left="-25"/>
              <w:jc w:val="center"/>
              <w:rPr>
                <w:rFonts w:eastAsia="Arial Unicode MS"/>
                <w:b/>
              </w:rPr>
            </w:pPr>
            <w:r>
              <w:rPr>
                <w:rFonts w:eastAsia="Arial Unicode MS"/>
                <w:b/>
                <w:sz w:val="22"/>
                <w:szCs w:val="22"/>
              </w:rPr>
              <w:t>3,0</w:t>
            </w:r>
            <w:r w:rsidR="006B15A3">
              <w:rPr>
                <w:rFonts w:eastAsia="Arial Unicode MS"/>
                <w:b/>
                <w:sz w:val="22"/>
                <w:szCs w:val="22"/>
              </w:rPr>
              <w:t>60</w:t>
            </w:r>
          </w:p>
        </w:tc>
        <w:tc>
          <w:tcPr>
            <w:tcW w:w="988"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313988" w:rsidRPr="00762F09" w:rsidRDefault="00313988" w:rsidP="006B15A3">
            <w:pPr>
              <w:spacing w:before="100" w:beforeAutospacing="1" w:after="100" w:afterAutospacing="1"/>
              <w:ind w:left="-25"/>
              <w:jc w:val="center"/>
              <w:rPr>
                <w:rFonts w:eastAsia="Arial Unicode MS"/>
                <w:b/>
              </w:rPr>
            </w:pPr>
            <w:r w:rsidRPr="00762F09">
              <w:rPr>
                <w:rFonts w:eastAsia="Arial Unicode MS"/>
                <w:b/>
                <w:sz w:val="22"/>
                <w:szCs w:val="22"/>
              </w:rPr>
              <w:t>$</w:t>
            </w:r>
            <w:r w:rsidR="006B15A3">
              <w:rPr>
                <w:rFonts w:eastAsia="Arial Unicode MS"/>
                <w:b/>
                <w:sz w:val="22"/>
                <w:szCs w:val="22"/>
              </w:rPr>
              <w:t>736</w:t>
            </w:r>
            <w:r w:rsidR="00E667D6">
              <w:rPr>
                <w:rFonts w:eastAsia="Arial Unicode MS"/>
                <w:b/>
                <w:sz w:val="22"/>
                <w:szCs w:val="22"/>
              </w:rPr>
              <w:t>,</w:t>
            </w:r>
            <w:r w:rsidR="006B15A3">
              <w:rPr>
                <w:rFonts w:eastAsia="Arial Unicode MS"/>
                <w:b/>
                <w:sz w:val="22"/>
                <w:szCs w:val="22"/>
              </w:rPr>
              <w:t>532</w:t>
            </w:r>
          </w:p>
        </w:tc>
        <w:tc>
          <w:tcPr>
            <w:tcW w:w="624"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313988" w:rsidRPr="00CF3FC3" w:rsidRDefault="00313988" w:rsidP="00A57B1B">
            <w:pPr>
              <w:spacing w:before="100" w:beforeAutospacing="1" w:after="100" w:afterAutospacing="1"/>
              <w:ind w:left="-25"/>
              <w:jc w:val="center"/>
              <w:rPr>
                <w:rFonts w:eastAsia="Arial Unicode MS"/>
                <w:b/>
              </w:rPr>
            </w:pPr>
            <w:r>
              <w:rPr>
                <w:rFonts w:eastAsia="Arial Unicode MS"/>
                <w:b/>
              </w:rPr>
              <w:t>(</w:t>
            </w:r>
            <w:r w:rsidR="00E667D6">
              <w:rPr>
                <w:rFonts w:eastAsia="Arial Unicode MS"/>
                <w:b/>
              </w:rPr>
              <w:t>6</w:t>
            </w:r>
            <w:r w:rsidR="006B15A3">
              <w:rPr>
                <w:rFonts w:eastAsia="Arial Unicode MS"/>
                <w:b/>
              </w:rPr>
              <w:t>0</w:t>
            </w:r>
            <w:r w:rsidR="00A57B1B">
              <w:rPr>
                <w:rFonts w:eastAsia="Arial Unicode MS"/>
                <w:b/>
              </w:rPr>
              <w:t>)</w:t>
            </w:r>
          </w:p>
        </w:tc>
        <w:tc>
          <w:tcPr>
            <w:tcW w:w="1352"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313988" w:rsidRPr="00CF3FC3" w:rsidRDefault="00313988" w:rsidP="00EC3C33">
            <w:pPr>
              <w:spacing w:before="100" w:beforeAutospacing="1" w:after="100" w:afterAutospacing="1"/>
              <w:ind w:left="-25"/>
              <w:rPr>
                <w:rFonts w:eastAsia="Arial Unicode MS"/>
                <w:b/>
              </w:rPr>
            </w:pPr>
            <w:r>
              <w:rPr>
                <w:rFonts w:eastAsia="Arial Unicode MS"/>
                <w:b/>
              </w:rPr>
              <w:t xml:space="preserve">     $</w:t>
            </w:r>
            <w:r w:rsidR="00935314">
              <w:rPr>
                <w:rFonts w:eastAsia="Arial Unicode MS"/>
                <w:b/>
              </w:rPr>
              <w:t>8</w:t>
            </w:r>
            <w:r w:rsidR="00EC3C33">
              <w:rPr>
                <w:rFonts w:eastAsia="Arial Unicode MS"/>
                <w:b/>
              </w:rPr>
              <w:t>60</w:t>
            </w:r>
          </w:p>
        </w:tc>
        <w:tc>
          <w:tcPr>
            <w:tcW w:w="719" w:type="dxa"/>
            <w:tcBorders>
              <w:top w:val="single" w:sz="4" w:space="0" w:color="auto"/>
              <w:left w:val="nil"/>
              <w:bottom w:val="single" w:sz="4" w:space="0" w:color="auto"/>
              <w:right w:val="single" w:sz="8" w:space="0" w:color="auto"/>
            </w:tcBorders>
            <w:shd w:val="clear" w:color="auto" w:fill="FFFFFF"/>
            <w:noWrap/>
            <w:tcMar>
              <w:top w:w="25" w:type="dxa"/>
              <w:left w:w="25" w:type="dxa"/>
              <w:bottom w:w="0" w:type="dxa"/>
              <w:right w:w="25" w:type="dxa"/>
            </w:tcMar>
            <w:vAlign w:val="bottom"/>
          </w:tcPr>
          <w:p w:rsidR="00313988" w:rsidRPr="00CF3FC3" w:rsidRDefault="006B15A3" w:rsidP="00A57B1B">
            <w:pPr>
              <w:spacing w:before="100" w:beforeAutospacing="1" w:after="100" w:afterAutospacing="1"/>
              <w:ind w:left="-25"/>
              <w:jc w:val="center"/>
              <w:rPr>
                <w:rFonts w:eastAsia="Arial Unicode MS"/>
                <w:b/>
              </w:rPr>
            </w:pPr>
            <w:r>
              <w:rPr>
                <w:rFonts w:eastAsia="Arial Unicode MS"/>
                <w:b/>
              </w:rPr>
              <w:t>3,000</w:t>
            </w:r>
          </w:p>
        </w:tc>
        <w:tc>
          <w:tcPr>
            <w:tcW w:w="1635"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313988" w:rsidRPr="00CF3FC3" w:rsidRDefault="00313988" w:rsidP="006B15A3">
            <w:pPr>
              <w:spacing w:before="100" w:beforeAutospacing="1" w:after="100" w:afterAutospacing="1"/>
              <w:ind w:left="-25"/>
              <w:rPr>
                <w:rFonts w:eastAsia="Arial Unicode MS"/>
                <w:b/>
              </w:rPr>
            </w:pPr>
            <w:r>
              <w:rPr>
                <w:rFonts w:eastAsia="Arial Unicode MS"/>
                <w:b/>
              </w:rPr>
              <w:t xml:space="preserve">      $</w:t>
            </w:r>
            <w:r w:rsidR="006B15A3">
              <w:rPr>
                <w:rFonts w:eastAsia="Arial Unicode MS"/>
                <w:b/>
              </w:rPr>
              <w:t>737,392</w:t>
            </w:r>
          </w:p>
        </w:tc>
      </w:tr>
      <w:tr w:rsidR="00313988" w:rsidRPr="00762F09" w:rsidTr="00313988">
        <w:trPr>
          <w:cantSplit/>
          <w:trHeight w:val="200"/>
        </w:trPr>
        <w:tc>
          <w:tcPr>
            <w:tcW w:w="1952" w:type="dxa"/>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jc w:val="center"/>
              <w:rPr>
                <w:sz w:val="22"/>
                <w:szCs w:val="22"/>
              </w:rPr>
            </w:pPr>
            <w:r>
              <w:rPr>
                <w:sz w:val="22"/>
                <w:szCs w:val="22"/>
              </w:rPr>
              <w:t>OUTCOME  Measure</w:t>
            </w:r>
          </w:p>
        </w:tc>
        <w:tc>
          <w:tcPr>
            <w:tcW w:w="2907" w:type="dxa"/>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rPr>
                <w:rFonts w:eastAsia="Arial Unicode MS"/>
                <w:sz w:val="22"/>
                <w:szCs w:val="22"/>
              </w:rPr>
            </w:pPr>
            <w:r>
              <w:rPr>
                <w:rFonts w:eastAsia="Arial Unicode MS"/>
                <w:sz w:val="22"/>
                <w:szCs w:val="22"/>
              </w:rPr>
              <w:t>Reduce the risk to public safety caused by illegal firearms trafficking</w:t>
            </w:r>
          </w:p>
        </w:tc>
        <w:tc>
          <w:tcPr>
            <w:tcW w:w="1976" w:type="dxa"/>
            <w:gridSpan w:val="2"/>
            <w:tcBorders>
              <w:top w:val="single" w:sz="4" w:space="0" w:color="auto"/>
              <w:left w:val="single" w:sz="4" w:space="0" w:color="auto"/>
              <w:bottom w:val="single" w:sz="4" w:space="0" w:color="auto"/>
              <w:right w:val="single" w:sz="4" w:space="0" w:color="000000"/>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jc w:val="center"/>
            </w:pPr>
            <w:r>
              <w:t>100</w:t>
            </w:r>
          </w:p>
        </w:tc>
        <w:tc>
          <w:tcPr>
            <w:tcW w:w="1807" w:type="dxa"/>
            <w:gridSpan w:val="2"/>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313988" w:rsidRPr="00CF3FC3" w:rsidRDefault="00581887" w:rsidP="00313988">
            <w:pPr>
              <w:spacing w:before="100" w:beforeAutospacing="1" w:after="100" w:afterAutospacing="1"/>
              <w:jc w:val="center"/>
            </w:pPr>
            <w:r>
              <w:t>100.8</w:t>
            </w:r>
          </w:p>
        </w:tc>
        <w:tc>
          <w:tcPr>
            <w:tcW w:w="1626" w:type="dxa"/>
            <w:gridSpan w:val="3"/>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313988" w:rsidRDefault="00313988" w:rsidP="00313988">
            <w:pPr>
              <w:spacing w:before="100" w:beforeAutospacing="1" w:after="100" w:afterAutospacing="1"/>
              <w:jc w:val="center"/>
              <w:rPr>
                <w:rFonts w:eastAsia="Arial Unicode MS"/>
              </w:rPr>
            </w:pPr>
            <w:r>
              <w:rPr>
                <w:rFonts w:eastAsia="Arial Unicode MS"/>
              </w:rPr>
              <w:t>89</w:t>
            </w:r>
          </w:p>
        </w:tc>
        <w:tc>
          <w:tcPr>
            <w:tcW w:w="1976" w:type="dxa"/>
            <w:gridSpan w:val="2"/>
            <w:tcBorders>
              <w:top w:val="single" w:sz="4" w:space="0" w:color="auto"/>
              <w:left w:val="nil"/>
              <w:bottom w:val="single" w:sz="4" w:space="0" w:color="auto"/>
              <w:right w:val="single" w:sz="4" w:space="0" w:color="000000"/>
            </w:tcBorders>
            <w:tcMar>
              <w:top w:w="25" w:type="dxa"/>
              <w:left w:w="25" w:type="dxa"/>
              <w:bottom w:w="0" w:type="dxa"/>
              <w:right w:w="25" w:type="dxa"/>
            </w:tcMar>
            <w:vAlign w:val="bottom"/>
          </w:tcPr>
          <w:p w:rsidR="00313988" w:rsidRPr="00CF3FC3" w:rsidDel="001E04C1" w:rsidRDefault="00581887" w:rsidP="00313988">
            <w:pPr>
              <w:spacing w:before="100" w:beforeAutospacing="1" w:after="100" w:afterAutospacing="1"/>
              <w:jc w:val="center"/>
              <w:rPr>
                <w:rFonts w:eastAsia="Arial Unicode MS"/>
              </w:rPr>
            </w:pPr>
            <w:r>
              <w:rPr>
                <w:rFonts w:eastAsia="Arial Unicode MS"/>
              </w:rPr>
              <w:t>(</w:t>
            </w:r>
            <w:r w:rsidR="00313988">
              <w:rPr>
                <w:rFonts w:eastAsia="Arial Unicode MS"/>
              </w:rPr>
              <w:t>1</w:t>
            </w:r>
            <w:r>
              <w:rPr>
                <w:rFonts w:eastAsia="Arial Unicode MS"/>
              </w:rPr>
              <w:t>)</w:t>
            </w:r>
          </w:p>
        </w:tc>
        <w:tc>
          <w:tcPr>
            <w:tcW w:w="2354"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bottom"/>
          </w:tcPr>
          <w:p w:rsidR="00313988" w:rsidRPr="00CF3FC3" w:rsidDel="001E04C1" w:rsidRDefault="00581887" w:rsidP="00313988">
            <w:pPr>
              <w:spacing w:before="100" w:beforeAutospacing="1" w:after="100" w:afterAutospacing="1"/>
              <w:jc w:val="center"/>
              <w:rPr>
                <w:rFonts w:eastAsia="Arial Unicode MS"/>
              </w:rPr>
            </w:pPr>
            <w:r>
              <w:rPr>
                <w:rFonts w:eastAsia="Arial Unicode MS"/>
              </w:rPr>
              <w:t>88</w:t>
            </w:r>
          </w:p>
        </w:tc>
      </w:tr>
      <w:tr w:rsidR="00313988" w:rsidRPr="00762F09" w:rsidTr="00313988">
        <w:trPr>
          <w:cantSplit/>
          <w:trHeight w:val="200"/>
        </w:trPr>
        <w:tc>
          <w:tcPr>
            <w:tcW w:w="1952" w:type="dxa"/>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jc w:val="center"/>
              <w:rPr>
                <w:sz w:val="22"/>
                <w:szCs w:val="22"/>
              </w:rPr>
            </w:pPr>
            <w:r>
              <w:rPr>
                <w:sz w:val="22"/>
                <w:szCs w:val="22"/>
              </w:rPr>
              <w:t>OUTCOME  Measure</w:t>
            </w:r>
          </w:p>
        </w:tc>
        <w:tc>
          <w:tcPr>
            <w:tcW w:w="2907" w:type="dxa"/>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rPr>
                <w:rFonts w:eastAsia="Arial Unicode MS"/>
                <w:sz w:val="22"/>
                <w:szCs w:val="22"/>
              </w:rPr>
            </w:pPr>
            <w:r>
              <w:rPr>
                <w:rFonts w:eastAsia="Arial Unicode MS"/>
                <w:sz w:val="22"/>
                <w:szCs w:val="22"/>
              </w:rPr>
              <w:t>Reduce the risk to public safety caused by criminal possession and use of firearms</w:t>
            </w:r>
          </w:p>
        </w:tc>
        <w:tc>
          <w:tcPr>
            <w:tcW w:w="1976" w:type="dxa"/>
            <w:gridSpan w:val="2"/>
            <w:tcBorders>
              <w:top w:val="single" w:sz="4" w:space="0" w:color="auto"/>
              <w:left w:val="single" w:sz="4" w:space="0" w:color="auto"/>
              <w:bottom w:val="single" w:sz="4" w:space="0" w:color="auto"/>
              <w:right w:val="single" w:sz="4" w:space="0" w:color="000000"/>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jc w:val="center"/>
            </w:pPr>
            <w:r>
              <w:t>100</w:t>
            </w:r>
          </w:p>
        </w:tc>
        <w:tc>
          <w:tcPr>
            <w:tcW w:w="1807" w:type="dxa"/>
            <w:gridSpan w:val="2"/>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313988" w:rsidRPr="00CF3FC3" w:rsidRDefault="00581887" w:rsidP="00313988">
            <w:pPr>
              <w:spacing w:before="100" w:beforeAutospacing="1" w:after="100" w:afterAutospacing="1"/>
              <w:jc w:val="center"/>
            </w:pPr>
            <w:r>
              <w:t>100.6</w:t>
            </w:r>
          </w:p>
        </w:tc>
        <w:tc>
          <w:tcPr>
            <w:tcW w:w="1626" w:type="dxa"/>
            <w:gridSpan w:val="3"/>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313988" w:rsidRDefault="00313988" w:rsidP="00313988">
            <w:pPr>
              <w:spacing w:before="100" w:beforeAutospacing="1" w:after="100" w:afterAutospacing="1"/>
              <w:jc w:val="center"/>
              <w:rPr>
                <w:rFonts w:eastAsia="Arial Unicode MS"/>
              </w:rPr>
            </w:pPr>
            <w:r>
              <w:t>79</w:t>
            </w:r>
          </w:p>
        </w:tc>
        <w:tc>
          <w:tcPr>
            <w:tcW w:w="1976" w:type="dxa"/>
            <w:gridSpan w:val="2"/>
            <w:tcBorders>
              <w:top w:val="single" w:sz="4" w:space="0" w:color="auto"/>
              <w:left w:val="nil"/>
              <w:bottom w:val="single" w:sz="4" w:space="0" w:color="auto"/>
              <w:right w:val="single" w:sz="4" w:space="0" w:color="000000"/>
            </w:tcBorders>
            <w:tcMar>
              <w:top w:w="25" w:type="dxa"/>
              <w:left w:w="25" w:type="dxa"/>
              <w:bottom w:w="0" w:type="dxa"/>
              <w:right w:w="25" w:type="dxa"/>
            </w:tcMar>
            <w:vAlign w:val="bottom"/>
          </w:tcPr>
          <w:p w:rsidR="00313988" w:rsidRPr="00CF3FC3" w:rsidDel="001E04C1" w:rsidRDefault="00581887" w:rsidP="00313988">
            <w:pPr>
              <w:spacing w:before="100" w:beforeAutospacing="1" w:after="100" w:afterAutospacing="1"/>
              <w:jc w:val="center"/>
              <w:rPr>
                <w:rFonts w:eastAsia="Arial Unicode MS"/>
              </w:rPr>
            </w:pPr>
            <w:r>
              <w:rPr>
                <w:rFonts w:eastAsia="Arial Unicode MS"/>
              </w:rPr>
              <w:t>(3)</w:t>
            </w:r>
          </w:p>
        </w:tc>
        <w:tc>
          <w:tcPr>
            <w:tcW w:w="2354"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bottom"/>
          </w:tcPr>
          <w:p w:rsidR="00313988" w:rsidRPr="00CF3FC3" w:rsidDel="001E04C1" w:rsidRDefault="00313988" w:rsidP="00313988">
            <w:pPr>
              <w:spacing w:before="100" w:beforeAutospacing="1" w:after="100" w:afterAutospacing="1"/>
              <w:jc w:val="center"/>
              <w:rPr>
                <w:rFonts w:eastAsia="Arial Unicode MS"/>
              </w:rPr>
            </w:pPr>
            <w:r>
              <w:rPr>
                <w:rFonts w:eastAsia="Arial Unicode MS"/>
              </w:rPr>
              <w:t>7</w:t>
            </w:r>
            <w:r w:rsidR="00581887">
              <w:rPr>
                <w:rFonts w:eastAsia="Arial Unicode MS"/>
              </w:rPr>
              <w:t>6</w:t>
            </w:r>
          </w:p>
        </w:tc>
      </w:tr>
      <w:tr w:rsidR="00313988" w:rsidRPr="00762F09" w:rsidTr="00313988">
        <w:trPr>
          <w:cantSplit/>
          <w:trHeight w:val="200"/>
        </w:trPr>
        <w:tc>
          <w:tcPr>
            <w:tcW w:w="1952" w:type="dxa"/>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jc w:val="center"/>
              <w:rPr>
                <w:sz w:val="22"/>
                <w:szCs w:val="22"/>
              </w:rPr>
            </w:pPr>
            <w:r>
              <w:rPr>
                <w:sz w:val="22"/>
                <w:szCs w:val="22"/>
              </w:rPr>
              <w:t>OUTCOME  Measure</w:t>
            </w:r>
          </w:p>
        </w:tc>
        <w:tc>
          <w:tcPr>
            <w:tcW w:w="2907" w:type="dxa"/>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313988" w:rsidRPr="00762F09" w:rsidRDefault="00313988" w:rsidP="00313988">
            <w:pPr>
              <w:spacing w:before="100" w:beforeAutospacing="1" w:after="100" w:afterAutospacing="1"/>
              <w:rPr>
                <w:rFonts w:eastAsia="Arial Unicode MS"/>
                <w:sz w:val="22"/>
                <w:szCs w:val="22"/>
              </w:rPr>
            </w:pPr>
            <w:r>
              <w:rPr>
                <w:rFonts w:eastAsia="Arial Unicode MS"/>
                <w:sz w:val="22"/>
                <w:szCs w:val="22"/>
              </w:rPr>
              <w:t>Reduce the risk to public safety caused by criminal organizations and gangs</w:t>
            </w:r>
          </w:p>
        </w:tc>
        <w:tc>
          <w:tcPr>
            <w:tcW w:w="1976" w:type="dxa"/>
            <w:gridSpan w:val="2"/>
            <w:tcBorders>
              <w:top w:val="single" w:sz="4" w:space="0" w:color="auto"/>
              <w:left w:val="single" w:sz="4" w:space="0" w:color="auto"/>
              <w:bottom w:val="single" w:sz="4" w:space="0" w:color="auto"/>
              <w:right w:val="single" w:sz="4" w:space="0" w:color="000000"/>
            </w:tcBorders>
            <w:shd w:val="clear" w:color="auto" w:fill="FFFFFF"/>
            <w:noWrap/>
            <w:tcMar>
              <w:top w:w="25" w:type="dxa"/>
              <w:left w:w="25" w:type="dxa"/>
              <w:bottom w:w="0" w:type="dxa"/>
              <w:right w:w="25" w:type="dxa"/>
            </w:tcMar>
            <w:vAlign w:val="bottom"/>
          </w:tcPr>
          <w:p w:rsidR="00313988" w:rsidRPr="00762F09" w:rsidRDefault="00313988" w:rsidP="00313988">
            <w:pPr>
              <w:spacing w:before="100" w:beforeAutospacing="1" w:after="100" w:afterAutospacing="1"/>
              <w:jc w:val="center"/>
            </w:pPr>
            <w:r>
              <w:t>100</w:t>
            </w:r>
          </w:p>
        </w:tc>
        <w:tc>
          <w:tcPr>
            <w:tcW w:w="1807" w:type="dxa"/>
            <w:gridSpan w:val="2"/>
            <w:tcBorders>
              <w:top w:val="single" w:sz="4" w:space="0" w:color="auto"/>
              <w:left w:val="nil"/>
              <w:bottom w:val="single" w:sz="4" w:space="0" w:color="auto"/>
              <w:right w:val="single" w:sz="4" w:space="0" w:color="000000"/>
            </w:tcBorders>
            <w:noWrap/>
            <w:tcMar>
              <w:top w:w="25" w:type="dxa"/>
              <w:left w:w="25" w:type="dxa"/>
              <w:bottom w:w="0" w:type="dxa"/>
              <w:right w:w="25" w:type="dxa"/>
            </w:tcMar>
            <w:vAlign w:val="bottom"/>
          </w:tcPr>
          <w:p w:rsidR="00313988" w:rsidRPr="00CF3FC3" w:rsidRDefault="00581887" w:rsidP="00313988">
            <w:pPr>
              <w:spacing w:before="100" w:beforeAutospacing="1" w:after="100" w:afterAutospacing="1"/>
              <w:jc w:val="center"/>
            </w:pPr>
            <w:r>
              <w:t>96.8</w:t>
            </w:r>
          </w:p>
        </w:tc>
        <w:tc>
          <w:tcPr>
            <w:tcW w:w="1626" w:type="dxa"/>
            <w:gridSpan w:val="3"/>
            <w:tcBorders>
              <w:top w:val="single" w:sz="4" w:space="0" w:color="auto"/>
              <w:left w:val="nil"/>
              <w:bottom w:val="single" w:sz="4" w:space="0" w:color="auto"/>
              <w:right w:val="single" w:sz="4" w:space="0" w:color="000000"/>
            </w:tcBorders>
            <w:shd w:val="clear" w:color="auto" w:fill="FFFFFF"/>
            <w:noWrap/>
            <w:tcMar>
              <w:top w:w="25" w:type="dxa"/>
              <w:left w:w="25" w:type="dxa"/>
              <w:bottom w:w="0" w:type="dxa"/>
              <w:right w:w="25" w:type="dxa"/>
            </w:tcMar>
            <w:vAlign w:val="bottom"/>
          </w:tcPr>
          <w:p w:rsidR="00313988" w:rsidRDefault="00313988" w:rsidP="00313988">
            <w:pPr>
              <w:spacing w:before="100" w:beforeAutospacing="1" w:after="100" w:afterAutospacing="1"/>
              <w:jc w:val="center"/>
              <w:rPr>
                <w:rFonts w:eastAsia="Arial Unicode MS"/>
              </w:rPr>
            </w:pPr>
            <w:r>
              <w:t>74</w:t>
            </w:r>
          </w:p>
        </w:tc>
        <w:tc>
          <w:tcPr>
            <w:tcW w:w="1976" w:type="dxa"/>
            <w:gridSpan w:val="2"/>
            <w:tcBorders>
              <w:top w:val="single" w:sz="4" w:space="0" w:color="auto"/>
              <w:left w:val="nil"/>
              <w:bottom w:val="single" w:sz="4" w:space="0" w:color="auto"/>
              <w:right w:val="single" w:sz="4" w:space="0" w:color="000000"/>
            </w:tcBorders>
            <w:tcMar>
              <w:top w:w="25" w:type="dxa"/>
              <w:left w:w="25" w:type="dxa"/>
              <w:bottom w:w="0" w:type="dxa"/>
              <w:right w:w="25" w:type="dxa"/>
            </w:tcMar>
            <w:vAlign w:val="bottom"/>
          </w:tcPr>
          <w:p w:rsidR="00313988" w:rsidRPr="00CF3FC3" w:rsidDel="001E04C1" w:rsidRDefault="00581887" w:rsidP="00313988">
            <w:pPr>
              <w:spacing w:before="100" w:beforeAutospacing="1" w:after="100" w:afterAutospacing="1"/>
              <w:jc w:val="center"/>
              <w:rPr>
                <w:rFonts w:eastAsia="Arial Unicode MS"/>
              </w:rPr>
            </w:pPr>
            <w:r>
              <w:rPr>
                <w:rFonts w:eastAsia="Arial Unicode MS"/>
              </w:rPr>
              <w:t>(1)</w:t>
            </w:r>
          </w:p>
        </w:tc>
        <w:tc>
          <w:tcPr>
            <w:tcW w:w="2354"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bottom"/>
          </w:tcPr>
          <w:p w:rsidR="00313988" w:rsidRPr="00CF3FC3" w:rsidDel="001E04C1" w:rsidRDefault="00581887" w:rsidP="00313988">
            <w:pPr>
              <w:spacing w:before="100" w:beforeAutospacing="1" w:after="100" w:afterAutospacing="1"/>
              <w:jc w:val="center"/>
              <w:rPr>
                <w:rFonts w:eastAsia="Arial Unicode MS"/>
              </w:rPr>
            </w:pPr>
            <w:r>
              <w:rPr>
                <w:rFonts w:eastAsia="Arial Unicode MS"/>
              </w:rPr>
              <w:t>73</w:t>
            </w:r>
          </w:p>
        </w:tc>
      </w:tr>
    </w:tbl>
    <w:p w:rsidR="008D14D2" w:rsidRDefault="008D14D2">
      <w:pPr>
        <w:rPr>
          <w:b/>
          <w:sz w:val="18"/>
          <w:szCs w:val="18"/>
        </w:rPr>
      </w:pPr>
    </w:p>
    <w:p w:rsidR="0073223C" w:rsidRDefault="00C6433C">
      <w:pPr>
        <w:rPr>
          <w:color w:val="000000"/>
          <w:sz w:val="16"/>
          <w:szCs w:val="16"/>
        </w:rPr>
      </w:pPr>
      <w:r>
        <w:rPr>
          <w:b/>
          <w:sz w:val="18"/>
          <w:szCs w:val="18"/>
        </w:rPr>
        <w:t>Footnote:</w:t>
      </w:r>
      <w:r>
        <w:rPr>
          <w:sz w:val="18"/>
          <w:szCs w:val="18"/>
        </w:rPr>
        <w:t xml:space="preserve">  </w:t>
      </w:r>
      <w:r w:rsidRPr="00C43091">
        <w:rPr>
          <w:color w:val="000000"/>
          <w:sz w:val="16"/>
          <w:szCs w:val="16"/>
        </w:rPr>
        <w:t xml:space="preserve">ATF has established a benchmark for its performance index using FY 2010 actual performance data and resource levels.  The benchmark level is expressed as a performance index target of “100” in the FY 2011 Congressional Budget Request.  From this benchmark, ATF has determined the FY 2012 performance targets by estimating expected performance with the level of resources </w:t>
      </w:r>
      <w:r>
        <w:rPr>
          <w:color w:val="000000"/>
          <w:sz w:val="16"/>
          <w:szCs w:val="16"/>
        </w:rPr>
        <w:t>at</w:t>
      </w:r>
      <w:r w:rsidRPr="00C43091">
        <w:rPr>
          <w:color w:val="000000"/>
          <w:sz w:val="16"/>
          <w:szCs w:val="16"/>
        </w:rPr>
        <w:t xml:space="preserve"> the FY 2012 </w:t>
      </w:r>
      <w:r>
        <w:rPr>
          <w:color w:val="000000"/>
          <w:sz w:val="16"/>
          <w:szCs w:val="16"/>
        </w:rPr>
        <w:t>current rate.</w:t>
      </w:r>
      <w:r w:rsidR="004F10A1">
        <w:rPr>
          <w:color w:val="000000"/>
          <w:sz w:val="16"/>
          <w:szCs w:val="16"/>
        </w:rPr>
        <w:t xml:space="preserve"> </w:t>
      </w:r>
      <w:r w:rsidRPr="00C43091">
        <w:rPr>
          <w:color w:val="000000"/>
          <w:sz w:val="16"/>
          <w:szCs w:val="16"/>
        </w:rPr>
        <w:t xml:space="preserve"> ATF’s FY 2012 performance targets represent the Bureau’s capability (relative to the FY 2010 benchmark level and within the resources requested) to impact strategic risk areas (Performance Goals/Outcome).  Using the underlying benchmarked proxy index indicators as a starting point, ATF is able to project anticipated mission performance, with results displayed at the performance goal index levels (Actuals).  </w:t>
      </w:r>
      <w:r w:rsidR="008D14D2" w:rsidRPr="00C43091">
        <w:rPr>
          <w:color w:val="000000"/>
          <w:sz w:val="16"/>
          <w:szCs w:val="16"/>
        </w:rPr>
        <w:t>Please</w:t>
      </w:r>
      <w:r w:rsidR="008D14D2">
        <w:rPr>
          <w:color w:val="000000"/>
          <w:sz w:val="16"/>
          <w:szCs w:val="16"/>
        </w:rPr>
        <w:t xml:space="preserve"> refer</w:t>
      </w:r>
      <w:r w:rsidRPr="00C43091">
        <w:rPr>
          <w:color w:val="000000"/>
          <w:sz w:val="16"/>
          <w:szCs w:val="16"/>
        </w:rPr>
        <w:t xml:space="preserve"> to section 3.a. for a discussion of the Performance Plan and Report of Outcomes.</w:t>
      </w:r>
      <w:r>
        <w:rPr>
          <w:color w:val="000000"/>
          <w:sz w:val="16"/>
          <w:szCs w:val="16"/>
        </w:rPr>
        <w:t xml:space="preserve">  </w:t>
      </w:r>
    </w:p>
    <w:p w:rsidR="00C6433C" w:rsidRDefault="00C6433C" w:rsidP="00C6433C">
      <w:pPr>
        <w:ind w:left="900"/>
        <w:rPr>
          <w:b/>
          <w:sz w:val="18"/>
          <w:szCs w:val="18"/>
        </w:rPr>
      </w:pPr>
    </w:p>
    <w:p w:rsidR="00AD46F6" w:rsidRDefault="00AD46F6" w:rsidP="00C6433C">
      <w:pPr>
        <w:ind w:left="900"/>
        <w:rPr>
          <w:b/>
          <w:sz w:val="18"/>
          <w:szCs w:val="18"/>
        </w:rPr>
      </w:pPr>
    </w:p>
    <w:p w:rsidR="00AD46F6" w:rsidRDefault="00AD46F6" w:rsidP="00C6433C">
      <w:pPr>
        <w:ind w:left="900"/>
        <w:rPr>
          <w:b/>
          <w:sz w:val="18"/>
          <w:szCs w:val="18"/>
        </w:rPr>
      </w:pPr>
    </w:p>
    <w:p w:rsidR="00AD46F6" w:rsidRDefault="00AD46F6" w:rsidP="00C6433C">
      <w:pPr>
        <w:ind w:left="900"/>
        <w:rPr>
          <w:b/>
          <w:sz w:val="18"/>
          <w:szCs w:val="18"/>
        </w:rPr>
      </w:pPr>
    </w:p>
    <w:p w:rsidR="00C6433C" w:rsidRDefault="00C6433C" w:rsidP="005E0F48">
      <w:pPr>
        <w:rPr>
          <w:b/>
          <w:sz w:val="18"/>
          <w:szCs w:val="18"/>
        </w:rPr>
      </w:pPr>
    </w:p>
    <w:p w:rsidR="00C6433C" w:rsidRDefault="00C6433C" w:rsidP="005E0F48">
      <w:pPr>
        <w:rPr>
          <w:b/>
          <w:sz w:val="18"/>
          <w:szCs w:val="18"/>
        </w:rPr>
      </w:pPr>
    </w:p>
    <w:p w:rsidR="00C6433C" w:rsidRDefault="00C6433C" w:rsidP="005E0F48">
      <w:pPr>
        <w:rPr>
          <w:b/>
          <w:sz w:val="18"/>
          <w:szCs w:val="18"/>
        </w:rPr>
      </w:pPr>
    </w:p>
    <w:p w:rsidR="00C6433C" w:rsidRDefault="00C6433C" w:rsidP="005E0F48">
      <w:pPr>
        <w:rPr>
          <w:b/>
          <w:sz w:val="18"/>
          <w:szCs w:val="18"/>
        </w:rPr>
      </w:pPr>
    </w:p>
    <w:p w:rsidR="00C6433C" w:rsidRDefault="00C6433C" w:rsidP="005E0F48">
      <w:pPr>
        <w:rPr>
          <w:b/>
          <w:sz w:val="18"/>
          <w:szCs w:val="18"/>
        </w:rPr>
      </w:pPr>
    </w:p>
    <w:tbl>
      <w:tblPr>
        <w:tblW w:w="14598" w:type="dxa"/>
        <w:tblInd w:w="-819" w:type="dxa"/>
        <w:tblLayout w:type="fixed"/>
        <w:tblCellMar>
          <w:left w:w="0" w:type="dxa"/>
          <w:right w:w="0" w:type="dxa"/>
        </w:tblCellMar>
        <w:tblLook w:val="0000"/>
      </w:tblPr>
      <w:tblGrid>
        <w:gridCol w:w="1971"/>
        <w:gridCol w:w="2933"/>
        <w:gridCol w:w="725"/>
        <w:gridCol w:w="1268"/>
        <w:gridCol w:w="635"/>
        <w:gridCol w:w="1178"/>
        <w:gridCol w:w="543"/>
        <w:gridCol w:w="1087"/>
        <w:gridCol w:w="629"/>
        <w:gridCol w:w="1364"/>
        <w:gridCol w:w="585"/>
        <w:gridCol w:w="1680"/>
      </w:tblGrid>
      <w:tr w:rsidR="005E0F48" w:rsidRPr="00762F09" w:rsidTr="00313988">
        <w:trPr>
          <w:cantSplit/>
          <w:trHeight w:val="200"/>
        </w:trPr>
        <w:tc>
          <w:tcPr>
            <w:tcW w:w="4904" w:type="dxa"/>
            <w:gridSpan w:val="2"/>
            <w:tcBorders>
              <w:top w:val="single" w:sz="4" w:space="0" w:color="auto"/>
              <w:left w:val="single" w:sz="4" w:space="0" w:color="auto"/>
              <w:bottom w:val="single" w:sz="4" w:space="0" w:color="auto"/>
              <w:right w:val="nil"/>
            </w:tcBorders>
            <w:tcMar>
              <w:top w:w="25" w:type="dxa"/>
              <w:left w:w="25" w:type="dxa"/>
              <w:bottom w:w="0" w:type="dxa"/>
              <w:right w:w="25" w:type="dxa"/>
            </w:tcMar>
            <w:vAlign w:val="center"/>
          </w:tcPr>
          <w:p w:rsidR="005E0F48" w:rsidRPr="00762F09" w:rsidRDefault="005E0F48" w:rsidP="007D4B70">
            <w:pPr>
              <w:spacing w:before="100" w:beforeAutospacing="1" w:after="100" w:afterAutospacing="1"/>
              <w:rPr>
                <w:b/>
              </w:rPr>
            </w:pPr>
          </w:p>
        </w:tc>
        <w:tc>
          <w:tcPr>
            <w:tcW w:w="1993" w:type="dxa"/>
            <w:gridSpan w:val="2"/>
            <w:tcBorders>
              <w:top w:val="single" w:sz="4" w:space="0" w:color="auto"/>
              <w:left w:val="single" w:sz="4" w:space="0" w:color="auto"/>
              <w:bottom w:val="single" w:sz="4" w:space="0" w:color="auto"/>
              <w:right w:val="single" w:sz="4" w:space="0" w:color="000000"/>
            </w:tcBorders>
            <w:noWrap/>
            <w:tcMar>
              <w:top w:w="25" w:type="dxa"/>
              <w:left w:w="25" w:type="dxa"/>
              <w:bottom w:w="0" w:type="dxa"/>
              <w:right w:w="25" w:type="dxa"/>
            </w:tcMar>
            <w:vAlign w:val="center"/>
          </w:tcPr>
          <w:p w:rsidR="005E0F48" w:rsidRPr="00762F09" w:rsidRDefault="005E0F48" w:rsidP="007D4B70">
            <w:pPr>
              <w:spacing w:before="100" w:beforeAutospacing="1" w:after="100" w:afterAutospacing="1"/>
              <w:jc w:val="center"/>
              <w:rPr>
                <w:b/>
              </w:rPr>
            </w:pPr>
            <w:r w:rsidRPr="00762F09">
              <w:rPr>
                <w:b/>
              </w:rPr>
              <w:t>Final Target</w:t>
            </w:r>
          </w:p>
        </w:tc>
        <w:tc>
          <w:tcPr>
            <w:tcW w:w="1813" w:type="dxa"/>
            <w:gridSpan w:val="2"/>
            <w:tcBorders>
              <w:top w:val="single" w:sz="4" w:space="0" w:color="auto"/>
              <w:left w:val="nil"/>
              <w:bottom w:val="single" w:sz="4" w:space="0" w:color="auto"/>
              <w:right w:val="single" w:sz="4" w:space="0" w:color="000000"/>
            </w:tcBorders>
            <w:noWrap/>
            <w:tcMar>
              <w:top w:w="25" w:type="dxa"/>
              <w:left w:w="25" w:type="dxa"/>
              <w:bottom w:w="0" w:type="dxa"/>
              <w:right w:w="25" w:type="dxa"/>
            </w:tcMar>
            <w:vAlign w:val="center"/>
          </w:tcPr>
          <w:p w:rsidR="005E0F48" w:rsidRPr="00762F09" w:rsidRDefault="005E0F48" w:rsidP="007D4B70">
            <w:pPr>
              <w:spacing w:before="100" w:beforeAutospacing="1" w:after="100" w:afterAutospacing="1"/>
              <w:jc w:val="center"/>
              <w:rPr>
                <w:b/>
              </w:rPr>
            </w:pPr>
            <w:r>
              <w:rPr>
                <w:b/>
              </w:rPr>
              <w:t>Actual</w:t>
            </w:r>
          </w:p>
        </w:tc>
        <w:tc>
          <w:tcPr>
            <w:tcW w:w="1630" w:type="dxa"/>
            <w:gridSpan w:val="2"/>
            <w:tcBorders>
              <w:top w:val="single" w:sz="4" w:space="0" w:color="auto"/>
              <w:left w:val="nil"/>
              <w:bottom w:val="single" w:sz="4" w:space="0" w:color="auto"/>
              <w:right w:val="single" w:sz="4" w:space="0" w:color="000000"/>
            </w:tcBorders>
            <w:noWrap/>
            <w:tcMar>
              <w:top w:w="25" w:type="dxa"/>
              <w:left w:w="25" w:type="dxa"/>
              <w:bottom w:w="0" w:type="dxa"/>
              <w:right w:w="25" w:type="dxa"/>
            </w:tcMar>
            <w:vAlign w:val="center"/>
          </w:tcPr>
          <w:p w:rsidR="005E0F48" w:rsidRPr="00762F09" w:rsidRDefault="002F3467" w:rsidP="007D4B70">
            <w:pPr>
              <w:spacing w:before="100" w:beforeAutospacing="1" w:after="100" w:afterAutospacing="1"/>
              <w:jc w:val="center"/>
              <w:rPr>
                <w:b/>
              </w:rPr>
            </w:pPr>
            <w:r>
              <w:rPr>
                <w:rFonts w:eastAsia="Arial Unicode MS"/>
                <w:b/>
              </w:rPr>
              <w:t>Enacted</w:t>
            </w:r>
          </w:p>
        </w:tc>
        <w:tc>
          <w:tcPr>
            <w:tcW w:w="1993" w:type="dxa"/>
            <w:gridSpan w:val="2"/>
            <w:tcBorders>
              <w:top w:val="single" w:sz="4" w:space="0" w:color="auto"/>
              <w:left w:val="nil"/>
              <w:bottom w:val="single" w:sz="4" w:space="0" w:color="auto"/>
              <w:right w:val="single" w:sz="4" w:space="0" w:color="000000"/>
            </w:tcBorders>
            <w:tcMar>
              <w:top w:w="25" w:type="dxa"/>
              <w:left w:w="25" w:type="dxa"/>
              <w:bottom w:w="0" w:type="dxa"/>
              <w:right w:w="25" w:type="dxa"/>
            </w:tcMar>
            <w:vAlign w:val="center"/>
          </w:tcPr>
          <w:p w:rsidR="005E0F48" w:rsidRPr="00762F09" w:rsidRDefault="005E0F48" w:rsidP="007D4B70">
            <w:pPr>
              <w:spacing w:before="100" w:beforeAutospacing="1" w:after="100" w:afterAutospacing="1"/>
              <w:jc w:val="center"/>
              <w:rPr>
                <w:rFonts w:eastAsia="Arial Unicode MS"/>
                <w:b/>
              </w:rPr>
            </w:pPr>
            <w:r w:rsidRPr="00762F09">
              <w:rPr>
                <w:b/>
              </w:rPr>
              <w:t>Changes</w:t>
            </w:r>
          </w:p>
        </w:tc>
        <w:tc>
          <w:tcPr>
            <w:tcW w:w="2265"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center"/>
          </w:tcPr>
          <w:p w:rsidR="005E0F48" w:rsidRPr="00762F09" w:rsidRDefault="005E0F48" w:rsidP="007D4B70">
            <w:pPr>
              <w:spacing w:before="100" w:beforeAutospacing="1" w:after="100" w:afterAutospacing="1"/>
              <w:jc w:val="center"/>
              <w:rPr>
                <w:b/>
              </w:rPr>
            </w:pPr>
            <w:r w:rsidRPr="00762F09">
              <w:rPr>
                <w:b/>
              </w:rPr>
              <w:t>Requested (Total)</w:t>
            </w:r>
          </w:p>
        </w:tc>
      </w:tr>
      <w:tr w:rsidR="005E0F48" w:rsidRPr="00762F09" w:rsidTr="00313988">
        <w:trPr>
          <w:cantSplit/>
          <w:trHeight w:val="200"/>
        </w:trPr>
        <w:tc>
          <w:tcPr>
            <w:tcW w:w="1971" w:type="dxa"/>
            <w:tcBorders>
              <w:top w:val="single" w:sz="4" w:space="0" w:color="auto"/>
              <w:left w:val="single" w:sz="4" w:space="0" w:color="auto"/>
              <w:bottom w:val="single" w:sz="4" w:space="0" w:color="auto"/>
              <w:right w:val="nil"/>
            </w:tcBorders>
            <w:tcMar>
              <w:top w:w="25" w:type="dxa"/>
              <w:left w:w="25" w:type="dxa"/>
              <w:bottom w:w="0" w:type="dxa"/>
              <w:right w:w="25" w:type="dxa"/>
            </w:tcMar>
            <w:vAlign w:val="center"/>
          </w:tcPr>
          <w:p w:rsidR="005E0F48" w:rsidRPr="003F17DB" w:rsidRDefault="005E0F48" w:rsidP="007D4B70">
            <w:pPr>
              <w:spacing w:before="100" w:beforeAutospacing="1" w:after="100" w:afterAutospacing="1"/>
              <w:ind w:left="-25"/>
              <w:rPr>
                <w:b/>
              </w:rPr>
            </w:pPr>
          </w:p>
        </w:tc>
        <w:tc>
          <w:tcPr>
            <w:tcW w:w="2933" w:type="dxa"/>
            <w:tcBorders>
              <w:top w:val="single" w:sz="4" w:space="0" w:color="auto"/>
              <w:left w:val="single" w:sz="4" w:space="0" w:color="auto"/>
              <w:bottom w:val="single" w:sz="4" w:space="0" w:color="auto"/>
              <w:right w:val="nil"/>
            </w:tcBorders>
            <w:tcMar>
              <w:top w:w="25" w:type="dxa"/>
              <w:left w:w="25" w:type="dxa"/>
              <w:bottom w:w="0" w:type="dxa"/>
              <w:right w:w="25" w:type="dxa"/>
            </w:tcMar>
            <w:vAlign w:val="center"/>
          </w:tcPr>
          <w:p w:rsidR="005E0F48" w:rsidRPr="00762F09" w:rsidRDefault="005E0F48" w:rsidP="007D4B70">
            <w:pPr>
              <w:spacing w:before="100" w:beforeAutospacing="1" w:after="100" w:afterAutospacing="1"/>
              <w:jc w:val="center"/>
              <w:rPr>
                <w:b/>
              </w:rPr>
            </w:pPr>
          </w:p>
        </w:tc>
        <w:tc>
          <w:tcPr>
            <w:tcW w:w="1993" w:type="dxa"/>
            <w:gridSpan w:val="2"/>
            <w:tcBorders>
              <w:top w:val="single" w:sz="4" w:space="0" w:color="auto"/>
              <w:left w:val="single" w:sz="4" w:space="0" w:color="auto"/>
              <w:bottom w:val="single" w:sz="4" w:space="0" w:color="auto"/>
              <w:right w:val="single" w:sz="4" w:space="0" w:color="000000"/>
            </w:tcBorders>
            <w:noWrap/>
            <w:tcMar>
              <w:top w:w="25" w:type="dxa"/>
              <w:left w:w="25" w:type="dxa"/>
              <w:bottom w:w="0" w:type="dxa"/>
              <w:right w:w="25" w:type="dxa"/>
            </w:tcMar>
            <w:vAlign w:val="center"/>
          </w:tcPr>
          <w:p w:rsidR="005E0F48" w:rsidRPr="00762F09" w:rsidRDefault="005E0F48" w:rsidP="007D4B70">
            <w:pPr>
              <w:spacing w:before="100" w:beforeAutospacing="1" w:after="100" w:afterAutospacing="1"/>
              <w:jc w:val="center"/>
              <w:rPr>
                <w:b/>
              </w:rPr>
            </w:pPr>
            <w:r>
              <w:rPr>
                <w:b/>
              </w:rPr>
              <w:t>FY 2011</w:t>
            </w:r>
          </w:p>
        </w:tc>
        <w:tc>
          <w:tcPr>
            <w:tcW w:w="1813" w:type="dxa"/>
            <w:gridSpan w:val="2"/>
            <w:tcBorders>
              <w:top w:val="single" w:sz="4" w:space="0" w:color="auto"/>
              <w:left w:val="nil"/>
              <w:bottom w:val="single" w:sz="4" w:space="0" w:color="auto"/>
              <w:right w:val="single" w:sz="4" w:space="0" w:color="000000"/>
            </w:tcBorders>
            <w:noWrap/>
            <w:tcMar>
              <w:top w:w="25" w:type="dxa"/>
              <w:left w:w="25" w:type="dxa"/>
              <w:bottom w:w="0" w:type="dxa"/>
              <w:right w:w="25" w:type="dxa"/>
            </w:tcMar>
            <w:vAlign w:val="center"/>
          </w:tcPr>
          <w:p w:rsidR="005E0F48" w:rsidRPr="00762F09" w:rsidRDefault="005E0F48" w:rsidP="007D4B70">
            <w:pPr>
              <w:spacing w:before="100" w:beforeAutospacing="1" w:after="100" w:afterAutospacing="1"/>
              <w:jc w:val="center"/>
              <w:rPr>
                <w:rFonts w:eastAsia="Arial Unicode MS"/>
                <w:b/>
              </w:rPr>
            </w:pPr>
            <w:r w:rsidRPr="00762F09">
              <w:rPr>
                <w:b/>
              </w:rPr>
              <w:t>FY 20</w:t>
            </w:r>
            <w:r>
              <w:rPr>
                <w:b/>
              </w:rPr>
              <w:t>11</w:t>
            </w:r>
          </w:p>
        </w:tc>
        <w:tc>
          <w:tcPr>
            <w:tcW w:w="1630" w:type="dxa"/>
            <w:gridSpan w:val="2"/>
            <w:tcBorders>
              <w:top w:val="single" w:sz="4" w:space="0" w:color="auto"/>
              <w:left w:val="nil"/>
              <w:bottom w:val="single" w:sz="4" w:space="0" w:color="auto"/>
              <w:right w:val="single" w:sz="4" w:space="0" w:color="000000"/>
            </w:tcBorders>
            <w:noWrap/>
            <w:tcMar>
              <w:top w:w="25" w:type="dxa"/>
              <w:left w:w="25" w:type="dxa"/>
              <w:bottom w:w="0" w:type="dxa"/>
              <w:right w:w="25" w:type="dxa"/>
            </w:tcMar>
            <w:vAlign w:val="center"/>
          </w:tcPr>
          <w:p w:rsidR="005E0F48" w:rsidRPr="00762F09" w:rsidRDefault="005E0F48" w:rsidP="007D4B70">
            <w:pPr>
              <w:spacing w:before="100" w:beforeAutospacing="1" w:after="100" w:afterAutospacing="1"/>
              <w:jc w:val="center"/>
              <w:rPr>
                <w:rFonts w:eastAsia="Arial Unicode MS"/>
                <w:b/>
              </w:rPr>
            </w:pPr>
            <w:r>
              <w:rPr>
                <w:b/>
              </w:rPr>
              <w:t>FY 2012</w:t>
            </w:r>
          </w:p>
        </w:tc>
        <w:tc>
          <w:tcPr>
            <w:tcW w:w="1993" w:type="dxa"/>
            <w:gridSpan w:val="2"/>
            <w:tcBorders>
              <w:top w:val="single" w:sz="4" w:space="0" w:color="auto"/>
              <w:left w:val="nil"/>
              <w:bottom w:val="single" w:sz="4" w:space="0" w:color="auto"/>
              <w:right w:val="single" w:sz="4" w:space="0" w:color="000000"/>
            </w:tcBorders>
            <w:tcMar>
              <w:top w:w="25" w:type="dxa"/>
              <w:left w:w="25" w:type="dxa"/>
              <w:bottom w:w="0" w:type="dxa"/>
              <w:right w:w="25" w:type="dxa"/>
            </w:tcMar>
            <w:vAlign w:val="center"/>
          </w:tcPr>
          <w:p w:rsidR="005E0F48" w:rsidRDefault="005E0F48" w:rsidP="007D4B70">
            <w:pPr>
              <w:spacing w:before="100" w:beforeAutospacing="1" w:after="100" w:afterAutospacing="1"/>
              <w:jc w:val="center"/>
              <w:rPr>
                <w:rFonts w:eastAsia="Arial Unicode MS"/>
                <w:b/>
              </w:rPr>
            </w:pPr>
            <w:r w:rsidRPr="00762F09">
              <w:rPr>
                <w:rFonts w:eastAsia="Arial Unicode MS"/>
                <w:b/>
              </w:rPr>
              <w:t>Current Services Adjustments an</w:t>
            </w:r>
            <w:r>
              <w:rPr>
                <w:rFonts w:eastAsia="Arial Unicode MS"/>
                <w:b/>
              </w:rPr>
              <w:t>d FY 2013</w:t>
            </w:r>
            <w:r w:rsidRPr="00762F09">
              <w:rPr>
                <w:rFonts w:eastAsia="Arial Unicode MS"/>
                <w:b/>
              </w:rPr>
              <w:t xml:space="preserve"> Program Change</w:t>
            </w:r>
          </w:p>
        </w:tc>
        <w:tc>
          <w:tcPr>
            <w:tcW w:w="2265"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center"/>
          </w:tcPr>
          <w:p w:rsidR="005E0F48" w:rsidRDefault="005E0F48" w:rsidP="007D4B70">
            <w:pPr>
              <w:spacing w:before="100" w:beforeAutospacing="1" w:after="100" w:afterAutospacing="1"/>
              <w:jc w:val="center"/>
              <w:rPr>
                <w:rFonts w:eastAsia="Arial Unicode MS"/>
                <w:b/>
              </w:rPr>
            </w:pPr>
            <w:r>
              <w:rPr>
                <w:b/>
              </w:rPr>
              <w:t>FY 2013</w:t>
            </w:r>
            <w:r w:rsidRPr="00762F09">
              <w:rPr>
                <w:b/>
              </w:rPr>
              <w:t xml:space="preserve"> Request</w:t>
            </w:r>
          </w:p>
        </w:tc>
      </w:tr>
      <w:tr w:rsidR="005E0F48" w:rsidRPr="00762F09" w:rsidTr="00313988">
        <w:trPr>
          <w:cantSplit/>
          <w:trHeight w:val="94"/>
        </w:trPr>
        <w:tc>
          <w:tcPr>
            <w:tcW w:w="1971" w:type="dxa"/>
            <w:vMerge w:val="restart"/>
            <w:tcBorders>
              <w:top w:val="single" w:sz="4" w:space="0" w:color="auto"/>
              <w:left w:val="single" w:sz="4" w:space="0" w:color="auto"/>
              <w:bottom w:val="single" w:sz="4" w:space="0" w:color="auto"/>
              <w:right w:val="nil"/>
            </w:tcBorders>
            <w:shd w:val="clear" w:color="auto" w:fill="FFFFFF"/>
            <w:tcMar>
              <w:top w:w="25" w:type="dxa"/>
              <w:left w:w="25" w:type="dxa"/>
              <w:bottom w:w="0" w:type="dxa"/>
              <w:right w:w="25" w:type="dxa"/>
            </w:tcMar>
            <w:vAlign w:val="center"/>
          </w:tcPr>
          <w:p w:rsidR="005E0F48" w:rsidRPr="00762F09" w:rsidRDefault="005E0F48" w:rsidP="007D4B70">
            <w:pPr>
              <w:spacing w:before="100" w:beforeAutospacing="1" w:after="100" w:afterAutospacing="1"/>
              <w:ind w:left="-25"/>
              <w:jc w:val="center"/>
              <w:rPr>
                <w:rFonts w:eastAsia="Arial Unicode MS"/>
                <w:b/>
              </w:rPr>
            </w:pPr>
            <w:r w:rsidRPr="00762F09">
              <w:rPr>
                <w:b/>
              </w:rPr>
              <w:t>Program Activity</w:t>
            </w:r>
          </w:p>
        </w:tc>
        <w:tc>
          <w:tcPr>
            <w:tcW w:w="2933" w:type="dxa"/>
            <w:vMerge w:val="restart"/>
            <w:tcBorders>
              <w:top w:val="single" w:sz="4" w:space="0" w:color="auto"/>
              <w:left w:val="single" w:sz="4" w:space="0" w:color="auto"/>
              <w:bottom w:val="single" w:sz="4" w:space="0" w:color="auto"/>
              <w:right w:val="single" w:sz="4" w:space="0" w:color="auto"/>
            </w:tcBorders>
            <w:shd w:val="clear" w:color="auto" w:fill="FFFFFF"/>
            <w:tcMar>
              <w:top w:w="25" w:type="dxa"/>
              <w:left w:w="25" w:type="dxa"/>
              <w:bottom w:w="0" w:type="dxa"/>
              <w:right w:w="25" w:type="dxa"/>
            </w:tcMar>
            <w:vAlign w:val="center"/>
          </w:tcPr>
          <w:p w:rsidR="005E0F48" w:rsidRPr="00A13F4F" w:rsidRDefault="005E0F48" w:rsidP="007D4B70">
            <w:pPr>
              <w:spacing w:before="100" w:beforeAutospacing="1" w:after="100" w:afterAutospacing="1"/>
              <w:rPr>
                <w:rFonts w:eastAsia="Arial Unicode MS"/>
                <w:b/>
                <w:color w:val="FF0000"/>
              </w:rPr>
            </w:pPr>
            <w:r w:rsidRPr="00762F09">
              <w:rPr>
                <w:rFonts w:eastAsia="Arial Unicode MS"/>
                <w:b/>
              </w:rPr>
              <w:t>Regulatory Compliance</w:t>
            </w:r>
          </w:p>
        </w:tc>
        <w:tc>
          <w:tcPr>
            <w:tcW w:w="725" w:type="dxa"/>
            <w:tcBorders>
              <w:top w:val="single" w:sz="4" w:space="0" w:color="auto"/>
              <w:left w:val="nil"/>
              <w:bottom w:val="single" w:sz="4" w:space="0" w:color="auto"/>
              <w:right w:val="nil"/>
            </w:tcBorders>
            <w:shd w:val="clear" w:color="auto" w:fill="FFFFFF"/>
            <w:noWrap/>
            <w:tcMar>
              <w:top w:w="25" w:type="dxa"/>
              <w:left w:w="25" w:type="dxa"/>
              <w:bottom w:w="0" w:type="dxa"/>
              <w:right w:w="25" w:type="dxa"/>
            </w:tcMar>
            <w:vAlign w:val="bottom"/>
          </w:tcPr>
          <w:p w:rsidR="005E0F48" w:rsidRPr="00762F09" w:rsidRDefault="005E0F48" w:rsidP="007D4B70">
            <w:pPr>
              <w:spacing w:before="100" w:beforeAutospacing="1" w:after="100" w:afterAutospacing="1"/>
              <w:ind w:left="-25"/>
              <w:jc w:val="center"/>
              <w:rPr>
                <w:rFonts w:eastAsia="Arial Unicode MS"/>
                <w:b/>
              </w:rPr>
            </w:pPr>
            <w:r w:rsidRPr="00762F09">
              <w:rPr>
                <w:b/>
              </w:rPr>
              <w:t>FTE</w:t>
            </w:r>
          </w:p>
        </w:tc>
        <w:tc>
          <w:tcPr>
            <w:tcW w:w="1268" w:type="dxa"/>
            <w:tcBorders>
              <w:top w:val="single" w:sz="4" w:space="0" w:color="auto"/>
              <w:left w:val="single" w:sz="4" w:space="0" w:color="auto"/>
              <w:bottom w:val="single" w:sz="4" w:space="0" w:color="auto"/>
              <w:right w:val="nil"/>
            </w:tcBorders>
            <w:shd w:val="clear" w:color="auto" w:fill="FFFFFF"/>
            <w:noWrap/>
            <w:tcMar>
              <w:top w:w="25" w:type="dxa"/>
              <w:left w:w="25" w:type="dxa"/>
              <w:bottom w:w="0" w:type="dxa"/>
              <w:right w:w="25" w:type="dxa"/>
            </w:tcMar>
            <w:vAlign w:val="bottom"/>
          </w:tcPr>
          <w:p w:rsidR="005E0F48" w:rsidRPr="00762F09" w:rsidRDefault="005E0F48" w:rsidP="007D4B70">
            <w:pPr>
              <w:spacing w:before="100" w:beforeAutospacing="1" w:after="100" w:afterAutospacing="1"/>
              <w:ind w:left="-25"/>
              <w:jc w:val="center"/>
              <w:rPr>
                <w:rFonts w:eastAsia="Arial Unicode MS"/>
                <w:b/>
              </w:rPr>
            </w:pPr>
            <w:r w:rsidRPr="00762F09">
              <w:rPr>
                <w:b/>
              </w:rPr>
              <w:t>$000</w:t>
            </w:r>
          </w:p>
        </w:tc>
        <w:tc>
          <w:tcPr>
            <w:tcW w:w="635" w:type="dxa"/>
            <w:tcBorders>
              <w:top w:val="single" w:sz="4" w:space="0" w:color="auto"/>
              <w:left w:val="single" w:sz="4" w:space="0" w:color="auto"/>
              <w:bottom w:val="single" w:sz="4" w:space="0" w:color="auto"/>
              <w:right w:val="single" w:sz="4" w:space="0" w:color="auto"/>
            </w:tcBorders>
            <w:noWrap/>
            <w:tcMar>
              <w:top w:w="25" w:type="dxa"/>
              <w:left w:w="25" w:type="dxa"/>
              <w:bottom w:w="0" w:type="dxa"/>
              <w:right w:w="25" w:type="dxa"/>
            </w:tcMar>
            <w:vAlign w:val="bottom"/>
          </w:tcPr>
          <w:p w:rsidR="005E0F48" w:rsidRPr="00762F09" w:rsidRDefault="005E0F48" w:rsidP="007D4B70">
            <w:pPr>
              <w:spacing w:before="100" w:beforeAutospacing="1" w:after="100" w:afterAutospacing="1"/>
              <w:ind w:left="-25"/>
              <w:jc w:val="center"/>
              <w:rPr>
                <w:rFonts w:eastAsia="Arial Unicode MS"/>
                <w:b/>
              </w:rPr>
            </w:pPr>
            <w:r w:rsidRPr="00762F09">
              <w:rPr>
                <w:b/>
              </w:rPr>
              <w:t>FTE</w:t>
            </w:r>
          </w:p>
        </w:tc>
        <w:tc>
          <w:tcPr>
            <w:tcW w:w="1178"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5E0F48" w:rsidRDefault="00335ABD" w:rsidP="007D4B70">
            <w:pPr>
              <w:spacing w:before="100" w:beforeAutospacing="1" w:after="100" w:afterAutospacing="1"/>
              <w:ind w:left="-25"/>
              <w:jc w:val="center"/>
              <w:rPr>
                <w:rFonts w:eastAsia="Arial Unicode MS"/>
                <w:b/>
              </w:rPr>
            </w:pPr>
            <w:r>
              <w:rPr>
                <w:b/>
              </w:rPr>
              <w:t>$000</w:t>
            </w:r>
          </w:p>
        </w:tc>
        <w:tc>
          <w:tcPr>
            <w:tcW w:w="543"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5E0F48" w:rsidRDefault="005E0F48" w:rsidP="007D4B70">
            <w:pPr>
              <w:spacing w:before="100" w:beforeAutospacing="1" w:after="100" w:afterAutospacing="1"/>
              <w:ind w:left="-25"/>
              <w:jc w:val="center"/>
              <w:rPr>
                <w:rFonts w:eastAsia="Arial Unicode MS"/>
                <w:b/>
              </w:rPr>
            </w:pPr>
            <w:r w:rsidRPr="00762F09">
              <w:rPr>
                <w:b/>
              </w:rPr>
              <w:t>FTE</w:t>
            </w:r>
          </w:p>
        </w:tc>
        <w:tc>
          <w:tcPr>
            <w:tcW w:w="1087"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5E0F48" w:rsidRDefault="005E0F48" w:rsidP="007D4B70">
            <w:pPr>
              <w:spacing w:before="100" w:beforeAutospacing="1" w:after="100" w:afterAutospacing="1"/>
              <w:ind w:left="-25"/>
              <w:jc w:val="center"/>
              <w:rPr>
                <w:rFonts w:eastAsia="Arial Unicode MS"/>
                <w:b/>
              </w:rPr>
            </w:pPr>
            <w:r w:rsidRPr="00762F09">
              <w:rPr>
                <w:b/>
              </w:rPr>
              <w:t>$000</w:t>
            </w:r>
          </w:p>
        </w:tc>
        <w:tc>
          <w:tcPr>
            <w:tcW w:w="629"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5E0F48" w:rsidRDefault="005E0F48" w:rsidP="007D4B70">
            <w:pPr>
              <w:spacing w:before="100" w:beforeAutospacing="1" w:after="100" w:afterAutospacing="1"/>
              <w:ind w:left="-25"/>
              <w:jc w:val="center"/>
              <w:rPr>
                <w:rFonts w:eastAsia="Arial Unicode MS"/>
                <w:b/>
              </w:rPr>
            </w:pPr>
            <w:r w:rsidRPr="00762F09">
              <w:rPr>
                <w:b/>
              </w:rPr>
              <w:t>FTE</w:t>
            </w:r>
          </w:p>
        </w:tc>
        <w:tc>
          <w:tcPr>
            <w:tcW w:w="1364"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5E0F48" w:rsidRDefault="005E0F48" w:rsidP="007D4B70">
            <w:pPr>
              <w:spacing w:before="100" w:beforeAutospacing="1" w:after="100" w:afterAutospacing="1"/>
              <w:ind w:left="-25"/>
              <w:jc w:val="center"/>
              <w:rPr>
                <w:rFonts w:eastAsia="Arial Unicode MS"/>
                <w:b/>
              </w:rPr>
            </w:pPr>
            <w:r w:rsidRPr="00762F09">
              <w:rPr>
                <w:b/>
              </w:rPr>
              <w:t>$000</w:t>
            </w:r>
          </w:p>
        </w:tc>
        <w:tc>
          <w:tcPr>
            <w:tcW w:w="585"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5E0F48" w:rsidRDefault="005E0F48" w:rsidP="007D4B70">
            <w:pPr>
              <w:spacing w:before="100" w:beforeAutospacing="1" w:after="100" w:afterAutospacing="1"/>
              <w:ind w:left="-25"/>
              <w:jc w:val="center"/>
              <w:rPr>
                <w:rFonts w:eastAsia="Arial Unicode MS"/>
                <w:b/>
              </w:rPr>
            </w:pPr>
            <w:r w:rsidRPr="00762F09">
              <w:rPr>
                <w:b/>
              </w:rPr>
              <w:t>FTE</w:t>
            </w:r>
          </w:p>
        </w:tc>
        <w:tc>
          <w:tcPr>
            <w:tcW w:w="1680"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5E0F48" w:rsidRDefault="005E0F48" w:rsidP="007D4B70">
            <w:pPr>
              <w:spacing w:before="100" w:beforeAutospacing="1" w:after="100" w:afterAutospacing="1"/>
              <w:ind w:left="-25"/>
              <w:jc w:val="center"/>
              <w:rPr>
                <w:rFonts w:eastAsia="Arial Unicode MS"/>
                <w:b/>
              </w:rPr>
            </w:pPr>
            <w:r w:rsidRPr="00762F09">
              <w:rPr>
                <w:b/>
              </w:rPr>
              <w:t>$000</w:t>
            </w:r>
          </w:p>
        </w:tc>
      </w:tr>
      <w:tr w:rsidR="005E0F48" w:rsidRPr="00762F09" w:rsidTr="00313988">
        <w:trPr>
          <w:cantSplit/>
          <w:trHeight w:val="78"/>
        </w:trPr>
        <w:tc>
          <w:tcPr>
            <w:tcW w:w="1971" w:type="dxa"/>
            <w:vMerge/>
            <w:tcBorders>
              <w:top w:val="single" w:sz="4" w:space="0" w:color="auto"/>
              <w:left w:val="single" w:sz="4" w:space="0" w:color="auto"/>
              <w:bottom w:val="single" w:sz="4" w:space="0" w:color="auto"/>
              <w:right w:val="nil"/>
            </w:tcBorders>
            <w:vAlign w:val="center"/>
          </w:tcPr>
          <w:p w:rsidR="005E0F48" w:rsidRDefault="005E0F48" w:rsidP="007D4B70">
            <w:pPr>
              <w:spacing w:before="100" w:beforeAutospacing="1" w:after="100" w:afterAutospacing="1"/>
              <w:ind w:left="-25"/>
              <w:jc w:val="center"/>
              <w:rPr>
                <w:rFonts w:eastAsia="Arial Unicode MS"/>
              </w:rPr>
            </w:pPr>
          </w:p>
        </w:tc>
        <w:tc>
          <w:tcPr>
            <w:tcW w:w="2933" w:type="dxa"/>
            <w:vMerge/>
            <w:tcBorders>
              <w:top w:val="single" w:sz="4" w:space="0" w:color="auto"/>
              <w:left w:val="single" w:sz="4" w:space="0" w:color="auto"/>
              <w:bottom w:val="single" w:sz="4" w:space="0" w:color="auto"/>
              <w:right w:val="single" w:sz="4" w:space="0" w:color="auto"/>
            </w:tcBorders>
            <w:vAlign w:val="center"/>
          </w:tcPr>
          <w:p w:rsidR="005E0F48" w:rsidRDefault="005E0F48" w:rsidP="007D4B70">
            <w:pPr>
              <w:spacing w:before="100" w:beforeAutospacing="1" w:after="100" w:afterAutospacing="1"/>
              <w:ind w:left="-25"/>
              <w:rPr>
                <w:rFonts w:eastAsia="Arial Unicode MS"/>
                <w:b/>
              </w:rPr>
            </w:pPr>
          </w:p>
        </w:tc>
        <w:tc>
          <w:tcPr>
            <w:tcW w:w="725" w:type="dxa"/>
            <w:tcBorders>
              <w:top w:val="single" w:sz="4" w:space="0" w:color="auto"/>
              <w:left w:val="nil"/>
              <w:bottom w:val="single" w:sz="4" w:space="0" w:color="auto"/>
              <w:right w:val="nil"/>
            </w:tcBorders>
            <w:shd w:val="clear" w:color="auto" w:fill="FFFFFF"/>
            <w:noWrap/>
            <w:tcMar>
              <w:top w:w="25" w:type="dxa"/>
              <w:left w:w="25" w:type="dxa"/>
              <w:bottom w:w="0" w:type="dxa"/>
              <w:right w:w="25" w:type="dxa"/>
            </w:tcMar>
            <w:vAlign w:val="bottom"/>
          </w:tcPr>
          <w:p w:rsidR="005E0F48" w:rsidRDefault="005E0F48" w:rsidP="007D4B70">
            <w:pPr>
              <w:spacing w:before="100" w:beforeAutospacing="1" w:after="100" w:afterAutospacing="1"/>
              <w:ind w:left="-25"/>
              <w:jc w:val="center"/>
              <w:rPr>
                <w:rFonts w:eastAsia="Arial Unicode MS"/>
                <w:b/>
              </w:rPr>
            </w:pPr>
            <w:r>
              <w:rPr>
                <w:rFonts w:eastAsia="Arial Unicode MS"/>
                <w:b/>
              </w:rPr>
              <w:t>696</w:t>
            </w:r>
          </w:p>
        </w:tc>
        <w:tc>
          <w:tcPr>
            <w:tcW w:w="1268" w:type="dxa"/>
            <w:tcBorders>
              <w:top w:val="single" w:sz="4" w:space="0" w:color="auto"/>
              <w:left w:val="single" w:sz="4" w:space="0" w:color="auto"/>
              <w:bottom w:val="single" w:sz="4" w:space="0" w:color="auto"/>
              <w:right w:val="single" w:sz="4" w:space="0" w:color="auto"/>
            </w:tcBorders>
            <w:shd w:val="clear" w:color="auto" w:fill="FFFFFF"/>
            <w:noWrap/>
            <w:tcMar>
              <w:top w:w="25" w:type="dxa"/>
              <w:left w:w="25" w:type="dxa"/>
              <w:bottom w:w="0" w:type="dxa"/>
              <w:right w:w="25" w:type="dxa"/>
            </w:tcMar>
            <w:vAlign w:val="bottom"/>
          </w:tcPr>
          <w:p w:rsidR="005E0F48" w:rsidRDefault="005E0F48" w:rsidP="007D4B70">
            <w:pPr>
              <w:spacing w:before="100" w:beforeAutospacing="1" w:after="100" w:afterAutospacing="1"/>
              <w:ind w:left="-25"/>
              <w:jc w:val="center"/>
              <w:rPr>
                <w:rFonts w:eastAsia="Arial Unicode MS"/>
                <w:b/>
              </w:rPr>
            </w:pPr>
            <w:r w:rsidRPr="00762F09">
              <w:rPr>
                <w:rFonts w:eastAsia="Arial Unicode MS"/>
                <w:b/>
              </w:rPr>
              <w:t>$</w:t>
            </w:r>
            <w:r>
              <w:rPr>
                <w:rFonts w:eastAsia="Arial Unicode MS"/>
                <w:b/>
              </w:rPr>
              <w:t>132,462</w:t>
            </w:r>
          </w:p>
        </w:tc>
        <w:tc>
          <w:tcPr>
            <w:tcW w:w="635"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5E0F48" w:rsidRDefault="00335ABD" w:rsidP="007D4B70">
            <w:pPr>
              <w:spacing w:before="100" w:beforeAutospacing="1" w:after="100" w:afterAutospacing="1"/>
              <w:ind w:left="-25"/>
              <w:jc w:val="center"/>
              <w:rPr>
                <w:rFonts w:eastAsia="Arial Unicode MS"/>
                <w:b/>
                <w:highlight w:val="yellow"/>
              </w:rPr>
            </w:pPr>
            <w:r>
              <w:rPr>
                <w:rFonts w:eastAsia="Arial Unicode MS"/>
                <w:b/>
              </w:rPr>
              <w:t>642</w:t>
            </w:r>
          </w:p>
        </w:tc>
        <w:tc>
          <w:tcPr>
            <w:tcW w:w="1178"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5E0F48" w:rsidRDefault="00335ABD" w:rsidP="007D4B70">
            <w:pPr>
              <w:spacing w:before="100" w:beforeAutospacing="1" w:after="100" w:afterAutospacing="1"/>
              <w:ind w:left="-25"/>
              <w:jc w:val="center"/>
              <w:rPr>
                <w:rFonts w:eastAsia="Arial Unicode MS"/>
                <w:b/>
                <w:highlight w:val="yellow"/>
              </w:rPr>
            </w:pPr>
            <w:r>
              <w:rPr>
                <w:rFonts w:eastAsia="Arial Unicode MS"/>
                <w:b/>
              </w:rPr>
              <w:t>$134,333</w:t>
            </w:r>
          </w:p>
        </w:tc>
        <w:tc>
          <w:tcPr>
            <w:tcW w:w="543"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5E0F48" w:rsidRDefault="00E667D6" w:rsidP="007D4B70">
            <w:pPr>
              <w:spacing w:before="100" w:beforeAutospacing="1" w:after="100" w:afterAutospacing="1"/>
              <w:ind w:left="-25"/>
              <w:jc w:val="center"/>
              <w:rPr>
                <w:rFonts w:eastAsia="Arial Unicode MS"/>
                <w:b/>
              </w:rPr>
            </w:pPr>
            <w:r>
              <w:rPr>
                <w:rFonts w:eastAsia="Arial Unicode MS"/>
                <w:b/>
              </w:rPr>
              <w:t>7</w:t>
            </w:r>
            <w:r w:rsidR="006B15A3">
              <w:rPr>
                <w:rFonts w:eastAsia="Arial Unicode MS"/>
                <w:b/>
              </w:rPr>
              <w:t>09</w:t>
            </w:r>
          </w:p>
        </w:tc>
        <w:tc>
          <w:tcPr>
            <w:tcW w:w="1087"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5E0F48" w:rsidRDefault="005E0F48" w:rsidP="006B15A3">
            <w:pPr>
              <w:spacing w:before="100" w:beforeAutospacing="1" w:after="100" w:afterAutospacing="1"/>
              <w:ind w:left="-25"/>
              <w:jc w:val="center"/>
              <w:rPr>
                <w:rFonts w:eastAsia="Arial Unicode MS"/>
                <w:b/>
              </w:rPr>
            </w:pPr>
            <w:r>
              <w:rPr>
                <w:rFonts w:eastAsia="Arial Unicode MS"/>
                <w:b/>
              </w:rPr>
              <w:t>$</w:t>
            </w:r>
            <w:r w:rsidR="006B15A3">
              <w:rPr>
                <w:rFonts w:eastAsia="Arial Unicode MS"/>
                <w:b/>
              </w:rPr>
              <w:t>138,988</w:t>
            </w:r>
          </w:p>
        </w:tc>
        <w:tc>
          <w:tcPr>
            <w:tcW w:w="629"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5E0F48" w:rsidRDefault="005E0F48" w:rsidP="00A57B1B">
            <w:pPr>
              <w:spacing w:before="100" w:beforeAutospacing="1" w:after="100" w:afterAutospacing="1"/>
              <w:ind w:left="-25"/>
              <w:jc w:val="center"/>
              <w:rPr>
                <w:rFonts w:eastAsia="Arial Unicode MS"/>
                <w:b/>
              </w:rPr>
            </w:pPr>
            <w:r>
              <w:rPr>
                <w:rFonts w:eastAsia="Arial Unicode MS"/>
                <w:b/>
              </w:rPr>
              <w:t>(</w:t>
            </w:r>
            <w:r w:rsidR="000C1BF9">
              <w:rPr>
                <w:rFonts w:eastAsia="Arial Unicode MS"/>
                <w:b/>
              </w:rPr>
              <w:t>1</w:t>
            </w:r>
            <w:r w:rsidR="006B15A3">
              <w:rPr>
                <w:rFonts w:eastAsia="Arial Unicode MS"/>
                <w:b/>
              </w:rPr>
              <w:t>5</w:t>
            </w:r>
            <w:r>
              <w:rPr>
                <w:rFonts w:eastAsia="Arial Unicode MS"/>
                <w:b/>
              </w:rPr>
              <w:t>)</w:t>
            </w:r>
          </w:p>
        </w:tc>
        <w:tc>
          <w:tcPr>
            <w:tcW w:w="1364" w:type="dxa"/>
            <w:tcBorders>
              <w:top w:val="single" w:sz="4" w:space="0" w:color="auto"/>
              <w:left w:val="nil"/>
              <w:bottom w:val="single" w:sz="4" w:space="0" w:color="auto"/>
              <w:right w:val="single" w:sz="4" w:space="0" w:color="auto"/>
            </w:tcBorders>
            <w:shd w:val="clear" w:color="auto" w:fill="FFFFFF"/>
            <w:noWrap/>
            <w:tcMar>
              <w:top w:w="25" w:type="dxa"/>
              <w:left w:w="25" w:type="dxa"/>
              <w:bottom w:w="0" w:type="dxa"/>
              <w:right w:w="25" w:type="dxa"/>
            </w:tcMar>
            <w:vAlign w:val="bottom"/>
          </w:tcPr>
          <w:p w:rsidR="005E0F48" w:rsidRDefault="00935314" w:rsidP="00A57B1B">
            <w:pPr>
              <w:spacing w:before="100" w:beforeAutospacing="1" w:after="100" w:afterAutospacing="1"/>
              <w:ind w:left="-25"/>
              <w:jc w:val="center"/>
              <w:rPr>
                <w:rFonts w:eastAsia="Arial Unicode MS"/>
                <w:b/>
              </w:rPr>
            </w:pPr>
            <w:r>
              <w:rPr>
                <w:rFonts w:eastAsia="Arial Unicode MS"/>
                <w:b/>
              </w:rPr>
              <w:t>16</w:t>
            </w:r>
            <w:r w:rsidR="00EC3C33">
              <w:rPr>
                <w:rFonts w:eastAsia="Arial Unicode MS"/>
                <w:b/>
              </w:rPr>
              <w:t>3</w:t>
            </w:r>
          </w:p>
        </w:tc>
        <w:tc>
          <w:tcPr>
            <w:tcW w:w="585" w:type="dxa"/>
            <w:tcBorders>
              <w:top w:val="single" w:sz="4" w:space="0" w:color="auto"/>
              <w:left w:val="nil"/>
              <w:bottom w:val="single" w:sz="4" w:space="0" w:color="auto"/>
              <w:right w:val="single" w:sz="8" w:space="0" w:color="auto"/>
            </w:tcBorders>
            <w:noWrap/>
            <w:tcMar>
              <w:top w:w="25" w:type="dxa"/>
              <w:left w:w="25" w:type="dxa"/>
              <w:bottom w:w="0" w:type="dxa"/>
              <w:right w:w="25" w:type="dxa"/>
            </w:tcMar>
            <w:vAlign w:val="bottom"/>
          </w:tcPr>
          <w:p w:rsidR="005E0F48" w:rsidRDefault="006B15A3" w:rsidP="006B15A3">
            <w:pPr>
              <w:spacing w:before="100" w:beforeAutospacing="1" w:after="100" w:afterAutospacing="1"/>
              <w:ind w:left="-25"/>
              <w:jc w:val="center"/>
              <w:rPr>
                <w:rFonts w:eastAsia="Arial Unicode MS"/>
                <w:b/>
              </w:rPr>
            </w:pPr>
            <w:r>
              <w:rPr>
                <w:rFonts w:eastAsia="Arial Unicode MS"/>
                <w:b/>
              </w:rPr>
              <w:t>694</w:t>
            </w:r>
          </w:p>
        </w:tc>
        <w:tc>
          <w:tcPr>
            <w:tcW w:w="1680" w:type="dxa"/>
            <w:tcBorders>
              <w:top w:val="single" w:sz="4" w:space="0" w:color="auto"/>
              <w:left w:val="nil"/>
              <w:bottom w:val="single" w:sz="4" w:space="0" w:color="auto"/>
              <w:right w:val="single" w:sz="4" w:space="0" w:color="auto"/>
            </w:tcBorders>
            <w:noWrap/>
            <w:tcMar>
              <w:top w:w="25" w:type="dxa"/>
              <w:left w:w="25" w:type="dxa"/>
              <w:bottom w:w="0" w:type="dxa"/>
              <w:right w:w="25" w:type="dxa"/>
            </w:tcMar>
            <w:vAlign w:val="bottom"/>
          </w:tcPr>
          <w:p w:rsidR="005E0F48" w:rsidRDefault="005E0F48" w:rsidP="006B15A3">
            <w:pPr>
              <w:spacing w:before="100" w:beforeAutospacing="1" w:after="100" w:afterAutospacing="1"/>
              <w:ind w:left="-25"/>
              <w:jc w:val="center"/>
              <w:rPr>
                <w:rFonts w:eastAsia="Arial Unicode MS"/>
                <w:b/>
              </w:rPr>
            </w:pPr>
            <w:r>
              <w:rPr>
                <w:rFonts w:eastAsia="Arial Unicode MS"/>
                <w:b/>
              </w:rPr>
              <w:t>$</w:t>
            </w:r>
            <w:r w:rsidR="006B15A3">
              <w:rPr>
                <w:rFonts w:eastAsia="Arial Unicode MS"/>
                <w:b/>
              </w:rPr>
              <w:t>139,150</w:t>
            </w:r>
          </w:p>
        </w:tc>
      </w:tr>
      <w:tr w:rsidR="005E0F48" w:rsidRPr="00762F09" w:rsidTr="00313988">
        <w:trPr>
          <w:trHeight w:val="200"/>
        </w:trPr>
        <w:tc>
          <w:tcPr>
            <w:tcW w:w="1971" w:type="dxa"/>
            <w:tcBorders>
              <w:top w:val="single" w:sz="4" w:space="0" w:color="auto"/>
              <w:left w:val="single" w:sz="4" w:space="0" w:color="auto"/>
              <w:bottom w:val="single" w:sz="4" w:space="0" w:color="auto"/>
              <w:right w:val="single" w:sz="4" w:space="0" w:color="auto"/>
            </w:tcBorders>
            <w:tcMar>
              <w:top w:w="25" w:type="dxa"/>
              <w:left w:w="25" w:type="dxa"/>
              <w:bottom w:w="0" w:type="dxa"/>
              <w:right w:w="25" w:type="dxa"/>
            </w:tcMar>
            <w:vAlign w:val="center"/>
          </w:tcPr>
          <w:p w:rsidR="005E0F48" w:rsidRPr="00762F09" w:rsidRDefault="005E0F48" w:rsidP="007D4B70">
            <w:pPr>
              <w:spacing w:before="100" w:beforeAutospacing="1" w:after="100" w:afterAutospacing="1"/>
              <w:ind w:left="-25"/>
              <w:jc w:val="center"/>
            </w:pPr>
            <w:r>
              <w:t>OUTCOME  Measure</w:t>
            </w:r>
          </w:p>
        </w:tc>
        <w:tc>
          <w:tcPr>
            <w:tcW w:w="2933" w:type="dxa"/>
            <w:tcBorders>
              <w:top w:val="single" w:sz="4" w:space="0" w:color="auto"/>
              <w:left w:val="nil"/>
              <w:bottom w:val="single" w:sz="4" w:space="0" w:color="auto"/>
              <w:right w:val="single" w:sz="4" w:space="0" w:color="auto"/>
            </w:tcBorders>
            <w:tcMar>
              <w:top w:w="25" w:type="dxa"/>
              <w:left w:w="25" w:type="dxa"/>
              <w:bottom w:w="0" w:type="dxa"/>
              <w:right w:w="25" w:type="dxa"/>
            </w:tcMar>
            <w:vAlign w:val="bottom"/>
          </w:tcPr>
          <w:p w:rsidR="005E0F48" w:rsidRPr="00762F09" w:rsidRDefault="005E0F48" w:rsidP="007D4B70">
            <w:pPr>
              <w:pStyle w:val="font6"/>
              <w:ind w:left="-25"/>
              <w:rPr>
                <w:rFonts w:ascii="Times New Roman" w:hAnsi="Times New Roman" w:cs="Times New Roman"/>
                <w:sz w:val="22"/>
                <w:szCs w:val="22"/>
              </w:rPr>
            </w:pPr>
            <w:r>
              <w:rPr>
                <w:rFonts w:ascii="Times New Roman" w:hAnsi="Times New Roman" w:cs="Times New Roman"/>
                <w:sz w:val="22"/>
                <w:szCs w:val="22"/>
              </w:rPr>
              <w:t xml:space="preserve">Improve public safety by increasing compliance with </w:t>
            </w:r>
            <w:r w:rsidR="00D31D89">
              <w:rPr>
                <w:rFonts w:ascii="Times New Roman" w:hAnsi="Times New Roman" w:cs="Times New Roman"/>
                <w:sz w:val="22"/>
                <w:szCs w:val="22"/>
              </w:rPr>
              <w:t>Federal</w:t>
            </w:r>
            <w:r>
              <w:rPr>
                <w:rFonts w:ascii="Times New Roman" w:hAnsi="Times New Roman" w:cs="Times New Roman"/>
                <w:sz w:val="22"/>
                <w:szCs w:val="22"/>
              </w:rPr>
              <w:t xml:space="preserve"> laws and regulations by firearms industry members</w:t>
            </w:r>
          </w:p>
        </w:tc>
        <w:tc>
          <w:tcPr>
            <w:tcW w:w="1993" w:type="dxa"/>
            <w:gridSpan w:val="2"/>
            <w:tcBorders>
              <w:top w:val="single" w:sz="4" w:space="0" w:color="auto"/>
              <w:left w:val="nil"/>
              <w:bottom w:val="single" w:sz="4" w:space="0" w:color="auto"/>
              <w:right w:val="single" w:sz="4" w:space="0" w:color="auto"/>
            </w:tcBorders>
            <w:noWrap/>
            <w:tcMar>
              <w:top w:w="25" w:type="dxa"/>
              <w:left w:w="25" w:type="dxa"/>
              <w:bottom w:w="0" w:type="dxa"/>
              <w:right w:w="25" w:type="dxa"/>
            </w:tcMar>
            <w:vAlign w:val="center"/>
          </w:tcPr>
          <w:p w:rsidR="005E0F48" w:rsidRDefault="005E0F48" w:rsidP="007D4B70">
            <w:pPr>
              <w:spacing w:before="100" w:beforeAutospacing="1" w:after="100" w:afterAutospacing="1"/>
              <w:jc w:val="center"/>
              <w:rPr>
                <w:rFonts w:eastAsia="Arial Unicode MS"/>
                <w:bCs/>
              </w:rPr>
            </w:pPr>
            <w:r>
              <w:t>100</w:t>
            </w:r>
          </w:p>
        </w:tc>
        <w:tc>
          <w:tcPr>
            <w:tcW w:w="1813" w:type="dxa"/>
            <w:gridSpan w:val="2"/>
            <w:tcBorders>
              <w:top w:val="single" w:sz="4" w:space="0" w:color="auto"/>
              <w:left w:val="nil"/>
              <w:bottom w:val="single" w:sz="4" w:space="0" w:color="auto"/>
              <w:right w:val="single" w:sz="4" w:space="0" w:color="000000"/>
            </w:tcBorders>
            <w:tcMar>
              <w:top w:w="25" w:type="dxa"/>
              <w:left w:w="25" w:type="dxa"/>
              <w:bottom w:w="0" w:type="dxa"/>
              <w:right w:w="25" w:type="dxa"/>
            </w:tcMar>
            <w:vAlign w:val="center"/>
          </w:tcPr>
          <w:p w:rsidR="005E0F48" w:rsidRPr="0067754E" w:rsidDel="00367005" w:rsidRDefault="00B6553B" w:rsidP="00B6553B">
            <w:pPr>
              <w:spacing w:before="100" w:beforeAutospacing="1" w:after="100" w:afterAutospacing="1"/>
              <w:jc w:val="center"/>
              <w:rPr>
                <w:rFonts w:eastAsia="Arial Unicode MS"/>
              </w:rPr>
            </w:pPr>
            <w:r>
              <w:t>102.2</w:t>
            </w:r>
          </w:p>
        </w:tc>
        <w:tc>
          <w:tcPr>
            <w:tcW w:w="1630" w:type="dxa"/>
            <w:gridSpan w:val="2"/>
            <w:tcBorders>
              <w:top w:val="single" w:sz="4" w:space="0" w:color="auto"/>
              <w:left w:val="nil"/>
              <w:bottom w:val="single" w:sz="4" w:space="0" w:color="auto"/>
              <w:right w:val="single" w:sz="4" w:space="0" w:color="auto"/>
            </w:tcBorders>
            <w:noWrap/>
            <w:tcMar>
              <w:top w:w="25" w:type="dxa"/>
              <w:left w:w="25" w:type="dxa"/>
              <w:bottom w:w="0" w:type="dxa"/>
              <w:right w:w="25" w:type="dxa"/>
            </w:tcMar>
            <w:vAlign w:val="center"/>
          </w:tcPr>
          <w:p w:rsidR="005E0F48" w:rsidRPr="0067754E" w:rsidRDefault="005E0F48" w:rsidP="007D4B70">
            <w:pPr>
              <w:spacing w:before="100" w:beforeAutospacing="1" w:after="100" w:afterAutospacing="1"/>
              <w:jc w:val="center"/>
              <w:rPr>
                <w:rFonts w:eastAsia="Arial Unicode MS"/>
              </w:rPr>
            </w:pPr>
            <w:r>
              <w:t>70</w:t>
            </w:r>
          </w:p>
        </w:tc>
        <w:tc>
          <w:tcPr>
            <w:tcW w:w="1993"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center"/>
          </w:tcPr>
          <w:p w:rsidR="005E0F48" w:rsidRDefault="00581887" w:rsidP="007D4B70">
            <w:pPr>
              <w:spacing w:before="100" w:beforeAutospacing="1" w:after="100" w:afterAutospacing="1"/>
              <w:jc w:val="center"/>
              <w:rPr>
                <w:rFonts w:eastAsia="Arial Unicode MS"/>
              </w:rPr>
            </w:pPr>
            <w:r>
              <w:rPr>
                <w:rFonts w:eastAsia="Arial Unicode MS"/>
              </w:rPr>
              <w:t>1</w:t>
            </w:r>
          </w:p>
        </w:tc>
        <w:tc>
          <w:tcPr>
            <w:tcW w:w="2265" w:type="dxa"/>
            <w:gridSpan w:val="2"/>
            <w:tcBorders>
              <w:top w:val="single" w:sz="4" w:space="0" w:color="auto"/>
              <w:left w:val="nil"/>
              <w:bottom w:val="single" w:sz="4" w:space="0" w:color="auto"/>
              <w:right w:val="single" w:sz="4" w:space="0" w:color="auto"/>
            </w:tcBorders>
            <w:tcMar>
              <w:top w:w="25" w:type="dxa"/>
              <w:left w:w="25" w:type="dxa"/>
              <w:bottom w:w="0" w:type="dxa"/>
              <w:right w:w="25" w:type="dxa"/>
            </w:tcMar>
            <w:vAlign w:val="center"/>
          </w:tcPr>
          <w:p w:rsidR="005E0F48" w:rsidRDefault="005E0F48" w:rsidP="007D4B70">
            <w:pPr>
              <w:spacing w:before="100" w:beforeAutospacing="1" w:after="100" w:afterAutospacing="1"/>
              <w:jc w:val="center"/>
              <w:rPr>
                <w:rFonts w:eastAsia="Arial Unicode MS"/>
              </w:rPr>
            </w:pPr>
            <w:r>
              <w:rPr>
                <w:rFonts w:eastAsia="Arial Unicode MS"/>
              </w:rPr>
              <w:t>7</w:t>
            </w:r>
            <w:r w:rsidR="00581887">
              <w:rPr>
                <w:rFonts w:eastAsia="Arial Unicode MS"/>
              </w:rPr>
              <w:t>1</w:t>
            </w:r>
          </w:p>
        </w:tc>
      </w:tr>
    </w:tbl>
    <w:tbl>
      <w:tblPr>
        <w:tblpPr w:leftFromText="180" w:rightFromText="180" w:vertAnchor="text" w:horzAnchor="margin" w:tblpXSpec="center" w:tblpY="362"/>
        <w:tblW w:w="14480" w:type="dxa"/>
        <w:tblLayout w:type="fixed"/>
        <w:tblCellMar>
          <w:left w:w="0" w:type="dxa"/>
          <w:right w:w="0" w:type="dxa"/>
        </w:tblCellMar>
        <w:tblLook w:val="0000"/>
      </w:tblPr>
      <w:tblGrid>
        <w:gridCol w:w="1430"/>
        <w:gridCol w:w="2430"/>
        <w:gridCol w:w="900"/>
        <w:gridCol w:w="900"/>
        <w:gridCol w:w="1080"/>
        <w:gridCol w:w="1080"/>
        <w:gridCol w:w="1080"/>
        <w:gridCol w:w="1218"/>
        <w:gridCol w:w="762"/>
        <w:gridCol w:w="900"/>
        <w:gridCol w:w="1260"/>
        <w:gridCol w:w="1440"/>
      </w:tblGrid>
      <w:tr w:rsidR="005E0F48" w:rsidRPr="00762F09" w:rsidTr="00C6433C">
        <w:trPr>
          <w:cantSplit/>
          <w:trHeight w:val="262"/>
          <w:tblHeader/>
        </w:trPr>
        <w:tc>
          <w:tcPr>
            <w:tcW w:w="14480" w:type="dxa"/>
            <w:gridSpan w:val="12"/>
            <w:tcBorders>
              <w:top w:val="single" w:sz="4" w:space="0" w:color="auto"/>
              <w:left w:val="single" w:sz="8" w:space="0" w:color="auto"/>
              <w:bottom w:val="single" w:sz="4" w:space="0" w:color="000000"/>
              <w:right w:val="single" w:sz="4" w:space="0" w:color="auto"/>
            </w:tcBorders>
            <w:tcMar>
              <w:top w:w="20" w:type="dxa"/>
              <w:left w:w="20" w:type="dxa"/>
              <w:bottom w:w="0" w:type="dxa"/>
              <w:right w:w="20" w:type="dxa"/>
            </w:tcMar>
            <w:vAlign w:val="center"/>
          </w:tcPr>
          <w:p w:rsidR="005E0F48" w:rsidRPr="00762F09" w:rsidRDefault="005E0F48" w:rsidP="00C6433C">
            <w:pPr>
              <w:pStyle w:val="xl27"/>
              <w:tabs>
                <w:tab w:val="left" w:pos="1045"/>
              </w:tabs>
              <w:spacing w:beforeAutospacing="1" w:afterAutospacing="1"/>
              <w:ind w:left="5"/>
              <w:jc w:val="center"/>
              <w:rPr>
                <w:rFonts w:ascii="Times New Roman" w:hAnsi="Times New Roman"/>
                <w:szCs w:val="16"/>
              </w:rPr>
            </w:pPr>
            <w:r w:rsidRPr="00762F09">
              <w:rPr>
                <w:rFonts w:ascii="Times New Roman" w:hAnsi="Times New Roman"/>
                <w:szCs w:val="16"/>
              </w:rPr>
              <w:t xml:space="preserve"> PERFORMANCE MEASURE TABLE</w:t>
            </w:r>
            <w:r>
              <w:rPr>
                <w:rFonts w:ascii="Times New Roman" w:hAnsi="Times New Roman"/>
                <w:szCs w:val="16"/>
              </w:rPr>
              <w:t xml:space="preserve"> </w:t>
            </w:r>
          </w:p>
        </w:tc>
      </w:tr>
      <w:tr w:rsidR="005E0F48" w:rsidRPr="00762F09" w:rsidTr="00C6433C">
        <w:trPr>
          <w:cantSplit/>
          <w:trHeight w:val="262"/>
          <w:tblHeader/>
        </w:trPr>
        <w:tc>
          <w:tcPr>
            <w:tcW w:w="14480" w:type="dxa"/>
            <w:gridSpan w:val="12"/>
            <w:tcBorders>
              <w:top w:val="single" w:sz="4" w:space="0" w:color="auto"/>
              <w:left w:val="single" w:sz="8" w:space="0" w:color="auto"/>
              <w:bottom w:val="single" w:sz="4" w:space="0" w:color="000000"/>
              <w:right w:val="single" w:sz="4" w:space="0" w:color="auto"/>
            </w:tcBorders>
            <w:tcMar>
              <w:top w:w="20" w:type="dxa"/>
              <w:left w:w="20" w:type="dxa"/>
              <w:bottom w:w="0" w:type="dxa"/>
              <w:right w:w="20" w:type="dxa"/>
            </w:tcMar>
            <w:vAlign w:val="center"/>
          </w:tcPr>
          <w:p w:rsidR="005E0F48" w:rsidRPr="00762F09" w:rsidRDefault="005E0F48" w:rsidP="00C6433C">
            <w:pPr>
              <w:pStyle w:val="xl27"/>
              <w:spacing w:beforeAutospacing="1" w:afterAutospacing="1"/>
              <w:rPr>
                <w:rFonts w:ascii="Times New Roman" w:hAnsi="Times New Roman"/>
                <w:szCs w:val="16"/>
              </w:rPr>
            </w:pPr>
            <w:r w:rsidRPr="00762F09">
              <w:rPr>
                <w:rFonts w:ascii="Times New Roman" w:hAnsi="Times New Roman"/>
                <w:szCs w:val="16"/>
              </w:rPr>
              <w:t>Decision Unit:  Firearms</w:t>
            </w:r>
          </w:p>
        </w:tc>
      </w:tr>
      <w:tr w:rsidR="005E0F48" w:rsidRPr="00762F09" w:rsidTr="00C6433C">
        <w:trPr>
          <w:cantSplit/>
          <w:trHeight w:val="262"/>
          <w:tblHeader/>
        </w:trPr>
        <w:tc>
          <w:tcPr>
            <w:tcW w:w="3860" w:type="dxa"/>
            <w:gridSpan w:val="2"/>
            <w:vMerge w:val="restart"/>
            <w:tcBorders>
              <w:top w:val="single" w:sz="4" w:space="0" w:color="auto"/>
              <w:left w:val="single" w:sz="8" w:space="0" w:color="auto"/>
              <w:bottom w:val="single" w:sz="4" w:space="0" w:color="000000"/>
              <w:right w:val="single" w:sz="4" w:space="0" w:color="000000"/>
            </w:tcBorders>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b/>
                <w:szCs w:val="16"/>
              </w:rPr>
            </w:pPr>
            <w:r w:rsidRPr="00762F09">
              <w:rPr>
                <w:b/>
                <w:sz w:val="22"/>
                <w:szCs w:val="16"/>
              </w:rPr>
              <w:t>Performance Report and Performance Plan Targets</w:t>
            </w:r>
          </w:p>
        </w:tc>
        <w:tc>
          <w:tcPr>
            <w:tcW w:w="900" w:type="dxa"/>
            <w:tcBorders>
              <w:top w:val="single" w:sz="4" w:space="0" w:color="auto"/>
              <w:left w:val="nil"/>
              <w:bottom w:val="single" w:sz="4" w:space="0" w:color="auto"/>
              <w:right w:val="nil"/>
            </w:tcBorders>
            <w:noWrap/>
            <w:tcMar>
              <w:top w:w="20" w:type="dxa"/>
              <w:left w:w="20" w:type="dxa"/>
              <w:bottom w:w="0" w:type="dxa"/>
              <w:right w:w="20" w:type="dxa"/>
            </w:tcMar>
            <w:vAlign w:val="center"/>
          </w:tcPr>
          <w:p w:rsidR="005E0F48" w:rsidRPr="00762F09" w:rsidRDefault="005E0F48" w:rsidP="00C6433C">
            <w:pPr>
              <w:pStyle w:val="Heading1"/>
              <w:spacing w:before="100" w:beforeAutospacing="1" w:after="100" w:afterAutospacing="1"/>
              <w:rPr>
                <w:rFonts w:ascii="Times New Roman" w:hAnsi="Times New Roman"/>
                <w:szCs w:val="16"/>
              </w:rPr>
            </w:pPr>
            <w:r>
              <w:rPr>
                <w:rFonts w:ascii="Times New Roman" w:hAnsi="Times New Roman"/>
                <w:szCs w:val="16"/>
              </w:rPr>
              <w:t>FY 2005</w:t>
            </w:r>
          </w:p>
        </w:tc>
        <w:tc>
          <w:tcPr>
            <w:tcW w:w="90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b/>
                <w:szCs w:val="16"/>
              </w:rPr>
            </w:pPr>
            <w:r w:rsidRPr="00762F09">
              <w:rPr>
                <w:b/>
                <w:szCs w:val="16"/>
              </w:rPr>
              <w:t>FY 200</w:t>
            </w:r>
            <w:r>
              <w:rPr>
                <w:b/>
                <w:szCs w:val="16"/>
              </w:rPr>
              <w:t>6</w:t>
            </w:r>
          </w:p>
        </w:tc>
        <w:tc>
          <w:tcPr>
            <w:tcW w:w="1080" w:type="dxa"/>
            <w:tcBorders>
              <w:top w:val="single" w:sz="4" w:space="0" w:color="auto"/>
              <w:left w:val="single" w:sz="4" w:space="0" w:color="auto"/>
              <w:bottom w:val="single" w:sz="4" w:space="0" w:color="auto"/>
              <w:right w:val="nil"/>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b/>
                <w:szCs w:val="16"/>
              </w:rPr>
            </w:pPr>
            <w:r w:rsidRPr="00762F09">
              <w:rPr>
                <w:b/>
                <w:szCs w:val="16"/>
              </w:rPr>
              <w:t>FY 200</w:t>
            </w:r>
            <w:r>
              <w:rPr>
                <w:b/>
                <w:szCs w:val="16"/>
              </w:rPr>
              <w:t>7</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b/>
                <w:szCs w:val="16"/>
              </w:rPr>
            </w:pPr>
            <w:r w:rsidRPr="00762F09">
              <w:rPr>
                <w:b/>
                <w:szCs w:val="16"/>
              </w:rPr>
              <w:t>FY 200</w:t>
            </w:r>
            <w:r>
              <w:rPr>
                <w:b/>
                <w:szCs w:val="16"/>
              </w:rPr>
              <w:t>8</w:t>
            </w:r>
          </w:p>
        </w:tc>
        <w:tc>
          <w:tcPr>
            <w:tcW w:w="108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b/>
                <w:szCs w:val="16"/>
              </w:rPr>
            </w:pPr>
            <w:r w:rsidRPr="00762F09">
              <w:rPr>
                <w:b/>
                <w:szCs w:val="16"/>
              </w:rPr>
              <w:t>FY 200</w:t>
            </w:r>
            <w:r>
              <w:rPr>
                <w:b/>
                <w:szCs w:val="16"/>
              </w:rPr>
              <w:t>9</w:t>
            </w:r>
          </w:p>
        </w:tc>
        <w:tc>
          <w:tcPr>
            <w:tcW w:w="1218" w:type="dxa"/>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b/>
                <w:szCs w:val="16"/>
              </w:rPr>
            </w:pPr>
            <w:r>
              <w:rPr>
                <w:rFonts w:eastAsia="Arial Unicode MS"/>
                <w:b/>
                <w:szCs w:val="16"/>
              </w:rPr>
              <w:t>FY 2010</w:t>
            </w:r>
          </w:p>
        </w:tc>
        <w:tc>
          <w:tcPr>
            <w:tcW w:w="1662" w:type="dxa"/>
            <w:gridSpan w:val="2"/>
            <w:tcBorders>
              <w:top w:val="single" w:sz="4" w:space="0" w:color="auto"/>
              <w:left w:val="nil"/>
              <w:bottom w:val="single" w:sz="4" w:space="0" w:color="auto"/>
              <w:right w:val="single" w:sz="4" w:space="0" w:color="000000"/>
            </w:tcBorders>
            <w:vAlign w:val="center"/>
          </w:tcPr>
          <w:p w:rsidR="005E0F48" w:rsidRPr="00762F09" w:rsidRDefault="005E0F48" w:rsidP="00C6433C">
            <w:pPr>
              <w:spacing w:before="100" w:beforeAutospacing="1" w:after="100" w:afterAutospacing="1"/>
              <w:jc w:val="center"/>
              <w:rPr>
                <w:rFonts w:eastAsia="Arial Unicode MS"/>
                <w:b/>
                <w:szCs w:val="16"/>
              </w:rPr>
            </w:pPr>
            <w:r>
              <w:rPr>
                <w:rFonts w:eastAsia="Arial Unicode MS"/>
                <w:b/>
                <w:szCs w:val="16"/>
              </w:rPr>
              <w:t>FY 2011</w:t>
            </w:r>
          </w:p>
        </w:tc>
        <w:tc>
          <w:tcPr>
            <w:tcW w:w="12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b/>
                <w:szCs w:val="16"/>
              </w:rPr>
            </w:pPr>
            <w:r>
              <w:rPr>
                <w:rFonts w:eastAsia="Arial Unicode MS"/>
                <w:b/>
                <w:szCs w:val="16"/>
              </w:rPr>
              <w:t>FY 2012</w:t>
            </w:r>
          </w:p>
        </w:tc>
        <w:tc>
          <w:tcPr>
            <w:tcW w:w="1440" w:type="dxa"/>
            <w:tcBorders>
              <w:top w:val="single" w:sz="4" w:space="0" w:color="auto"/>
              <w:left w:val="nil"/>
              <w:bottom w:val="single" w:sz="4" w:space="0" w:color="auto"/>
              <w:right w:val="single" w:sz="4" w:space="0" w:color="auto"/>
            </w:tcBorders>
          </w:tcPr>
          <w:p w:rsidR="005E0F48" w:rsidRPr="00762F09" w:rsidRDefault="005E0F48" w:rsidP="00C6433C">
            <w:pPr>
              <w:pStyle w:val="xl27"/>
              <w:spacing w:beforeAutospacing="1" w:afterAutospacing="1"/>
              <w:jc w:val="center"/>
              <w:rPr>
                <w:rFonts w:ascii="Times New Roman" w:hAnsi="Times New Roman"/>
                <w:szCs w:val="16"/>
              </w:rPr>
            </w:pPr>
            <w:r>
              <w:rPr>
                <w:rFonts w:ascii="Times New Roman" w:hAnsi="Times New Roman"/>
                <w:szCs w:val="16"/>
              </w:rPr>
              <w:t>FY 2013</w:t>
            </w:r>
          </w:p>
        </w:tc>
      </w:tr>
      <w:tr w:rsidR="005E0F48" w:rsidRPr="00762F09" w:rsidTr="00C6433C">
        <w:trPr>
          <w:cantSplit/>
          <w:trHeight w:val="404"/>
          <w:tblHeader/>
        </w:trPr>
        <w:tc>
          <w:tcPr>
            <w:tcW w:w="3860" w:type="dxa"/>
            <w:gridSpan w:val="2"/>
            <w:vMerge/>
            <w:tcBorders>
              <w:top w:val="single" w:sz="4" w:space="0" w:color="auto"/>
              <w:left w:val="single" w:sz="8" w:space="0" w:color="auto"/>
              <w:bottom w:val="single" w:sz="4" w:space="0" w:color="000000"/>
              <w:right w:val="single" w:sz="4" w:space="0" w:color="000000"/>
            </w:tcBorders>
            <w:vAlign w:val="center"/>
          </w:tcPr>
          <w:p w:rsidR="005E0F48" w:rsidRPr="00762F09" w:rsidRDefault="005E0F48" w:rsidP="00C6433C">
            <w:pPr>
              <w:spacing w:before="100" w:beforeAutospacing="1" w:after="100" w:afterAutospacing="1"/>
              <w:rPr>
                <w:rFonts w:eastAsia="Arial Unicode MS"/>
                <w:b/>
                <w:szCs w:val="16"/>
              </w:rPr>
            </w:pP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bottom"/>
          </w:tcPr>
          <w:p w:rsidR="005E0F48" w:rsidRPr="00762F09" w:rsidRDefault="005E0F48" w:rsidP="00C6433C">
            <w:pPr>
              <w:spacing w:before="100" w:beforeAutospacing="1" w:after="100" w:afterAutospacing="1"/>
              <w:jc w:val="center"/>
              <w:rPr>
                <w:rFonts w:eastAsia="Arial Unicode MS"/>
                <w:b/>
                <w:szCs w:val="16"/>
              </w:rPr>
            </w:pPr>
            <w:r w:rsidRPr="00762F09">
              <w:rPr>
                <w:b/>
                <w:szCs w:val="16"/>
              </w:rPr>
              <w:t xml:space="preserve">Actual </w:t>
            </w:r>
          </w:p>
        </w:tc>
        <w:tc>
          <w:tcPr>
            <w:tcW w:w="9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5E0F48" w:rsidRPr="00762F09" w:rsidRDefault="005E0F48" w:rsidP="00C6433C">
            <w:pPr>
              <w:spacing w:before="100" w:beforeAutospacing="1" w:after="100" w:afterAutospacing="1"/>
              <w:jc w:val="center"/>
              <w:rPr>
                <w:b/>
                <w:szCs w:val="16"/>
              </w:rPr>
            </w:pPr>
            <w:r w:rsidRPr="00762F09">
              <w:rPr>
                <w:b/>
                <w:szCs w:val="16"/>
              </w:rPr>
              <w:t>Actual</w:t>
            </w:r>
          </w:p>
        </w:tc>
        <w:tc>
          <w:tcPr>
            <w:tcW w:w="10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bottom"/>
          </w:tcPr>
          <w:p w:rsidR="005E0F48" w:rsidRPr="00762F09" w:rsidRDefault="005E0F48" w:rsidP="00C6433C">
            <w:pPr>
              <w:spacing w:before="100" w:beforeAutospacing="1" w:after="100" w:afterAutospacing="1"/>
              <w:jc w:val="center"/>
              <w:rPr>
                <w:rFonts w:eastAsia="Arial Unicode MS"/>
                <w:b/>
                <w:szCs w:val="16"/>
              </w:rPr>
            </w:pPr>
            <w:r w:rsidRPr="00762F09">
              <w:rPr>
                <w:b/>
                <w:szCs w:val="16"/>
              </w:rPr>
              <w:t xml:space="preserve">Actual </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5E0F48" w:rsidRPr="00762F09" w:rsidRDefault="005E0F48" w:rsidP="00C6433C">
            <w:pPr>
              <w:spacing w:before="100" w:beforeAutospacing="1" w:after="100" w:afterAutospacing="1"/>
              <w:jc w:val="center"/>
              <w:rPr>
                <w:rFonts w:eastAsia="Arial Unicode MS"/>
                <w:b/>
                <w:szCs w:val="16"/>
              </w:rPr>
            </w:pPr>
            <w:r w:rsidRPr="00762F09">
              <w:rPr>
                <w:b/>
                <w:szCs w:val="16"/>
              </w:rPr>
              <w:t xml:space="preserve">Actual </w:t>
            </w:r>
          </w:p>
        </w:tc>
        <w:tc>
          <w:tcPr>
            <w:tcW w:w="1080" w:type="dxa"/>
            <w:tcBorders>
              <w:top w:val="nil"/>
              <w:left w:val="nil"/>
              <w:bottom w:val="single" w:sz="4" w:space="0" w:color="auto"/>
              <w:right w:val="single" w:sz="4" w:space="0" w:color="auto"/>
            </w:tcBorders>
            <w:tcMar>
              <w:top w:w="20" w:type="dxa"/>
              <w:left w:w="20" w:type="dxa"/>
              <w:bottom w:w="0" w:type="dxa"/>
              <w:right w:w="20" w:type="dxa"/>
            </w:tcMar>
            <w:vAlign w:val="bottom"/>
          </w:tcPr>
          <w:p w:rsidR="005E0F48" w:rsidRPr="00762F09" w:rsidRDefault="005E0F48" w:rsidP="00C6433C">
            <w:pPr>
              <w:spacing w:before="100" w:beforeAutospacing="1" w:after="100" w:afterAutospacing="1"/>
              <w:jc w:val="center"/>
              <w:rPr>
                <w:rFonts w:eastAsia="Arial Unicode MS"/>
                <w:b/>
                <w:szCs w:val="16"/>
              </w:rPr>
            </w:pPr>
            <w:r w:rsidRPr="00762F09">
              <w:rPr>
                <w:b/>
                <w:szCs w:val="16"/>
              </w:rPr>
              <w:t xml:space="preserve">Actual </w:t>
            </w:r>
          </w:p>
        </w:tc>
        <w:tc>
          <w:tcPr>
            <w:tcW w:w="1218" w:type="dxa"/>
            <w:tcBorders>
              <w:top w:val="nil"/>
              <w:left w:val="nil"/>
              <w:bottom w:val="single" w:sz="4" w:space="0" w:color="auto"/>
              <w:right w:val="single" w:sz="4" w:space="0" w:color="auto"/>
            </w:tcBorders>
            <w:tcMar>
              <w:top w:w="20" w:type="dxa"/>
              <w:left w:w="20" w:type="dxa"/>
              <w:bottom w:w="0" w:type="dxa"/>
              <w:right w:w="20" w:type="dxa"/>
            </w:tcMar>
            <w:vAlign w:val="bottom"/>
          </w:tcPr>
          <w:p w:rsidR="005E0F48" w:rsidRPr="00762F09" w:rsidRDefault="005E0F48" w:rsidP="00C6433C">
            <w:pPr>
              <w:spacing w:before="100" w:beforeAutospacing="1" w:after="100" w:afterAutospacing="1"/>
              <w:jc w:val="center"/>
              <w:rPr>
                <w:rFonts w:eastAsia="Arial Unicode MS"/>
                <w:b/>
                <w:szCs w:val="16"/>
              </w:rPr>
            </w:pPr>
            <w:r w:rsidRPr="00762F09">
              <w:rPr>
                <w:b/>
                <w:szCs w:val="16"/>
              </w:rPr>
              <w:t>Actual</w:t>
            </w:r>
          </w:p>
        </w:tc>
        <w:tc>
          <w:tcPr>
            <w:tcW w:w="76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5E0F48" w:rsidRPr="00762F09" w:rsidRDefault="005E0F48" w:rsidP="00C6433C">
            <w:pPr>
              <w:spacing w:before="100" w:beforeAutospacing="1" w:after="100" w:afterAutospacing="1"/>
              <w:jc w:val="center"/>
              <w:rPr>
                <w:rFonts w:eastAsia="Arial Unicode MS"/>
                <w:b/>
                <w:szCs w:val="16"/>
              </w:rPr>
            </w:pPr>
            <w:r w:rsidRPr="00762F09">
              <w:rPr>
                <w:b/>
                <w:szCs w:val="16"/>
              </w:rPr>
              <w:t>Target</w:t>
            </w:r>
          </w:p>
        </w:tc>
        <w:tc>
          <w:tcPr>
            <w:tcW w:w="900" w:type="dxa"/>
            <w:tcBorders>
              <w:top w:val="single" w:sz="4" w:space="0" w:color="auto"/>
              <w:left w:val="single" w:sz="4" w:space="0" w:color="auto"/>
              <w:bottom w:val="single" w:sz="4" w:space="0" w:color="auto"/>
              <w:right w:val="single" w:sz="4" w:space="0" w:color="auto"/>
            </w:tcBorders>
            <w:vAlign w:val="bottom"/>
          </w:tcPr>
          <w:p w:rsidR="005E0F48" w:rsidRPr="00762F09" w:rsidRDefault="005E0F48" w:rsidP="00C6433C">
            <w:pPr>
              <w:spacing w:before="100" w:beforeAutospacing="1" w:after="100" w:afterAutospacing="1"/>
              <w:jc w:val="center"/>
              <w:rPr>
                <w:rFonts w:eastAsia="Arial Unicode MS"/>
                <w:b/>
                <w:szCs w:val="16"/>
              </w:rPr>
            </w:pPr>
            <w:r w:rsidRPr="00762F09">
              <w:rPr>
                <w:b/>
                <w:szCs w:val="16"/>
              </w:rPr>
              <w:t xml:space="preserve">Actual </w:t>
            </w:r>
          </w:p>
        </w:tc>
        <w:tc>
          <w:tcPr>
            <w:tcW w:w="1260" w:type="dxa"/>
            <w:tcBorders>
              <w:top w:val="nil"/>
              <w:left w:val="single" w:sz="4" w:space="0" w:color="auto"/>
              <w:bottom w:val="single" w:sz="4" w:space="0" w:color="auto"/>
              <w:right w:val="single" w:sz="4" w:space="0" w:color="auto"/>
            </w:tcBorders>
            <w:vAlign w:val="bottom"/>
          </w:tcPr>
          <w:p w:rsidR="005E0F48" w:rsidRPr="00762F09" w:rsidRDefault="005E0F48" w:rsidP="00C6433C">
            <w:pPr>
              <w:pStyle w:val="xl33"/>
              <w:spacing w:beforeAutospacing="1" w:afterAutospacing="1"/>
              <w:rPr>
                <w:rFonts w:ascii="Times New Roman" w:hAnsi="Times New Roman"/>
                <w:szCs w:val="16"/>
              </w:rPr>
            </w:pPr>
            <w:r w:rsidRPr="00762F09">
              <w:rPr>
                <w:rFonts w:ascii="Times New Roman" w:hAnsi="Times New Roman"/>
                <w:szCs w:val="16"/>
              </w:rPr>
              <w:t>Target</w:t>
            </w:r>
          </w:p>
        </w:tc>
        <w:tc>
          <w:tcPr>
            <w:tcW w:w="14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5E0F48" w:rsidRPr="00762F09" w:rsidRDefault="005E0F48" w:rsidP="00C6433C">
            <w:pPr>
              <w:pStyle w:val="xl33"/>
              <w:spacing w:beforeAutospacing="1" w:afterAutospacing="1"/>
              <w:rPr>
                <w:rFonts w:ascii="Times New Roman" w:hAnsi="Times New Roman"/>
                <w:szCs w:val="16"/>
              </w:rPr>
            </w:pPr>
            <w:r w:rsidRPr="00762F09">
              <w:rPr>
                <w:rFonts w:ascii="Times New Roman" w:hAnsi="Times New Roman"/>
                <w:szCs w:val="16"/>
              </w:rPr>
              <w:t>Target</w:t>
            </w:r>
          </w:p>
        </w:tc>
      </w:tr>
      <w:tr w:rsidR="005E0F48" w:rsidRPr="00762F09" w:rsidTr="00C6433C">
        <w:trPr>
          <w:trHeight w:val="438"/>
        </w:trPr>
        <w:tc>
          <w:tcPr>
            <w:tcW w:w="1430" w:type="dxa"/>
            <w:tcBorders>
              <w:top w:val="nil"/>
              <w:left w:val="single" w:sz="8" w:space="0" w:color="auto"/>
              <w:bottom w:val="single" w:sz="4" w:space="0" w:color="auto"/>
              <w:right w:val="nil"/>
            </w:tcBorders>
            <w:tcMar>
              <w:top w:w="20" w:type="dxa"/>
              <w:left w:w="20" w:type="dxa"/>
              <w:bottom w:w="0" w:type="dxa"/>
              <w:right w:w="20" w:type="dxa"/>
            </w:tcMar>
          </w:tcPr>
          <w:p w:rsidR="005E0F48" w:rsidRPr="00762F09" w:rsidRDefault="005E0F48" w:rsidP="00C6433C">
            <w:pPr>
              <w:spacing w:before="100" w:beforeAutospacing="1" w:after="100" w:afterAutospacing="1"/>
              <w:jc w:val="center"/>
              <w:rPr>
                <w:sz w:val="22"/>
                <w:szCs w:val="22"/>
              </w:rPr>
            </w:pPr>
            <w:r w:rsidRPr="00762F09">
              <w:rPr>
                <w:sz w:val="22"/>
                <w:szCs w:val="22"/>
              </w:rPr>
              <w:t>OUTCOME</w:t>
            </w:r>
            <w:r>
              <w:rPr>
                <w:sz w:val="22"/>
                <w:szCs w:val="22"/>
              </w:rPr>
              <w:t xml:space="preserve">  </w:t>
            </w:r>
            <w:r w:rsidRPr="00762F09">
              <w:rPr>
                <w:sz w:val="22"/>
                <w:szCs w:val="22"/>
              </w:rPr>
              <w:t>Measure</w:t>
            </w:r>
          </w:p>
        </w:tc>
        <w:tc>
          <w:tcPr>
            <w:tcW w:w="2430" w:type="dxa"/>
            <w:tcBorders>
              <w:top w:val="nil"/>
              <w:left w:val="single" w:sz="4" w:space="0" w:color="auto"/>
              <w:bottom w:val="single" w:sz="4" w:space="0" w:color="auto"/>
              <w:right w:val="nil"/>
            </w:tcBorders>
            <w:tcMar>
              <w:top w:w="20" w:type="dxa"/>
              <w:left w:w="20" w:type="dxa"/>
              <w:bottom w:w="0" w:type="dxa"/>
              <w:right w:w="20" w:type="dxa"/>
            </w:tcMar>
            <w:vAlign w:val="center"/>
          </w:tcPr>
          <w:p w:rsidR="005E0F48" w:rsidRPr="00762F09" w:rsidRDefault="005E0F48" w:rsidP="00C6433C">
            <w:pPr>
              <w:spacing w:before="100" w:beforeAutospacing="1" w:after="100" w:afterAutospacing="1"/>
              <w:rPr>
                <w:rFonts w:eastAsia="Arial Unicode MS"/>
                <w:sz w:val="22"/>
                <w:szCs w:val="22"/>
              </w:rPr>
            </w:pPr>
            <w:r>
              <w:rPr>
                <w:rFonts w:eastAsia="Arial Unicode MS"/>
                <w:sz w:val="22"/>
                <w:szCs w:val="22"/>
              </w:rPr>
              <w:t>Reduce the risk to public safety caused by illegal firearms trafficking</w:t>
            </w:r>
          </w:p>
        </w:tc>
        <w:tc>
          <w:tcPr>
            <w:tcW w:w="90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N/A</w:t>
            </w:r>
          </w:p>
        </w:tc>
        <w:tc>
          <w:tcPr>
            <w:tcW w:w="9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N/A</w:t>
            </w:r>
          </w:p>
        </w:tc>
        <w:tc>
          <w:tcPr>
            <w:tcW w:w="121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100.4</w:t>
            </w:r>
          </w:p>
        </w:tc>
        <w:tc>
          <w:tcPr>
            <w:tcW w:w="762"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100</w:t>
            </w:r>
          </w:p>
        </w:tc>
        <w:tc>
          <w:tcPr>
            <w:tcW w:w="900" w:type="dxa"/>
            <w:tcBorders>
              <w:top w:val="single" w:sz="4" w:space="0" w:color="auto"/>
              <w:left w:val="nil"/>
              <w:bottom w:val="single" w:sz="4" w:space="0" w:color="auto"/>
              <w:right w:val="single" w:sz="4" w:space="0" w:color="auto"/>
            </w:tcBorders>
            <w:shd w:val="clear" w:color="auto" w:fill="B3B3B3"/>
            <w:tcMar>
              <w:top w:w="20" w:type="dxa"/>
              <w:left w:w="20" w:type="dxa"/>
              <w:bottom w:w="0" w:type="dxa"/>
              <w:right w:w="20" w:type="dxa"/>
            </w:tcMar>
            <w:vAlign w:val="center"/>
          </w:tcPr>
          <w:p w:rsidR="005E0F48" w:rsidRPr="0032011B" w:rsidRDefault="004F10A1" w:rsidP="004F10A1">
            <w:pPr>
              <w:spacing w:before="100" w:beforeAutospacing="1" w:after="100" w:afterAutospacing="1"/>
              <w:jc w:val="center"/>
            </w:pPr>
            <w:r w:rsidRPr="0032011B">
              <w:t>100.8</w:t>
            </w:r>
          </w:p>
        </w:tc>
        <w:tc>
          <w:tcPr>
            <w:tcW w:w="12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rPr>
            </w:pPr>
            <w:r>
              <w:rPr>
                <w:rFonts w:eastAsia="Arial Unicode MS"/>
              </w:rPr>
              <w:t>89</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81887" w:rsidP="00C6433C">
            <w:pPr>
              <w:spacing w:before="100" w:beforeAutospacing="1" w:after="100" w:afterAutospacing="1"/>
              <w:jc w:val="center"/>
              <w:rPr>
                <w:rFonts w:eastAsia="Arial Unicode MS"/>
              </w:rPr>
            </w:pPr>
            <w:r>
              <w:rPr>
                <w:rFonts w:eastAsia="Arial Unicode MS"/>
              </w:rPr>
              <w:t>88</w:t>
            </w:r>
          </w:p>
        </w:tc>
      </w:tr>
      <w:tr w:rsidR="005E0F48" w:rsidRPr="00762F09" w:rsidTr="00C6433C">
        <w:trPr>
          <w:trHeight w:val="438"/>
        </w:trPr>
        <w:tc>
          <w:tcPr>
            <w:tcW w:w="1430" w:type="dxa"/>
            <w:tcBorders>
              <w:top w:val="nil"/>
              <w:left w:val="single" w:sz="8" w:space="0" w:color="auto"/>
              <w:bottom w:val="single" w:sz="4" w:space="0" w:color="auto"/>
              <w:right w:val="nil"/>
            </w:tcBorders>
            <w:tcMar>
              <w:top w:w="20" w:type="dxa"/>
              <w:left w:w="20" w:type="dxa"/>
              <w:bottom w:w="0" w:type="dxa"/>
              <w:right w:w="20" w:type="dxa"/>
            </w:tcMar>
          </w:tcPr>
          <w:p w:rsidR="005E0F48" w:rsidRPr="00762F09" w:rsidRDefault="005E0F48" w:rsidP="00C6433C">
            <w:pPr>
              <w:spacing w:before="100" w:beforeAutospacing="1" w:after="100" w:afterAutospacing="1"/>
              <w:jc w:val="center"/>
              <w:rPr>
                <w:sz w:val="22"/>
                <w:szCs w:val="22"/>
              </w:rPr>
            </w:pPr>
            <w:r w:rsidRPr="00762F09">
              <w:rPr>
                <w:sz w:val="22"/>
                <w:szCs w:val="22"/>
              </w:rPr>
              <w:t>OUTCOME</w:t>
            </w:r>
            <w:r>
              <w:rPr>
                <w:sz w:val="22"/>
                <w:szCs w:val="22"/>
              </w:rPr>
              <w:t xml:space="preserve">  </w:t>
            </w:r>
            <w:r w:rsidRPr="00762F09">
              <w:rPr>
                <w:sz w:val="22"/>
                <w:szCs w:val="22"/>
              </w:rPr>
              <w:t>Measure</w:t>
            </w:r>
          </w:p>
        </w:tc>
        <w:tc>
          <w:tcPr>
            <w:tcW w:w="2430" w:type="dxa"/>
            <w:tcBorders>
              <w:top w:val="nil"/>
              <w:left w:val="single" w:sz="4" w:space="0" w:color="auto"/>
              <w:bottom w:val="single" w:sz="4" w:space="0" w:color="auto"/>
              <w:right w:val="nil"/>
            </w:tcBorders>
            <w:tcMar>
              <w:top w:w="20" w:type="dxa"/>
              <w:left w:w="20" w:type="dxa"/>
              <w:bottom w:w="0" w:type="dxa"/>
              <w:right w:w="20" w:type="dxa"/>
            </w:tcMar>
            <w:vAlign w:val="center"/>
          </w:tcPr>
          <w:p w:rsidR="005E0F48" w:rsidRPr="00762F09" w:rsidRDefault="005E0F48" w:rsidP="00C6433C">
            <w:pPr>
              <w:spacing w:before="100" w:beforeAutospacing="1" w:after="100" w:afterAutospacing="1"/>
              <w:rPr>
                <w:rFonts w:eastAsia="Arial Unicode MS"/>
                <w:sz w:val="22"/>
                <w:szCs w:val="22"/>
              </w:rPr>
            </w:pPr>
            <w:r>
              <w:rPr>
                <w:rFonts w:eastAsia="Arial Unicode MS"/>
                <w:sz w:val="22"/>
                <w:szCs w:val="22"/>
              </w:rPr>
              <w:t>Reduce the risk to public safety caused by criminal possession and use of firearms</w:t>
            </w:r>
          </w:p>
        </w:tc>
        <w:tc>
          <w:tcPr>
            <w:tcW w:w="90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N/A</w:t>
            </w:r>
          </w:p>
        </w:tc>
        <w:tc>
          <w:tcPr>
            <w:tcW w:w="9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2306F9">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2306F9">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2306F9">
              <w:t>N/A</w:t>
            </w:r>
          </w:p>
        </w:tc>
        <w:tc>
          <w:tcPr>
            <w:tcW w:w="121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99.8</w:t>
            </w:r>
          </w:p>
        </w:tc>
        <w:tc>
          <w:tcPr>
            <w:tcW w:w="762"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100</w:t>
            </w:r>
          </w:p>
        </w:tc>
        <w:tc>
          <w:tcPr>
            <w:tcW w:w="900" w:type="dxa"/>
            <w:tcBorders>
              <w:top w:val="single" w:sz="4" w:space="0" w:color="auto"/>
              <w:left w:val="nil"/>
              <w:bottom w:val="single" w:sz="4" w:space="0" w:color="auto"/>
              <w:right w:val="single" w:sz="4" w:space="0" w:color="auto"/>
            </w:tcBorders>
            <w:shd w:val="clear" w:color="auto" w:fill="B3B3B3"/>
            <w:tcMar>
              <w:top w:w="20" w:type="dxa"/>
              <w:left w:w="20" w:type="dxa"/>
              <w:bottom w:w="0" w:type="dxa"/>
              <w:right w:w="20" w:type="dxa"/>
            </w:tcMar>
            <w:vAlign w:val="center"/>
          </w:tcPr>
          <w:p w:rsidR="005E0F48" w:rsidRPr="0032011B" w:rsidRDefault="004F10A1" w:rsidP="004F10A1">
            <w:pPr>
              <w:spacing w:before="100" w:beforeAutospacing="1" w:after="100" w:afterAutospacing="1"/>
              <w:jc w:val="center"/>
            </w:pPr>
            <w:r w:rsidRPr="0032011B">
              <w:t>100.6</w:t>
            </w:r>
          </w:p>
        </w:tc>
        <w:tc>
          <w:tcPr>
            <w:tcW w:w="12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rPr>
            </w:pPr>
            <w:r>
              <w:rPr>
                <w:rFonts w:eastAsia="Arial Unicode MS"/>
              </w:rPr>
              <w:t>79</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rPr>
            </w:pPr>
            <w:r>
              <w:rPr>
                <w:rFonts w:eastAsia="Arial Unicode MS"/>
              </w:rPr>
              <w:t>7</w:t>
            </w:r>
            <w:r w:rsidR="00581887">
              <w:rPr>
                <w:rFonts w:eastAsia="Arial Unicode MS"/>
              </w:rPr>
              <w:t>6</w:t>
            </w:r>
          </w:p>
        </w:tc>
      </w:tr>
      <w:tr w:rsidR="005E0F48" w:rsidRPr="00762F09" w:rsidTr="00C6433C">
        <w:trPr>
          <w:trHeight w:val="438"/>
        </w:trPr>
        <w:tc>
          <w:tcPr>
            <w:tcW w:w="1430" w:type="dxa"/>
            <w:tcBorders>
              <w:top w:val="nil"/>
              <w:left w:val="single" w:sz="8" w:space="0" w:color="auto"/>
              <w:bottom w:val="single" w:sz="4" w:space="0" w:color="auto"/>
              <w:right w:val="nil"/>
            </w:tcBorders>
            <w:tcMar>
              <w:top w:w="20" w:type="dxa"/>
              <w:left w:w="20" w:type="dxa"/>
              <w:bottom w:w="0" w:type="dxa"/>
              <w:right w:w="20" w:type="dxa"/>
            </w:tcMar>
          </w:tcPr>
          <w:p w:rsidR="005E0F48" w:rsidRPr="00762F09" w:rsidRDefault="005E0F48" w:rsidP="00C6433C">
            <w:pPr>
              <w:spacing w:before="100" w:beforeAutospacing="1" w:after="100" w:afterAutospacing="1"/>
              <w:jc w:val="center"/>
              <w:rPr>
                <w:sz w:val="22"/>
                <w:szCs w:val="22"/>
              </w:rPr>
            </w:pPr>
            <w:r w:rsidRPr="00762F09">
              <w:rPr>
                <w:sz w:val="22"/>
                <w:szCs w:val="22"/>
              </w:rPr>
              <w:t>OUTCOME</w:t>
            </w:r>
            <w:r>
              <w:rPr>
                <w:sz w:val="22"/>
                <w:szCs w:val="22"/>
              </w:rPr>
              <w:t xml:space="preserve">  </w:t>
            </w:r>
            <w:r w:rsidRPr="00762F09">
              <w:rPr>
                <w:sz w:val="22"/>
                <w:szCs w:val="22"/>
              </w:rPr>
              <w:t>Measure</w:t>
            </w:r>
          </w:p>
        </w:tc>
        <w:tc>
          <w:tcPr>
            <w:tcW w:w="2430" w:type="dxa"/>
            <w:tcBorders>
              <w:top w:val="nil"/>
              <w:left w:val="single" w:sz="4" w:space="0" w:color="auto"/>
              <w:bottom w:val="single" w:sz="4" w:space="0" w:color="auto"/>
              <w:right w:val="nil"/>
            </w:tcBorders>
            <w:tcMar>
              <w:top w:w="20" w:type="dxa"/>
              <w:left w:w="20" w:type="dxa"/>
              <w:bottom w:w="0" w:type="dxa"/>
              <w:right w:w="20" w:type="dxa"/>
            </w:tcMar>
            <w:vAlign w:val="center"/>
          </w:tcPr>
          <w:p w:rsidR="005E0F48" w:rsidRPr="00762F09" w:rsidRDefault="005E0F48" w:rsidP="00C6433C">
            <w:pPr>
              <w:spacing w:before="100" w:beforeAutospacing="1" w:after="100" w:afterAutospacing="1"/>
              <w:rPr>
                <w:rFonts w:eastAsia="Arial Unicode MS"/>
                <w:sz w:val="22"/>
                <w:szCs w:val="22"/>
              </w:rPr>
            </w:pPr>
            <w:r>
              <w:rPr>
                <w:rFonts w:eastAsia="Arial Unicode MS"/>
                <w:sz w:val="22"/>
                <w:szCs w:val="22"/>
              </w:rPr>
              <w:t>Reduce the risk to public safety caused by criminal organizations and gangs</w:t>
            </w:r>
          </w:p>
        </w:tc>
        <w:tc>
          <w:tcPr>
            <w:tcW w:w="90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B34450">
              <w:t>N/A</w:t>
            </w:r>
          </w:p>
        </w:tc>
        <w:tc>
          <w:tcPr>
            <w:tcW w:w="9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B34450">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B34450">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B34450">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B34450">
              <w:t>N/A</w:t>
            </w:r>
          </w:p>
        </w:tc>
        <w:tc>
          <w:tcPr>
            <w:tcW w:w="121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95.8</w:t>
            </w:r>
          </w:p>
        </w:tc>
        <w:tc>
          <w:tcPr>
            <w:tcW w:w="762"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100</w:t>
            </w:r>
          </w:p>
        </w:tc>
        <w:tc>
          <w:tcPr>
            <w:tcW w:w="900" w:type="dxa"/>
            <w:tcBorders>
              <w:top w:val="single" w:sz="4" w:space="0" w:color="auto"/>
              <w:left w:val="nil"/>
              <w:bottom w:val="single" w:sz="4" w:space="0" w:color="auto"/>
              <w:right w:val="single" w:sz="4" w:space="0" w:color="auto"/>
            </w:tcBorders>
            <w:shd w:val="clear" w:color="auto" w:fill="B3B3B3"/>
            <w:tcMar>
              <w:top w:w="20" w:type="dxa"/>
              <w:left w:w="20" w:type="dxa"/>
              <w:bottom w:w="0" w:type="dxa"/>
              <w:right w:w="20" w:type="dxa"/>
            </w:tcMar>
            <w:vAlign w:val="center"/>
          </w:tcPr>
          <w:p w:rsidR="005E0F48" w:rsidRPr="0032011B" w:rsidRDefault="004F10A1" w:rsidP="004F10A1">
            <w:pPr>
              <w:spacing w:before="100" w:beforeAutospacing="1" w:after="100" w:afterAutospacing="1"/>
              <w:jc w:val="center"/>
            </w:pPr>
            <w:r w:rsidRPr="0032011B">
              <w:t>96.8</w:t>
            </w:r>
          </w:p>
        </w:tc>
        <w:tc>
          <w:tcPr>
            <w:tcW w:w="12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rPr>
            </w:pPr>
            <w:r>
              <w:rPr>
                <w:rFonts w:eastAsia="Arial Unicode MS"/>
              </w:rPr>
              <w:t>74</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81887" w:rsidP="00C6433C">
            <w:pPr>
              <w:spacing w:before="100" w:beforeAutospacing="1" w:after="100" w:afterAutospacing="1"/>
              <w:jc w:val="center"/>
              <w:rPr>
                <w:rFonts w:eastAsia="Arial Unicode MS"/>
              </w:rPr>
            </w:pPr>
            <w:r>
              <w:rPr>
                <w:rFonts w:eastAsia="Arial Unicode MS"/>
              </w:rPr>
              <w:t>73</w:t>
            </w:r>
          </w:p>
        </w:tc>
      </w:tr>
      <w:tr w:rsidR="005E0F48" w:rsidRPr="00762F09" w:rsidTr="00C6433C">
        <w:trPr>
          <w:trHeight w:val="438"/>
        </w:trPr>
        <w:tc>
          <w:tcPr>
            <w:tcW w:w="1430" w:type="dxa"/>
            <w:tcBorders>
              <w:top w:val="nil"/>
              <w:left w:val="single" w:sz="8" w:space="0" w:color="auto"/>
              <w:bottom w:val="single" w:sz="4" w:space="0" w:color="auto"/>
              <w:right w:val="nil"/>
            </w:tcBorders>
            <w:tcMar>
              <w:top w:w="20" w:type="dxa"/>
              <w:left w:w="20" w:type="dxa"/>
              <w:bottom w:w="0" w:type="dxa"/>
              <w:right w:w="20" w:type="dxa"/>
            </w:tcMar>
          </w:tcPr>
          <w:p w:rsidR="005E0F48" w:rsidRPr="00762F09" w:rsidRDefault="005E0F48" w:rsidP="00C6433C">
            <w:pPr>
              <w:spacing w:before="100" w:beforeAutospacing="1" w:after="100" w:afterAutospacing="1"/>
              <w:jc w:val="center"/>
              <w:rPr>
                <w:sz w:val="22"/>
                <w:szCs w:val="22"/>
              </w:rPr>
            </w:pPr>
            <w:r w:rsidRPr="00762F09">
              <w:rPr>
                <w:sz w:val="22"/>
                <w:szCs w:val="22"/>
              </w:rPr>
              <w:t>OUTCOME</w:t>
            </w:r>
            <w:r>
              <w:rPr>
                <w:sz w:val="22"/>
                <w:szCs w:val="22"/>
              </w:rPr>
              <w:t xml:space="preserve">  </w:t>
            </w:r>
            <w:r w:rsidRPr="00762F09">
              <w:rPr>
                <w:sz w:val="22"/>
                <w:szCs w:val="22"/>
              </w:rPr>
              <w:t>Measure</w:t>
            </w:r>
          </w:p>
        </w:tc>
        <w:tc>
          <w:tcPr>
            <w:tcW w:w="2430" w:type="dxa"/>
            <w:tcBorders>
              <w:top w:val="nil"/>
              <w:left w:val="single" w:sz="4" w:space="0" w:color="auto"/>
              <w:bottom w:val="single" w:sz="4" w:space="0" w:color="auto"/>
              <w:right w:val="nil"/>
            </w:tcBorders>
            <w:tcMar>
              <w:top w:w="20" w:type="dxa"/>
              <w:left w:w="20" w:type="dxa"/>
              <w:bottom w:w="0" w:type="dxa"/>
              <w:right w:w="20" w:type="dxa"/>
            </w:tcMar>
            <w:vAlign w:val="bottom"/>
          </w:tcPr>
          <w:p w:rsidR="005E0F48" w:rsidRPr="00762F09" w:rsidRDefault="005E0F48" w:rsidP="00C6433C">
            <w:pPr>
              <w:spacing w:before="100" w:beforeAutospacing="1" w:after="100" w:afterAutospacing="1"/>
              <w:rPr>
                <w:rFonts w:eastAsia="Arial Unicode MS"/>
                <w:sz w:val="22"/>
                <w:szCs w:val="22"/>
              </w:rPr>
            </w:pPr>
            <w:r>
              <w:rPr>
                <w:sz w:val="22"/>
                <w:szCs w:val="22"/>
              </w:rPr>
              <w:t xml:space="preserve">Improve public safety by increasing compliance with </w:t>
            </w:r>
            <w:r w:rsidR="00D31D89">
              <w:rPr>
                <w:sz w:val="22"/>
                <w:szCs w:val="22"/>
              </w:rPr>
              <w:t>Federal</w:t>
            </w:r>
            <w:r>
              <w:rPr>
                <w:sz w:val="22"/>
                <w:szCs w:val="22"/>
              </w:rPr>
              <w:t xml:space="preserve"> laws and regulations by firearms industry members</w:t>
            </w:r>
          </w:p>
        </w:tc>
        <w:tc>
          <w:tcPr>
            <w:tcW w:w="90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5F4AEB">
              <w:t>N/A</w:t>
            </w:r>
          </w:p>
        </w:tc>
        <w:tc>
          <w:tcPr>
            <w:tcW w:w="9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5F4AEB">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5F4AEB">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5F4AEB">
              <w:t>N/A</w:t>
            </w:r>
          </w:p>
        </w:tc>
        <w:tc>
          <w:tcPr>
            <w:tcW w:w="10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rsidRPr="005F4AEB">
              <w:t>N/A</w:t>
            </w:r>
          </w:p>
        </w:tc>
        <w:tc>
          <w:tcPr>
            <w:tcW w:w="121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98.7</w:t>
            </w:r>
          </w:p>
        </w:tc>
        <w:tc>
          <w:tcPr>
            <w:tcW w:w="762"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pPr>
            <w:r>
              <w:t>100</w:t>
            </w:r>
          </w:p>
        </w:tc>
        <w:tc>
          <w:tcPr>
            <w:tcW w:w="900" w:type="dxa"/>
            <w:tcBorders>
              <w:top w:val="single" w:sz="4" w:space="0" w:color="auto"/>
              <w:left w:val="nil"/>
              <w:bottom w:val="single" w:sz="4" w:space="0" w:color="auto"/>
              <w:right w:val="single" w:sz="4" w:space="0" w:color="auto"/>
            </w:tcBorders>
            <w:shd w:val="clear" w:color="auto" w:fill="B3B3B3"/>
            <w:tcMar>
              <w:top w:w="20" w:type="dxa"/>
              <w:left w:w="20" w:type="dxa"/>
              <w:bottom w:w="0" w:type="dxa"/>
              <w:right w:w="20" w:type="dxa"/>
            </w:tcMar>
            <w:vAlign w:val="center"/>
          </w:tcPr>
          <w:p w:rsidR="005E0F48" w:rsidRPr="0032011B" w:rsidRDefault="004F10A1" w:rsidP="004F10A1">
            <w:pPr>
              <w:spacing w:before="100" w:beforeAutospacing="1" w:after="100" w:afterAutospacing="1"/>
              <w:jc w:val="center"/>
            </w:pPr>
            <w:r w:rsidRPr="0032011B">
              <w:t>102.2</w:t>
            </w:r>
          </w:p>
        </w:tc>
        <w:tc>
          <w:tcPr>
            <w:tcW w:w="12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rPr>
            </w:pPr>
            <w:r>
              <w:rPr>
                <w:rFonts w:eastAsia="Arial Unicode MS"/>
              </w:rPr>
              <w:t>70</w:t>
            </w:r>
          </w:p>
        </w:tc>
        <w:tc>
          <w:tcPr>
            <w:tcW w:w="144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5E0F48" w:rsidRPr="00762F09" w:rsidRDefault="005E0F48" w:rsidP="00C6433C">
            <w:pPr>
              <w:spacing w:before="100" w:beforeAutospacing="1" w:after="100" w:afterAutospacing="1"/>
              <w:jc w:val="center"/>
              <w:rPr>
                <w:rFonts w:eastAsia="Arial Unicode MS"/>
              </w:rPr>
            </w:pPr>
            <w:r>
              <w:rPr>
                <w:rFonts w:eastAsia="Arial Unicode MS"/>
              </w:rPr>
              <w:t>7</w:t>
            </w:r>
            <w:r w:rsidR="00581887">
              <w:rPr>
                <w:rFonts w:eastAsia="Arial Unicode MS"/>
              </w:rPr>
              <w:t>1</w:t>
            </w:r>
          </w:p>
        </w:tc>
      </w:tr>
    </w:tbl>
    <w:p w:rsidR="00C6433C" w:rsidRDefault="00C6433C" w:rsidP="005E0F48"/>
    <w:p w:rsidR="005E0F48" w:rsidRPr="00B6553B" w:rsidRDefault="005E0F48" w:rsidP="005E0F48">
      <w:pPr>
        <w:rPr>
          <w:color w:val="FF00FF"/>
          <w:sz w:val="18"/>
          <w:szCs w:val="18"/>
        </w:rPr>
      </w:pPr>
    </w:p>
    <w:p w:rsidR="00717B89" w:rsidRDefault="00717B89">
      <w:pPr>
        <w:rPr>
          <w:color w:val="000000"/>
          <w:sz w:val="16"/>
          <w:szCs w:val="16"/>
        </w:rPr>
        <w:sectPr w:rsidR="00717B89" w:rsidSect="00A2059B">
          <w:headerReference w:type="even" r:id="rId37"/>
          <w:headerReference w:type="default" r:id="rId38"/>
          <w:footerReference w:type="default" r:id="rId39"/>
          <w:headerReference w:type="first" r:id="rId40"/>
          <w:pgSz w:w="15840" w:h="12240" w:orient="landscape" w:code="1"/>
          <w:pgMar w:top="450" w:right="1440" w:bottom="1440" w:left="1440" w:header="720" w:footer="720" w:gutter="0"/>
          <w:cols w:space="720"/>
          <w:docGrid w:linePitch="360"/>
        </w:sectPr>
      </w:pPr>
    </w:p>
    <w:p w:rsidR="005E0F48" w:rsidRPr="00762F09" w:rsidRDefault="00F056A0" w:rsidP="00717B89">
      <w:pPr>
        <w:spacing w:before="100" w:beforeAutospacing="1" w:after="100" w:afterAutospacing="1"/>
        <w:jc w:val="both"/>
        <w:rPr>
          <w:b/>
          <w:bCs/>
        </w:rPr>
      </w:pPr>
      <w:r>
        <w:rPr>
          <w:b/>
          <w:bCs/>
        </w:rPr>
        <w:lastRenderedPageBreak/>
        <w:t>3</w:t>
      </w:r>
      <w:r w:rsidR="00672B39">
        <w:rPr>
          <w:b/>
          <w:bCs/>
        </w:rPr>
        <w:t>.</w:t>
      </w:r>
      <w:r w:rsidR="005E0F48">
        <w:rPr>
          <w:b/>
          <w:bCs/>
        </w:rPr>
        <w:t xml:space="preserve"> </w:t>
      </w:r>
      <w:r w:rsidR="005E0F48" w:rsidRPr="00762F09">
        <w:rPr>
          <w:b/>
          <w:bCs/>
        </w:rPr>
        <w:t xml:space="preserve">Performance, Resources, and Strategies </w:t>
      </w:r>
      <w:r w:rsidR="005E0F48">
        <w:rPr>
          <w:b/>
          <w:bCs/>
        </w:rPr>
        <w:t>(Firearms)</w:t>
      </w:r>
    </w:p>
    <w:p w:rsidR="005E0F48" w:rsidRPr="00762F09" w:rsidRDefault="005E0F48" w:rsidP="005E0F48">
      <w:pPr>
        <w:spacing w:before="100" w:beforeAutospacing="1" w:after="100" w:afterAutospacing="1"/>
        <w:rPr>
          <w:bCs/>
        </w:rPr>
      </w:pPr>
      <w:r w:rsidRPr="00762F09">
        <w:rPr>
          <w:bCs/>
        </w:rPr>
        <w:t xml:space="preserve">ATF </w:t>
      </w:r>
      <w:r w:rsidRPr="00762F09">
        <w:t>specializes in</w:t>
      </w:r>
      <w:r w:rsidRPr="00762F09">
        <w:rPr>
          <w:bCs/>
        </w:rPr>
        <w:t xml:space="preserve"> </w:t>
      </w:r>
      <w:r>
        <w:t>investigating</w:t>
      </w:r>
      <w:r w:rsidRPr="00762F09">
        <w:t xml:space="preserve"> sources of illegal crime guns</w:t>
      </w:r>
      <w:r>
        <w:t>;</w:t>
      </w:r>
      <w:r w:rsidRPr="00762F09">
        <w:t xml:space="preserve"> the illegal acquisition of firearms</w:t>
      </w:r>
      <w:r>
        <w:t>;</w:t>
      </w:r>
      <w:r w:rsidRPr="00762F09">
        <w:t xml:space="preserve"> </w:t>
      </w:r>
      <w:r>
        <w:t xml:space="preserve">and the </w:t>
      </w:r>
      <w:r w:rsidRPr="00762F09">
        <w:t>possession, use, and trafficking of firearms at the national and international level.</w:t>
      </w:r>
      <w:r w:rsidRPr="00762F09">
        <w:rPr>
          <w:bCs/>
        </w:rPr>
        <w:t xml:space="preserve">  ATF align</w:t>
      </w:r>
      <w:r>
        <w:rPr>
          <w:bCs/>
        </w:rPr>
        <w:t>s</w:t>
      </w:r>
      <w:r w:rsidRPr="00762F09">
        <w:rPr>
          <w:bCs/>
        </w:rPr>
        <w:t xml:space="preserve"> assets to maximize performance </w:t>
      </w:r>
      <w:r>
        <w:rPr>
          <w:bCs/>
        </w:rPr>
        <w:t>by</w:t>
      </w:r>
      <w:r w:rsidRPr="00762F09">
        <w:rPr>
          <w:bCs/>
        </w:rPr>
        <w:t xml:space="preserve"> leveraging </w:t>
      </w:r>
      <w:r>
        <w:rPr>
          <w:bCs/>
        </w:rPr>
        <w:t xml:space="preserve">forensic, </w:t>
      </w:r>
      <w:r w:rsidRPr="00762F09">
        <w:rPr>
          <w:bCs/>
        </w:rPr>
        <w:t>technical, scientific</w:t>
      </w:r>
      <w:r>
        <w:rPr>
          <w:bCs/>
        </w:rPr>
        <w:t xml:space="preserve"> and</w:t>
      </w:r>
      <w:r w:rsidRPr="00762F09">
        <w:rPr>
          <w:bCs/>
        </w:rPr>
        <w:t xml:space="preserve"> legal expertise, and </w:t>
      </w:r>
      <w:r>
        <w:rPr>
          <w:bCs/>
        </w:rPr>
        <w:t xml:space="preserve">sustaining </w:t>
      </w:r>
      <w:r w:rsidRPr="00762F09">
        <w:rPr>
          <w:bCs/>
        </w:rPr>
        <w:t>partnerships with other law enforcement agencies.</w:t>
      </w:r>
    </w:p>
    <w:p w:rsidR="005E0F48" w:rsidRPr="00762F09" w:rsidRDefault="005E0F48" w:rsidP="005E0F48">
      <w:pPr>
        <w:pStyle w:val="BodyText"/>
        <w:numPr>
          <w:ilvl w:val="0"/>
          <w:numId w:val="4"/>
        </w:numPr>
        <w:spacing w:before="100" w:beforeAutospacing="1" w:after="100" w:afterAutospacing="1"/>
        <w:rPr>
          <w:b/>
          <w:bCs/>
          <w:szCs w:val="24"/>
        </w:rPr>
      </w:pPr>
      <w:r w:rsidRPr="00762F09">
        <w:rPr>
          <w:b/>
          <w:bCs/>
          <w:szCs w:val="24"/>
        </w:rPr>
        <w:t>Performance Plan and Report for Outcomes</w:t>
      </w:r>
    </w:p>
    <w:p w:rsidR="005E0F48" w:rsidRPr="001C775F" w:rsidRDefault="005E0F48" w:rsidP="005E0F48">
      <w:pPr>
        <w:rPr>
          <w:szCs w:val="22"/>
        </w:rPr>
      </w:pPr>
      <w:r w:rsidRPr="001C775F">
        <w:rPr>
          <w:szCs w:val="22"/>
        </w:rPr>
        <w:t xml:space="preserve">ATF has developed a Performance Index to measure ATF’s 10 core functions as well as the strategic goals and strategic objectives.  The Index includes a performance goal </w:t>
      </w:r>
      <w:r w:rsidR="00D31D89">
        <w:rPr>
          <w:szCs w:val="22"/>
        </w:rPr>
        <w:t>state</w:t>
      </w:r>
      <w:r w:rsidRPr="001C775F">
        <w:rPr>
          <w:szCs w:val="22"/>
        </w:rPr>
        <w:t>ment for each core function</w:t>
      </w:r>
      <w:r w:rsidR="008D3355">
        <w:rPr>
          <w:szCs w:val="22"/>
        </w:rPr>
        <w:t>.</w:t>
      </w:r>
      <w:r w:rsidRPr="001C775F">
        <w:rPr>
          <w:szCs w:val="22"/>
        </w:rPr>
        <w:t xml:space="preserve">  ATF’s outcome-based performance goal </w:t>
      </w:r>
      <w:r w:rsidR="00D31D89">
        <w:rPr>
          <w:szCs w:val="22"/>
        </w:rPr>
        <w:t>state</w:t>
      </w:r>
      <w:r w:rsidRPr="001C775F">
        <w:rPr>
          <w:szCs w:val="22"/>
        </w:rPr>
        <w:t>ments are shown below:</w:t>
      </w:r>
    </w:p>
    <w:p w:rsidR="005E0F48" w:rsidRPr="001C775F" w:rsidRDefault="005E0F48" w:rsidP="005E0F48">
      <w:pPr>
        <w:rPr>
          <w:szCs w:val="22"/>
        </w:rPr>
      </w:pPr>
    </w:p>
    <w:tbl>
      <w:tblPr>
        <w:tblW w:w="8204" w:type="dxa"/>
        <w:jc w:val="center"/>
        <w:tblInd w:w="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4" w:type="dxa"/>
          <w:right w:w="14" w:type="dxa"/>
        </w:tblCellMar>
        <w:tblLook w:val="04A0"/>
      </w:tblPr>
      <w:tblGrid>
        <w:gridCol w:w="2752"/>
        <w:gridCol w:w="5452"/>
      </w:tblGrid>
      <w:tr w:rsidR="005E0F48" w:rsidRPr="00716AF8" w:rsidTr="007D4B70">
        <w:trPr>
          <w:trHeight w:val="288"/>
          <w:jc w:val="center"/>
        </w:trPr>
        <w:tc>
          <w:tcPr>
            <w:tcW w:w="2752" w:type="dxa"/>
            <w:tcBorders>
              <w:bottom w:val="single" w:sz="8" w:space="0" w:color="000000"/>
            </w:tcBorders>
            <w:tcMar>
              <w:top w:w="43" w:type="dxa"/>
              <w:left w:w="43" w:type="dxa"/>
              <w:bottom w:w="43" w:type="dxa"/>
              <w:right w:w="43" w:type="dxa"/>
            </w:tcMar>
            <w:vAlign w:val="center"/>
          </w:tcPr>
          <w:p w:rsidR="005E0F48" w:rsidRPr="001C775F" w:rsidRDefault="005E0F48" w:rsidP="007D4B70">
            <w:pPr>
              <w:jc w:val="center"/>
              <w:rPr>
                <w:b/>
                <w:i/>
              </w:rPr>
            </w:pPr>
            <w:r w:rsidRPr="001C775F">
              <w:rPr>
                <w:b/>
                <w:i/>
                <w:szCs w:val="22"/>
              </w:rPr>
              <w:t>Core Function</w:t>
            </w:r>
          </w:p>
        </w:tc>
        <w:tc>
          <w:tcPr>
            <w:tcW w:w="5452" w:type="dxa"/>
            <w:tcBorders>
              <w:bottom w:val="single" w:sz="8" w:space="0" w:color="000000"/>
            </w:tcBorders>
            <w:vAlign w:val="center"/>
          </w:tcPr>
          <w:p w:rsidR="005E0F48" w:rsidRPr="001C775F" w:rsidRDefault="005E0F48" w:rsidP="007D4B70">
            <w:pPr>
              <w:jc w:val="center"/>
              <w:rPr>
                <w:b/>
                <w:i/>
              </w:rPr>
            </w:pPr>
            <w:r w:rsidRPr="001C775F">
              <w:rPr>
                <w:b/>
                <w:i/>
                <w:szCs w:val="22"/>
              </w:rPr>
              <w:t xml:space="preserve">Performance Goal </w:t>
            </w:r>
            <w:r w:rsidR="00D31D89">
              <w:rPr>
                <w:b/>
                <w:i/>
                <w:szCs w:val="22"/>
              </w:rPr>
              <w:t>State</w:t>
            </w:r>
            <w:r w:rsidRPr="001C775F">
              <w:rPr>
                <w:b/>
                <w:i/>
                <w:szCs w:val="22"/>
              </w:rPr>
              <w:t>ment</w:t>
            </w:r>
          </w:p>
        </w:tc>
      </w:tr>
      <w:tr w:rsidR="005E0F48" w:rsidRPr="00716AF8" w:rsidTr="007D4B70">
        <w:trPr>
          <w:trHeight w:val="562"/>
          <w:jc w:val="center"/>
        </w:trPr>
        <w:tc>
          <w:tcPr>
            <w:tcW w:w="2752" w:type="dxa"/>
            <w:shd w:val="clear" w:color="auto" w:fill="F2F2F2"/>
            <w:tcMar>
              <w:top w:w="43" w:type="dxa"/>
              <w:left w:w="43" w:type="dxa"/>
              <w:bottom w:w="43" w:type="dxa"/>
              <w:right w:w="43" w:type="dxa"/>
            </w:tcMar>
            <w:vAlign w:val="center"/>
          </w:tcPr>
          <w:p w:rsidR="005E0F48" w:rsidRPr="001C775F" w:rsidRDefault="005E0F48" w:rsidP="007D4B70">
            <w:pPr>
              <w:jc w:val="center"/>
              <w:rPr>
                <w:b/>
              </w:rPr>
            </w:pPr>
            <w:r w:rsidRPr="001C775F">
              <w:rPr>
                <w:b/>
                <w:szCs w:val="22"/>
              </w:rPr>
              <w:t>Illegal Firearms Trafficking</w:t>
            </w:r>
          </w:p>
        </w:tc>
        <w:tc>
          <w:tcPr>
            <w:tcW w:w="5452" w:type="dxa"/>
            <w:shd w:val="clear" w:color="auto" w:fill="F2F2F2"/>
            <w:tcMar>
              <w:top w:w="43" w:type="dxa"/>
              <w:left w:w="43" w:type="dxa"/>
              <w:bottom w:w="43" w:type="dxa"/>
              <w:right w:w="43" w:type="dxa"/>
            </w:tcMar>
            <w:vAlign w:val="center"/>
          </w:tcPr>
          <w:p w:rsidR="005E0F48" w:rsidRPr="001C775F" w:rsidRDefault="005E0F48" w:rsidP="007D4B70">
            <w:pPr>
              <w:jc w:val="center"/>
            </w:pPr>
            <w:r w:rsidRPr="001C775F">
              <w:rPr>
                <w:szCs w:val="22"/>
              </w:rPr>
              <w:t>Reduce the risk to public safety caused by illegal firearms trafficking</w:t>
            </w:r>
          </w:p>
        </w:tc>
      </w:tr>
      <w:tr w:rsidR="005E0F48" w:rsidRPr="00716AF8" w:rsidTr="007D4B70">
        <w:trPr>
          <w:trHeight w:val="836"/>
          <w:jc w:val="center"/>
        </w:trPr>
        <w:tc>
          <w:tcPr>
            <w:tcW w:w="2752" w:type="dxa"/>
            <w:shd w:val="clear" w:color="auto" w:fill="F2F2F2"/>
            <w:tcMar>
              <w:top w:w="43" w:type="dxa"/>
              <w:left w:w="43" w:type="dxa"/>
              <w:bottom w:w="43" w:type="dxa"/>
              <w:right w:w="43" w:type="dxa"/>
            </w:tcMar>
            <w:vAlign w:val="center"/>
          </w:tcPr>
          <w:p w:rsidR="005E0F48" w:rsidRPr="001C775F" w:rsidRDefault="005E0F48" w:rsidP="007D4B70">
            <w:pPr>
              <w:jc w:val="center"/>
              <w:rPr>
                <w:b/>
              </w:rPr>
            </w:pPr>
            <w:r w:rsidRPr="001C775F">
              <w:rPr>
                <w:b/>
                <w:szCs w:val="22"/>
              </w:rPr>
              <w:t>Firearms Criminal Possession and Use</w:t>
            </w:r>
          </w:p>
        </w:tc>
        <w:tc>
          <w:tcPr>
            <w:tcW w:w="5452" w:type="dxa"/>
            <w:shd w:val="clear" w:color="auto" w:fill="F2F2F2"/>
            <w:tcMar>
              <w:top w:w="43" w:type="dxa"/>
              <w:left w:w="43" w:type="dxa"/>
              <w:bottom w:w="43" w:type="dxa"/>
              <w:right w:w="43" w:type="dxa"/>
            </w:tcMar>
            <w:vAlign w:val="center"/>
          </w:tcPr>
          <w:p w:rsidR="005E0F48" w:rsidRPr="001C775F" w:rsidRDefault="005E0F48" w:rsidP="007D4B70">
            <w:pPr>
              <w:jc w:val="center"/>
            </w:pPr>
            <w:r w:rsidRPr="001C775F">
              <w:rPr>
                <w:szCs w:val="22"/>
              </w:rPr>
              <w:t>Reduce the risk to public safety caused by criminal possession and use of firearms</w:t>
            </w:r>
          </w:p>
        </w:tc>
      </w:tr>
      <w:tr w:rsidR="005E0F48" w:rsidRPr="00716AF8" w:rsidTr="007D4B70">
        <w:trPr>
          <w:trHeight w:val="836"/>
          <w:jc w:val="center"/>
        </w:trPr>
        <w:tc>
          <w:tcPr>
            <w:tcW w:w="2752" w:type="dxa"/>
            <w:shd w:val="clear" w:color="auto" w:fill="F2F2F2"/>
            <w:tcMar>
              <w:top w:w="43" w:type="dxa"/>
              <w:left w:w="43" w:type="dxa"/>
              <w:bottom w:w="43" w:type="dxa"/>
              <w:right w:w="43" w:type="dxa"/>
            </w:tcMar>
            <w:vAlign w:val="center"/>
          </w:tcPr>
          <w:p w:rsidR="005E0F48" w:rsidRPr="001C775F" w:rsidRDefault="005E0F48" w:rsidP="007D4B70">
            <w:pPr>
              <w:jc w:val="center"/>
              <w:rPr>
                <w:b/>
              </w:rPr>
            </w:pPr>
            <w:r w:rsidRPr="001C775F">
              <w:rPr>
                <w:b/>
                <w:szCs w:val="22"/>
              </w:rPr>
              <w:t>Firearms Industry Operations</w:t>
            </w:r>
          </w:p>
        </w:tc>
        <w:tc>
          <w:tcPr>
            <w:tcW w:w="5452" w:type="dxa"/>
            <w:shd w:val="clear" w:color="auto" w:fill="F2F2F2"/>
            <w:tcMar>
              <w:top w:w="43" w:type="dxa"/>
              <w:left w:w="43" w:type="dxa"/>
              <w:bottom w:w="43" w:type="dxa"/>
              <w:right w:w="43" w:type="dxa"/>
            </w:tcMar>
            <w:vAlign w:val="center"/>
          </w:tcPr>
          <w:p w:rsidR="005E0F48" w:rsidRPr="001C775F" w:rsidRDefault="005E0F48" w:rsidP="007D4B70">
            <w:pPr>
              <w:jc w:val="center"/>
            </w:pPr>
            <w:r w:rsidRPr="001C775F">
              <w:rPr>
                <w:szCs w:val="22"/>
              </w:rPr>
              <w:t xml:space="preserve">Improve public safety by increasing compliance with </w:t>
            </w:r>
            <w:r w:rsidR="00D31D89">
              <w:rPr>
                <w:szCs w:val="22"/>
              </w:rPr>
              <w:t>Federal</w:t>
            </w:r>
            <w:r w:rsidRPr="001C775F">
              <w:rPr>
                <w:szCs w:val="22"/>
              </w:rPr>
              <w:t xml:space="preserve"> laws and regulations by firearms industry members</w:t>
            </w:r>
          </w:p>
        </w:tc>
      </w:tr>
      <w:tr w:rsidR="005E0F48" w:rsidRPr="00716AF8" w:rsidTr="007D4B70">
        <w:trPr>
          <w:trHeight w:val="562"/>
          <w:jc w:val="center"/>
        </w:trPr>
        <w:tc>
          <w:tcPr>
            <w:tcW w:w="2752" w:type="dxa"/>
            <w:shd w:val="clear" w:color="auto" w:fill="F2F2F2"/>
            <w:tcMar>
              <w:top w:w="43" w:type="dxa"/>
              <w:left w:w="43" w:type="dxa"/>
              <w:bottom w:w="43" w:type="dxa"/>
              <w:right w:w="43" w:type="dxa"/>
            </w:tcMar>
            <w:vAlign w:val="center"/>
          </w:tcPr>
          <w:p w:rsidR="005E0F48" w:rsidRPr="001C775F" w:rsidRDefault="005E0F48" w:rsidP="007D4B70">
            <w:pPr>
              <w:jc w:val="center"/>
              <w:rPr>
                <w:b/>
              </w:rPr>
            </w:pPr>
            <w:r w:rsidRPr="001C775F">
              <w:rPr>
                <w:b/>
                <w:szCs w:val="22"/>
              </w:rPr>
              <w:t>Criminal Groups and Gangs</w:t>
            </w:r>
          </w:p>
        </w:tc>
        <w:tc>
          <w:tcPr>
            <w:tcW w:w="5452" w:type="dxa"/>
            <w:shd w:val="clear" w:color="auto" w:fill="F2F2F2"/>
            <w:tcMar>
              <w:top w:w="43" w:type="dxa"/>
              <w:left w:w="43" w:type="dxa"/>
              <w:bottom w:w="43" w:type="dxa"/>
              <w:right w:w="43" w:type="dxa"/>
            </w:tcMar>
            <w:vAlign w:val="center"/>
          </w:tcPr>
          <w:p w:rsidR="005E0F48" w:rsidRPr="001C775F" w:rsidRDefault="005E0F48" w:rsidP="007D4B70">
            <w:pPr>
              <w:jc w:val="center"/>
            </w:pPr>
            <w:r w:rsidRPr="001C775F">
              <w:rPr>
                <w:szCs w:val="22"/>
              </w:rPr>
              <w:t>Reduce the risk to public safety caused by criminal organizations and gangs</w:t>
            </w:r>
          </w:p>
        </w:tc>
      </w:tr>
      <w:tr w:rsidR="005E0F48" w:rsidRPr="00716AF8" w:rsidTr="007D4B70">
        <w:trPr>
          <w:trHeight w:val="836"/>
          <w:jc w:val="center"/>
        </w:trPr>
        <w:tc>
          <w:tcPr>
            <w:tcW w:w="2752" w:type="dxa"/>
            <w:shd w:val="clear" w:color="auto" w:fill="F2F2F2"/>
            <w:tcMar>
              <w:top w:w="43" w:type="dxa"/>
              <w:left w:w="43" w:type="dxa"/>
              <w:bottom w:w="43" w:type="dxa"/>
              <w:right w:w="43" w:type="dxa"/>
            </w:tcMar>
            <w:vAlign w:val="center"/>
          </w:tcPr>
          <w:p w:rsidR="005E0F48" w:rsidRPr="001C775F" w:rsidRDefault="005E0F48" w:rsidP="007D4B70">
            <w:pPr>
              <w:jc w:val="center"/>
              <w:rPr>
                <w:b/>
              </w:rPr>
            </w:pPr>
            <w:r w:rsidRPr="001C775F">
              <w:rPr>
                <w:b/>
                <w:szCs w:val="22"/>
              </w:rPr>
              <w:t>Explosives, Bombs, and Bombings</w:t>
            </w:r>
          </w:p>
        </w:tc>
        <w:tc>
          <w:tcPr>
            <w:tcW w:w="5452" w:type="dxa"/>
            <w:shd w:val="clear" w:color="auto" w:fill="F2F2F2"/>
            <w:tcMar>
              <w:top w:w="43" w:type="dxa"/>
              <w:left w:w="43" w:type="dxa"/>
              <w:bottom w:w="43" w:type="dxa"/>
              <w:right w:w="43" w:type="dxa"/>
            </w:tcMar>
            <w:vAlign w:val="center"/>
          </w:tcPr>
          <w:p w:rsidR="005E0F48" w:rsidRPr="001C775F" w:rsidRDefault="005E0F48" w:rsidP="007D4B70">
            <w:pPr>
              <w:jc w:val="center"/>
            </w:pPr>
            <w:r w:rsidRPr="001C775F">
              <w:rPr>
                <w:szCs w:val="22"/>
              </w:rPr>
              <w:t>Reduce the risk to public safety caused by bombs and explosives</w:t>
            </w:r>
          </w:p>
        </w:tc>
      </w:tr>
      <w:tr w:rsidR="005E0F48" w:rsidRPr="00716AF8" w:rsidTr="007D4B70">
        <w:trPr>
          <w:trHeight w:val="836"/>
          <w:jc w:val="center"/>
        </w:trPr>
        <w:tc>
          <w:tcPr>
            <w:tcW w:w="2752" w:type="dxa"/>
            <w:shd w:val="clear" w:color="auto" w:fill="F2F2F2"/>
            <w:tcMar>
              <w:top w:w="43" w:type="dxa"/>
              <w:left w:w="43" w:type="dxa"/>
              <w:bottom w:w="43" w:type="dxa"/>
              <w:right w:w="43" w:type="dxa"/>
            </w:tcMar>
            <w:vAlign w:val="center"/>
          </w:tcPr>
          <w:p w:rsidR="005E0F48" w:rsidRPr="001C775F" w:rsidRDefault="005E0F48" w:rsidP="007D4B70">
            <w:pPr>
              <w:jc w:val="center"/>
              <w:rPr>
                <w:b/>
              </w:rPr>
            </w:pPr>
            <w:r w:rsidRPr="001C775F">
              <w:rPr>
                <w:b/>
                <w:szCs w:val="22"/>
              </w:rPr>
              <w:t>Explosives Industry Operations</w:t>
            </w:r>
          </w:p>
        </w:tc>
        <w:tc>
          <w:tcPr>
            <w:tcW w:w="5452" w:type="dxa"/>
            <w:shd w:val="clear" w:color="auto" w:fill="F2F2F2"/>
            <w:tcMar>
              <w:top w:w="43" w:type="dxa"/>
              <w:left w:w="43" w:type="dxa"/>
              <w:bottom w:w="43" w:type="dxa"/>
              <w:right w:w="43" w:type="dxa"/>
            </w:tcMar>
            <w:vAlign w:val="center"/>
          </w:tcPr>
          <w:p w:rsidR="005E0F48" w:rsidRPr="001C775F" w:rsidRDefault="005E0F48" w:rsidP="007D4B70">
            <w:pPr>
              <w:jc w:val="center"/>
            </w:pPr>
            <w:r w:rsidRPr="001C775F">
              <w:rPr>
                <w:szCs w:val="22"/>
              </w:rPr>
              <w:t xml:space="preserve">Improve public safety by increasing compliance with </w:t>
            </w:r>
            <w:r w:rsidR="00D31D89">
              <w:rPr>
                <w:szCs w:val="22"/>
              </w:rPr>
              <w:t>Federal</w:t>
            </w:r>
            <w:r w:rsidRPr="001C775F">
              <w:rPr>
                <w:szCs w:val="22"/>
              </w:rPr>
              <w:t xml:space="preserve"> laws and regulations by explosives industry members</w:t>
            </w:r>
          </w:p>
        </w:tc>
      </w:tr>
      <w:tr w:rsidR="005E0F48" w:rsidRPr="00716AF8" w:rsidTr="007D4B70">
        <w:trPr>
          <w:trHeight w:val="547"/>
          <w:jc w:val="center"/>
        </w:trPr>
        <w:tc>
          <w:tcPr>
            <w:tcW w:w="2752" w:type="dxa"/>
            <w:shd w:val="clear" w:color="auto" w:fill="F2F2F2"/>
            <w:tcMar>
              <w:top w:w="43" w:type="dxa"/>
              <w:left w:w="43" w:type="dxa"/>
              <w:bottom w:w="43" w:type="dxa"/>
              <w:right w:w="43" w:type="dxa"/>
            </w:tcMar>
            <w:vAlign w:val="center"/>
          </w:tcPr>
          <w:p w:rsidR="005E0F48" w:rsidRPr="001C775F" w:rsidRDefault="005E0F48" w:rsidP="007D4B70">
            <w:pPr>
              <w:jc w:val="center"/>
              <w:rPr>
                <w:b/>
              </w:rPr>
            </w:pPr>
            <w:r w:rsidRPr="001C775F">
              <w:rPr>
                <w:b/>
                <w:szCs w:val="22"/>
              </w:rPr>
              <w:t>Fire and Arson</w:t>
            </w:r>
          </w:p>
        </w:tc>
        <w:tc>
          <w:tcPr>
            <w:tcW w:w="5452" w:type="dxa"/>
            <w:shd w:val="clear" w:color="auto" w:fill="F2F2F2"/>
            <w:tcMar>
              <w:top w:w="43" w:type="dxa"/>
              <w:left w:w="43" w:type="dxa"/>
              <w:bottom w:w="43" w:type="dxa"/>
              <w:right w:w="43" w:type="dxa"/>
            </w:tcMar>
            <w:vAlign w:val="center"/>
          </w:tcPr>
          <w:p w:rsidR="005E0F48" w:rsidRPr="001C775F" w:rsidRDefault="005E0F48" w:rsidP="007D4B70">
            <w:pPr>
              <w:jc w:val="center"/>
            </w:pPr>
            <w:r w:rsidRPr="001C775F">
              <w:rPr>
                <w:szCs w:val="22"/>
              </w:rPr>
              <w:t>Reduce the risk to public safety caused by the criminal use of fire</w:t>
            </w:r>
          </w:p>
        </w:tc>
      </w:tr>
      <w:tr w:rsidR="005E0F48" w:rsidRPr="00716AF8" w:rsidTr="007D4B70">
        <w:trPr>
          <w:trHeight w:val="562"/>
          <w:jc w:val="center"/>
        </w:trPr>
        <w:tc>
          <w:tcPr>
            <w:tcW w:w="2752" w:type="dxa"/>
            <w:shd w:val="clear" w:color="auto" w:fill="F2F2F2"/>
            <w:tcMar>
              <w:top w:w="43" w:type="dxa"/>
              <w:left w:w="43" w:type="dxa"/>
              <w:bottom w:w="43" w:type="dxa"/>
              <w:right w:w="43" w:type="dxa"/>
            </w:tcMar>
            <w:vAlign w:val="center"/>
          </w:tcPr>
          <w:p w:rsidR="005E0F48" w:rsidRPr="001C775F" w:rsidRDefault="005E0F48" w:rsidP="007D4B70">
            <w:pPr>
              <w:jc w:val="center"/>
              <w:rPr>
                <w:b/>
              </w:rPr>
            </w:pPr>
            <w:r w:rsidRPr="001C775F">
              <w:rPr>
                <w:b/>
                <w:szCs w:val="22"/>
              </w:rPr>
              <w:t>Alcohol and Tobacco</w:t>
            </w:r>
          </w:p>
        </w:tc>
        <w:tc>
          <w:tcPr>
            <w:tcW w:w="5452" w:type="dxa"/>
            <w:shd w:val="clear" w:color="auto" w:fill="F2F2F2"/>
            <w:tcMar>
              <w:top w:w="43" w:type="dxa"/>
              <w:left w:w="43" w:type="dxa"/>
              <w:bottom w:w="43" w:type="dxa"/>
              <w:right w:w="43" w:type="dxa"/>
            </w:tcMar>
            <w:vAlign w:val="center"/>
          </w:tcPr>
          <w:p w:rsidR="005E0F48" w:rsidRPr="001C775F" w:rsidRDefault="005E0F48" w:rsidP="007D4B70">
            <w:pPr>
              <w:jc w:val="center"/>
            </w:pPr>
            <w:r>
              <w:rPr>
                <w:szCs w:val="22"/>
              </w:rPr>
              <w:t>Reduce the risk to public safety and r</w:t>
            </w:r>
            <w:r w:rsidRPr="001C775F">
              <w:rPr>
                <w:szCs w:val="22"/>
              </w:rPr>
              <w:t>educe the loss of tax revenues caused by contraband alcohol and tobacco trafficking</w:t>
            </w:r>
          </w:p>
        </w:tc>
      </w:tr>
      <w:tr w:rsidR="005E0F48" w:rsidRPr="00716AF8" w:rsidTr="007D4B70">
        <w:trPr>
          <w:trHeight w:val="547"/>
          <w:jc w:val="center"/>
        </w:trPr>
        <w:tc>
          <w:tcPr>
            <w:tcW w:w="2752" w:type="dxa"/>
            <w:shd w:val="clear" w:color="auto" w:fill="F2F2F2"/>
            <w:tcMar>
              <w:top w:w="43" w:type="dxa"/>
              <w:left w:w="43" w:type="dxa"/>
              <w:bottom w:w="43" w:type="dxa"/>
              <w:right w:w="43" w:type="dxa"/>
            </w:tcMar>
            <w:vAlign w:val="center"/>
          </w:tcPr>
          <w:p w:rsidR="005E0F48" w:rsidRPr="001C775F" w:rsidRDefault="005E0F48" w:rsidP="007D4B70">
            <w:pPr>
              <w:jc w:val="center"/>
              <w:rPr>
                <w:b/>
              </w:rPr>
            </w:pPr>
            <w:r w:rsidRPr="001C775F">
              <w:rPr>
                <w:b/>
                <w:szCs w:val="22"/>
              </w:rPr>
              <w:t>Modernization</w:t>
            </w:r>
          </w:p>
        </w:tc>
        <w:tc>
          <w:tcPr>
            <w:tcW w:w="5452" w:type="dxa"/>
            <w:shd w:val="clear" w:color="auto" w:fill="F2F2F2"/>
            <w:tcMar>
              <w:top w:w="43" w:type="dxa"/>
              <w:left w:w="43" w:type="dxa"/>
              <w:bottom w:w="43" w:type="dxa"/>
              <w:right w:w="43" w:type="dxa"/>
            </w:tcMar>
            <w:vAlign w:val="center"/>
          </w:tcPr>
          <w:p w:rsidR="005E0F48" w:rsidRPr="001C775F" w:rsidRDefault="005E0F48" w:rsidP="007D4B70">
            <w:pPr>
              <w:jc w:val="center"/>
            </w:pPr>
            <w:r w:rsidRPr="001C775F">
              <w:rPr>
                <w:szCs w:val="22"/>
              </w:rPr>
              <w:t>Modernize business processes and systems for improved mission effectiveness and transparency</w:t>
            </w:r>
          </w:p>
        </w:tc>
      </w:tr>
      <w:tr w:rsidR="005E0F48" w:rsidRPr="00716AF8" w:rsidTr="007D4B70">
        <w:trPr>
          <w:trHeight w:val="562"/>
          <w:jc w:val="center"/>
        </w:trPr>
        <w:tc>
          <w:tcPr>
            <w:tcW w:w="2752" w:type="dxa"/>
            <w:shd w:val="clear" w:color="auto" w:fill="F2F2F2"/>
            <w:tcMar>
              <w:top w:w="43" w:type="dxa"/>
              <w:left w:w="43" w:type="dxa"/>
              <w:bottom w:w="43" w:type="dxa"/>
              <w:right w:w="43" w:type="dxa"/>
            </w:tcMar>
            <w:vAlign w:val="center"/>
          </w:tcPr>
          <w:p w:rsidR="005E0F48" w:rsidRPr="001C775F" w:rsidRDefault="005E0F48" w:rsidP="007D4B70">
            <w:pPr>
              <w:jc w:val="center"/>
              <w:rPr>
                <w:b/>
              </w:rPr>
            </w:pPr>
            <w:r w:rsidRPr="001C775F">
              <w:rPr>
                <w:b/>
                <w:szCs w:val="22"/>
              </w:rPr>
              <w:t>Workforce</w:t>
            </w:r>
          </w:p>
        </w:tc>
        <w:tc>
          <w:tcPr>
            <w:tcW w:w="5452" w:type="dxa"/>
            <w:shd w:val="clear" w:color="auto" w:fill="F2F2F2"/>
            <w:tcMar>
              <w:top w:w="43" w:type="dxa"/>
              <w:left w:w="43" w:type="dxa"/>
              <w:bottom w:w="43" w:type="dxa"/>
              <w:right w:w="43" w:type="dxa"/>
            </w:tcMar>
            <w:vAlign w:val="center"/>
          </w:tcPr>
          <w:p w:rsidR="005E0F48" w:rsidRPr="001C775F" w:rsidRDefault="005E0F48" w:rsidP="007D4B70">
            <w:pPr>
              <w:jc w:val="center"/>
            </w:pPr>
            <w:r w:rsidRPr="001C775F">
              <w:rPr>
                <w:szCs w:val="22"/>
              </w:rPr>
              <w:t>Attract, develop, and retain an expert workforce to execute the ATF mission</w:t>
            </w:r>
          </w:p>
        </w:tc>
      </w:tr>
    </w:tbl>
    <w:p w:rsidR="005E0F48" w:rsidRPr="001C775F" w:rsidRDefault="005E0F48" w:rsidP="005E0F48">
      <w:pPr>
        <w:rPr>
          <w:szCs w:val="22"/>
        </w:rPr>
      </w:pPr>
    </w:p>
    <w:p w:rsidR="001B185A" w:rsidRDefault="005E0F48" w:rsidP="005E0F48">
      <w:pPr>
        <w:rPr>
          <w:szCs w:val="22"/>
        </w:rPr>
      </w:pPr>
      <w:r w:rsidRPr="001C775F">
        <w:rPr>
          <w:szCs w:val="22"/>
        </w:rPr>
        <w:lastRenderedPageBreak/>
        <w:t xml:space="preserve">In the Index, each performance goal </w:t>
      </w:r>
      <w:r w:rsidR="00D31D89">
        <w:rPr>
          <w:szCs w:val="22"/>
        </w:rPr>
        <w:t>state</w:t>
      </w:r>
      <w:r w:rsidRPr="001C775F">
        <w:rPr>
          <w:szCs w:val="22"/>
        </w:rPr>
        <w:t xml:space="preserve">ment aligns with specified strategic objectives and their corresponding performance indicators. </w:t>
      </w:r>
      <w:r w:rsidR="00AF4047">
        <w:rPr>
          <w:szCs w:val="22"/>
        </w:rPr>
        <w:t xml:space="preserve"> </w:t>
      </w:r>
      <w:r w:rsidRPr="001C775F">
        <w:rPr>
          <w:szCs w:val="22"/>
        </w:rPr>
        <w:t xml:space="preserve">This structure allows ATF to evaluate performance at each level: enterprise, budget decision unit, core function/performance goal </w:t>
      </w:r>
      <w:r w:rsidR="00D31D89">
        <w:rPr>
          <w:szCs w:val="22"/>
        </w:rPr>
        <w:t>state</w:t>
      </w:r>
      <w:r w:rsidRPr="001C775F">
        <w:rPr>
          <w:szCs w:val="22"/>
        </w:rPr>
        <w:t xml:space="preserve">ment, and strategic objective, </w:t>
      </w:r>
      <w:r>
        <w:rPr>
          <w:szCs w:val="22"/>
        </w:rPr>
        <w:t xml:space="preserve">and to use </w:t>
      </w:r>
      <w:r w:rsidRPr="001C775F">
        <w:rPr>
          <w:szCs w:val="22"/>
        </w:rPr>
        <w:t>performance indicators to track progress against targets.</w:t>
      </w:r>
      <w:r w:rsidR="001B185A" w:rsidRPr="001B185A">
        <w:rPr>
          <w:szCs w:val="22"/>
        </w:rPr>
        <w:t xml:space="preserve"> </w:t>
      </w:r>
    </w:p>
    <w:p w:rsidR="001B185A" w:rsidRDefault="001B185A" w:rsidP="005E0F48">
      <w:pPr>
        <w:rPr>
          <w:szCs w:val="22"/>
        </w:rPr>
      </w:pPr>
    </w:p>
    <w:p w:rsidR="008D3355" w:rsidRDefault="006C7F18" w:rsidP="005E0F48">
      <w:pPr>
        <w:rPr>
          <w:szCs w:val="22"/>
        </w:rPr>
      </w:pPr>
      <w:r>
        <w:rPr>
          <w:szCs w:val="22"/>
        </w:rPr>
      </w:r>
      <w:r>
        <w:rPr>
          <w:szCs w:val="22"/>
        </w:rPr>
        <w:pict>
          <v:group id="_x0000_s1319" editas="canvas" alt="The graphic on page 32 describes ATF's Strategic Impact via a diagram of its decision units with their major activities and their linkages to strategic objectives and performance indicators.  This graphic is illustrative of the &quot;drill down&quot; from a decision unit to actual performance indicators and their linkages.  " style="width:466.1pt;height:319.3pt;mso-position-horizontal-relative:char;mso-position-vertical-relative:line" coordsize="9322,6386">
            <o:lock v:ext="edit" aspectratio="t"/>
            <v:shape id="_x0000_s1318" type="#_x0000_t75" style="position:absolute;width:9322;height:6386" o:preferrelative="f">
              <v:fill o:detectmouseclick="t"/>
              <v:path o:extrusionok="t" o:connecttype="none"/>
              <o:lock v:ext="edit" text="t"/>
            </v:shape>
            <v:group id="_x0000_s1520" style="position:absolute;left:3329;top:49;width:5959;height:6309" coordorigin="3329,49" coordsize="5959,6309">
              <v:shape id="_x0000_s1320" style="position:absolute;left:7654;top:54;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1321" style="position:absolute;left:7885;top:49;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22" style="position:absolute;left:7654;top:241;width:1634;height:170" coordsize="1904,176" path="m,8hdc,4,4,,8,hal1896,hdc1901,,1904,4,1904,8hal1904,168hdc1904,173,1901,176,1896,176hal8,176hdc4,176,,173,,168hal,8hdxm16,168hal8,160r1888,l1888,168r,-160l1896,16,8,16,16,8r,160hdxe" fillcolor="black" strokeweight=".05pt">
                <v:path arrowok="t"/>
                <o:lock v:ext="edit" verticies="t"/>
              </v:shape>
              <v:rect id="_x0000_s1323" style="position:absolute;left:7885;top:237;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24" style="position:absolute;left:7654;top:520;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1325" style="position:absolute;left:7885;top:507;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26" style="position:absolute;left:7654;top:706;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1327" style="position:absolute;left:7885;top:694;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28" style="position:absolute;left:7654;top:970;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1329" style="position:absolute;left:7885;top:969;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30" style="position:absolute;left:7654;top:1157;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1331" style="position:absolute;left:7885;top:1157;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32" style="position:absolute;left:7654;top:1436;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1333" style="position:absolute;left:7885;top:1426;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34" style="position:absolute;left:7654;top:1623;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1335" style="position:absolute;left:7885;top:1614;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36" style="position:absolute;left:7654;top:1886;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1337" style="position:absolute;left:7885;top:1884;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38" style="position:absolute;left:7654;top:2073;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1339" style="position:absolute;left:7885;top:2072;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40" style="position:absolute;left:7654;top:2352;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1341" style="position:absolute;left:7885;top:2342;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42" style="position:absolute;left:7654;top:2539;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1343" style="position:absolute;left:7885;top:2529;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44" style="position:absolute;left:7654;top:2818;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1345" style="position:absolute;left:7885;top:2804;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46" style="position:absolute;left:7654;top:3004;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1347" style="position:absolute;left:7885;top:2991;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48" style="position:absolute;left:7654;top:3268;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1349" style="position:absolute;left:7885;top:3261;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50" style="position:absolute;left:7654;top:3455;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1351" style="position:absolute;left:7885;top:3449;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52" style="position:absolute;left:7654;top:3703;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1353" style="position:absolute;left:7885;top:3699;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54" style="position:absolute;left:7654;top:3889;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1355" style="position:absolute;left:7885;top:3887;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56" style="position:absolute;left:7654;top:4169;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1357" style="position:absolute;left:7885;top:4161;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58" style="position:absolute;left:7654;top:4355;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1359" style="position:absolute;left:7885;top:4349;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60" style="position:absolute;left:7654;top:4619;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1361" style="position:absolute;left:7885;top:4619;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62" style="position:absolute;left:7654;top:4821;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1363" style="position:absolute;left:7885;top:4807;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64" style="position:absolute;left:7654;top:5085;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1365" style="position:absolute;left:7885;top:5077;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66" style="position:absolute;left:7654;top:5271;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1367" style="position:absolute;left:7885;top:5265;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68" style="position:absolute;left:7654;top:5597;width:1634;height:156" coordsize="1904,160" path="m,8hdc,4,4,,8,hal1896,hdc1901,,1904,4,1904,8hal1904,152hdc1904,157,1901,160,1896,160hal8,160hdc4,160,,157,,152hal,8hdxm16,152hal8,144r1888,l1888,152r,-144l1896,16,8,16,16,8r,144hdxe" fillcolor="black" strokeweight=".05pt">
                <v:path arrowok="t"/>
                <o:lock v:ext="edit" verticies="t"/>
              </v:shape>
              <v:rect id="_x0000_s1369" style="position:absolute;left:7885;top:5585;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70" style="position:absolute;left:7654;top:5784;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1371" style="position:absolute;left:7885;top:5773;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72" style="position:absolute;left:7654;top:6001;width:1634;height:155" coordsize="1904,160" path="m,8hdc,4,4,,8,hal1896,hdc1901,,1904,4,1904,8hal1904,152hdc1904,157,1901,160,1896,160hal8,160hdc4,160,,157,,152hal,8hdxm16,152hal8,144r1888,l1888,152r,-144l1896,16,8,16,16,8r,144hdxe" fillcolor="black" strokeweight=".05pt">
                <v:path arrowok="t"/>
                <o:lock v:ext="edit" verticies="t"/>
              </v:shape>
              <v:rect id="_x0000_s1373" style="position:absolute;left:7885;top:5996;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shape id="_x0000_s1374" style="position:absolute;left:7654;top:6187;width:1634;height:171" coordsize="1904,176" path="m,8hdc,4,4,,8,hal1896,hdc1901,,1904,4,1904,8hal1904,168hdc1904,173,1901,176,1896,176hal8,176hdc4,176,,173,,168hal,8hdxm16,168hal8,160r1888,l1888,168r,-160l1896,16,8,16,16,8r,160hdxe" fillcolor="black" strokeweight=".05pt">
                <v:path arrowok="t"/>
                <o:lock v:ext="edit" verticies="t"/>
              </v:shape>
              <v:rect id="_x0000_s1375" style="position:absolute;left:7885;top:6184;width:1280;height:171;mso-wrap-style:none;v-text-anchor:top" filled="f" stroked="f">
                <v:textbox style="mso-fit-shape-to-text:t" inset="0,0,0,0">
                  <w:txbxContent>
                    <w:p w:rsidR="0091746E" w:rsidRDefault="0091746E">
                      <w:r>
                        <w:rPr>
                          <w:rFonts w:ascii="Calibri" w:hAnsi="Calibri" w:cs="Calibri"/>
                          <w:color w:val="000000"/>
                          <w:sz w:val="14"/>
                          <w:szCs w:val="14"/>
                        </w:rPr>
                        <w:t>Performance Indicator</w:t>
                      </w:r>
                    </w:p>
                  </w:txbxContent>
                </v:textbox>
              </v:rect>
              <v:rect id="_x0000_s1376" style="position:absolute;left:5492;top:62;width:1825;height:326" stroked="f"/>
              <v:shape id="_x0000_s1377" style="position:absolute;left:5485;top:54;width:1839;height:342" coordsize="2144,352" path="m,8hdc,4,4,,8,hal2136,hdc2141,,2144,4,2144,8hal2144,344hdc2144,349,2141,352,2136,352hal8,352hdc4,352,,349,,344hal,8hdxm16,344hal8,336r2128,l2128,344r,-336l2136,16,8,16,16,8r,336hdxe" fillcolor="black" strokeweight=".05pt">
                <v:path arrowok="t"/>
                <o:lock v:ext="edit" verticies="t"/>
              </v:shape>
              <v:rect id="_x0000_s1378" style="position:absolute;left:5640;top:100;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1</w:t>
                      </w:r>
                    </w:p>
                  </w:txbxContent>
                </v:textbox>
              </v:rect>
              <v:rect id="_x0000_s1379" style="position:absolute;left:3336;top:761;width:1826;height:683" stroked="f"/>
              <v:shape id="_x0000_s1380" style="position:absolute;left:3329;top:753;width:1840;height:699" coordsize="2144,720" path="m,8hdc,4,4,,8,hal2136,hdc2141,,2144,4,2144,8hal2144,712hdc2144,717,2141,720,2136,720hal8,720hdc4,720,,717,,712hal,8hdxm16,712hal8,704r2128,l2128,712r,-704l2136,16,8,16,16,8r,704hdxe" fillcolor="black" strokeweight=".05pt">
                <v:path arrowok="t"/>
                <o:lock v:ext="edit" verticies="t"/>
              </v:shape>
              <v:rect id="_x0000_s1381" style="position:absolute;left:3920;top:759;width:711;height:244;mso-wrap-style:none;v-text-anchor:top" filled="f" stroked="f">
                <v:textbox style="mso-fit-shape-to-text:t" inset="0,0,0,0">
                  <w:txbxContent>
                    <w:p w:rsidR="0091746E" w:rsidRDefault="0091746E">
                      <w:r>
                        <w:rPr>
                          <w:rFonts w:ascii="Calibri" w:hAnsi="Calibri" w:cs="Calibri"/>
                          <w:color w:val="000000"/>
                          <w:sz w:val="20"/>
                          <w:szCs w:val="20"/>
                        </w:rPr>
                        <w:t>Firearms</w:t>
                      </w:r>
                    </w:p>
                  </w:txbxContent>
                </v:textbox>
              </v:rect>
              <v:rect id="_x0000_s1382" style="position:absolute;left:3495;top:961;width:1676;height:244;mso-wrap-style:none;v-text-anchor:top" filled="f" stroked="f">
                <v:textbox style="mso-fit-shape-to-text:t" inset="0,0,0,0">
                  <w:txbxContent>
                    <w:p w:rsidR="0091746E" w:rsidRDefault="0091746E">
                      <w:r>
                        <w:rPr>
                          <w:rFonts w:ascii="Calibri" w:hAnsi="Calibri" w:cs="Calibri"/>
                          <w:color w:val="000000"/>
                          <w:sz w:val="20"/>
                          <w:szCs w:val="20"/>
                        </w:rPr>
                        <w:t>Criminal Possessions</w:t>
                      </w:r>
                    </w:p>
                  </w:txbxContent>
                </v:textbox>
              </v:rect>
              <v:rect id="_x0000_s1383" style="position:absolute;left:3961;top:1177;width:658;height:244;mso-wrap-style:none;v-text-anchor:top" filled="f" stroked="f">
                <v:textbox style="mso-fit-shape-to-text:t" inset="0,0,0,0">
                  <w:txbxContent>
                    <w:p w:rsidR="0091746E" w:rsidRDefault="0091746E">
                      <w:r>
                        <w:rPr>
                          <w:rFonts w:ascii="Calibri" w:hAnsi="Calibri" w:cs="Calibri"/>
                          <w:color w:val="000000"/>
                          <w:sz w:val="20"/>
                          <w:szCs w:val="20"/>
                        </w:rPr>
                        <w:t>and Use</w:t>
                      </w:r>
                    </w:p>
                  </w:txbxContent>
                </v:textbox>
              </v:rect>
              <v:rect id="_x0000_s1384" style="position:absolute;left:5492;top:543;width:1825;height:311" stroked="f"/>
              <v:shape id="_x0000_s1385" style="position:absolute;left:5485;top:536;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1386" style="position:absolute;left:5640;top:569;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2</w:t>
                      </w:r>
                    </w:p>
                  </w:txbxContent>
                </v:textbox>
              </v:rect>
              <v:rect id="_x0000_s1387" style="position:absolute;left:5492;top:994;width:1825;height:310" stroked="f"/>
              <v:shape id="_x0000_s1388" style="position:absolute;left:5485;top:986;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1389" style="position:absolute;left:5640;top:1023;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1</w:t>
                      </w:r>
                    </w:p>
                  </w:txbxContent>
                </v:textbox>
              </v:rect>
              <v:rect id="_x0000_s1390" style="position:absolute;left:5492;top:1444;width:1825;height:311" stroked="f"/>
              <v:shape id="_x0000_s1391" style="position:absolute;left:5485;top:1436;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1392" style="position:absolute;left:5640;top:1477;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1</w:t>
                      </w:r>
                    </w:p>
                  </w:txbxContent>
                </v:textbox>
              </v:rect>
              <v:rect id="_x0000_s1393" style="position:absolute;left:5492;top:1894;width:1825;height:311" stroked="f"/>
              <v:shape id="_x0000_s1394" style="position:absolute;left:5485;top:1886;width:1839;height:327" coordsize="2144,336" path="m,8hdc,4,4,,8,hal2136,hdc2141,,2144,4,2144,8hal2144,328hdc2144,333,2141,336,2136,336hal8,336hdc4,336,,333,,328hal,8hdxm16,328hal8,320r2128,l2128,328r,-320l2136,16,8,16,16,8r,320hdxe" fillcolor="black" strokeweight=".05pt">
                <v:path arrowok="t"/>
                <o:lock v:ext="edit" verticies="t"/>
              </v:shape>
              <v:rect id="_x0000_s1395" style="position:absolute;left:5640;top:1931;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1</w:t>
                      </w:r>
                    </w:p>
                  </w:txbxContent>
                </v:textbox>
              </v:rect>
              <v:rect id="_x0000_s1396" style="position:absolute;left:5492;top:2376;width:1825;height:310" stroked="f"/>
              <v:shape id="_x0000_s1397" style="position:absolute;left:5485;top:2368;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1398" style="position:absolute;left:5640;top:2400;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2</w:t>
                      </w:r>
                    </w:p>
                  </w:txbxContent>
                </v:textbox>
              </v:rect>
              <v:rect id="_x0000_s1399" style="position:absolute;left:5492;top:2826;width:1825;height:310" stroked="f"/>
              <v:shape id="_x0000_s1400" style="position:absolute;left:5485;top:2818;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1401" style="position:absolute;left:5640;top:2854;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1</w:t>
                      </w:r>
                    </w:p>
                  </w:txbxContent>
                </v:textbox>
              </v:rect>
              <v:rect id="_x0000_s1402" style="position:absolute;left:5492;top:3276;width:1825;height:326" stroked="f"/>
              <v:shape id="_x0000_s1403" style="position:absolute;left:5485;top:3268;width:1839;height:342" coordsize="2144,352" path="m,8hdc,4,4,,8,hal2136,hdc2141,,2144,4,2144,8hal2144,344hdc2144,349,2141,352,2136,352hal8,352hdc4,352,,349,,344hal,8hdxm16,344hal8,336r2128,l2128,344r,-336l2136,16,8,16,16,8r,336hdxe" fillcolor="black" strokeweight=".05pt">
                <v:path arrowok="t"/>
                <o:lock v:ext="edit" verticies="t"/>
              </v:shape>
              <v:rect id="_x0000_s1404" style="position:absolute;left:5640;top:3316;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2</w:t>
                      </w:r>
                    </w:p>
                  </w:txbxContent>
                </v:textbox>
              </v:rect>
              <v:rect id="_x0000_s1405" style="position:absolute;left:5492;top:3726;width:1825;height:311" stroked="f"/>
              <v:shape id="_x0000_s1406" style="position:absolute;left:5485;top:3719;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1407" style="position:absolute;left:5640;top:3762;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1</w:t>
                      </w:r>
                    </w:p>
                  </w:txbxContent>
                </v:textbox>
              </v:rect>
              <v:rect id="_x0000_s1408" style="position:absolute;left:5492;top:4192;width:1825;height:326" stroked="f"/>
              <v:shape id="_x0000_s1409" style="position:absolute;left:5485;top:4184;width:1839;height:342" coordsize="2144,352" path="m,8hdc,4,4,,8,hal2136,hdc2141,,2144,4,2144,8hal2144,344hdc2144,349,2141,352,2136,352hal8,352hdc4,352,,349,,344hal,8hdxm16,344hal8,336r2128,l2128,344r,-336l2136,16,8,16,16,8r,336hdxe" fillcolor="black" strokeweight=".05pt">
                <v:path arrowok="t"/>
                <o:lock v:ext="edit" verticies="t"/>
              </v:shape>
              <v:rect id="_x0000_s1410" style="position:absolute;left:5640;top:4232;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1</w:t>
                      </w:r>
                    </w:p>
                  </w:txbxContent>
                </v:textbox>
              </v:rect>
              <v:rect id="_x0000_s1411" style="position:absolute;left:5492;top:4642;width:1825;height:311" stroked="f"/>
              <v:shape id="_x0000_s1412" style="position:absolute;left:5485;top:4635;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1413" style="position:absolute;left:5640;top:4670;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2</w:t>
                      </w:r>
                    </w:p>
                  </w:txbxContent>
                </v:textbox>
              </v:rect>
              <v:rect id="_x0000_s1414" style="position:absolute;left:5492;top:5093;width:1825;height:310" stroked="f"/>
              <v:shape id="_x0000_s1415" style="position:absolute;left:5485;top:5085;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1416" style="position:absolute;left:5640;top:5124;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1</w:t>
                      </w:r>
                    </w:p>
                  </w:txbxContent>
                </v:textbox>
              </v:rect>
              <v:rect id="_x0000_s1417" style="position:absolute;left:5492;top:5605;width:1825;height:326" stroked="f"/>
              <v:shape id="_x0000_s1418" style="position:absolute;left:5485;top:5597;width:1839;height:342" coordsize="2144,352" path="m,8hdc,4,4,,8,hal2136,hdc2141,,2144,4,2144,8hal2144,344hdc2144,349,2141,352,2136,352hal8,352hdc4,352,,349,,344hal,8hdxm16,344hal8,336r2128,l2128,344r,-336l2136,16,8,16,16,8r,336hdxe" fillcolor="black" strokeweight=".05pt">
                <v:path arrowok="t"/>
                <o:lock v:ext="edit" verticies="t"/>
              </v:shape>
              <v:rect id="_x0000_s1419" style="position:absolute;left:5640;top:5644;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1</w:t>
                      </w:r>
                    </w:p>
                  </w:txbxContent>
                </v:textbox>
              </v:rect>
              <v:rect id="_x0000_s1420" style="position:absolute;left:5492;top:6024;width:1825;height:311" stroked="f"/>
              <v:shape id="_x0000_s1421" style="position:absolute;left:5485;top:6017;width:1839;height:326" coordsize="2144,336" path="m,8hdc,4,4,,8,hal2136,hdc2141,,2144,4,2144,8hal2144,328hdc2144,333,2141,336,2136,336hal8,336hdc4,336,,333,,328hal,8hdxm16,328hal8,320r2128,l2128,328r,-320l2136,16,8,16,16,8r,320hdxe" fillcolor="black" strokeweight=".05pt">
                <v:path arrowok="t"/>
                <o:lock v:ext="edit" verticies="t"/>
              </v:shape>
              <v:rect id="_x0000_s1422" style="position:absolute;left:5640;top:6055;width:1680;height:244;mso-wrap-style:none;v-text-anchor:top" filled="f" stroked="f">
                <v:textbox style="mso-fit-shape-to-text:t" inset="0,0,0,0">
                  <w:txbxContent>
                    <w:p w:rsidR="0091746E" w:rsidRDefault="0091746E">
                      <w:r>
                        <w:rPr>
                          <w:rFonts w:ascii="Calibri" w:hAnsi="Calibri" w:cs="Calibri"/>
                          <w:color w:val="000000"/>
                          <w:sz w:val="20"/>
                          <w:szCs w:val="20"/>
                        </w:rPr>
                        <w:t>Strategic Objective 1</w:t>
                      </w:r>
                    </w:p>
                  </w:txbxContent>
                </v:textbox>
              </v:rect>
              <v:rect id="_x0000_s1423" style="position:absolute;left:3336;top:62;width:1826;height:575" stroked="f"/>
              <v:shape id="_x0000_s1424" style="position:absolute;left:3329;top:54;width:1840;height:590" coordsize="2144,608" path="m,8hdc,4,4,,8,hal2136,hdc2141,,2144,4,2144,8hal2144,600hdc2144,605,2141,608,2136,608hal8,608hdc4,608,,605,,600hal,8hdxm16,600hal8,592r2128,l2128,600r,-592l2136,16,8,16,16,8r,592hdxe" fillcolor="black" strokeweight=".05pt">
                <v:path arrowok="t"/>
                <o:lock v:ext="edit" verticies="t"/>
              </v:shape>
              <v:rect id="_x0000_s1425" style="position:absolute;left:4030;top:106;width:478;height:244;mso-wrap-style:none;v-text-anchor:top" filled="f" stroked="f">
                <v:textbox style="mso-fit-shape-to-text:t" inset="0,0,0,0">
                  <w:txbxContent>
                    <w:p w:rsidR="0091746E" w:rsidRDefault="0091746E">
                      <w:r>
                        <w:rPr>
                          <w:rFonts w:ascii="Calibri" w:hAnsi="Calibri" w:cs="Calibri"/>
                          <w:color w:val="000000"/>
                          <w:sz w:val="20"/>
                          <w:szCs w:val="20"/>
                        </w:rPr>
                        <w:t>Illegal</w:t>
                      </w:r>
                    </w:p>
                  </w:txbxContent>
                </v:textbox>
              </v:rect>
              <v:rect id="_x0000_s1426" style="position:absolute;left:3522;top:338;width:1608;height:244;mso-wrap-style:none;v-text-anchor:top" filled="f" stroked="f">
                <v:textbox style="mso-fit-shape-to-text:t" inset="0,0,0,0">
                  <w:txbxContent>
                    <w:p w:rsidR="0091746E" w:rsidRDefault="0091746E">
                      <w:r>
                        <w:rPr>
                          <w:rFonts w:ascii="Calibri" w:hAnsi="Calibri" w:cs="Calibri"/>
                          <w:color w:val="000000"/>
                          <w:sz w:val="20"/>
                          <w:szCs w:val="20"/>
                        </w:rPr>
                        <w:t>Firearms Trafficking</w:t>
                      </w:r>
                    </w:p>
                  </w:txbxContent>
                </v:textbox>
              </v:rect>
              <v:rect id="_x0000_s1427" style="position:absolute;left:3336;top:1568;width:1826;height:497" stroked="f"/>
              <v:shape id="_x0000_s1428" style="position:absolute;left:3329;top:1560;width:1840;height:513" coordsize="2144,528" path="m,8hdc,4,4,,8,hal2136,hdc2141,,2144,4,2144,8hal2144,520hdc2144,525,2141,528,2136,528hal8,528hdc4,528,,525,,520hal,8hdxm16,520hal8,512r2128,l2128,520r,-512l2136,16,8,16,16,8r,512hdxe" fillcolor="black" strokeweight=".05pt">
                <v:path arrowok="t"/>
                <o:lock v:ext="edit" verticies="t"/>
              </v:shape>
              <v:rect id="_x0000_s1429" style="position:absolute;left:3920;top:1575;width:711;height:244;mso-wrap-style:none;v-text-anchor:top" filled="f" stroked="f">
                <v:textbox style="mso-fit-shape-to-text:t" inset="0,0,0,0">
                  <w:txbxContent>
                    <w:p w:rsidR="0091746E" w:rsidRDefault="0091746E">
                      <w:r>
                        <w:rPr>
                          <w:rFonts w:ascii="Calibri" w:hAnsi="Calibri" w:cs="Calibri"/>
                          <w:color w:val="000000"/>
                          <w:sz w:val="20"/>
                          <w:szCs w:val="20"/>
                        </w:rPr>
                        <w:t>Firearms</w:t>
                      </w:r>
                    </w:p>
                  </w:txbxContent>
                </v:textbox>
              </v:rect>
              <v:rect id="_x0000_s1430" style="position:absolute;left:3508;top:1777;width:1621;height:244;mso-wrap-style:none;v-text-anchor:top" filled="f" stroked="f">
                <v:textbox style="mso-fit-shape-to-text:t" inset="0,0,0,0">
                  <w:txbxContent>
                    <w:p w:rsidR="0091746E" w:rsidRDefault="0091746E">
                      <w:r>
                        <w:rPr>
                          <w:rFonts w:ascii="Calibri" w:hAnsi="Calibri" w:cs="Calibri"/>
                          <w:color w:val="000000"/>
                          <w:sz w:val="20"/>
                          <w:szCs w:val="20"/>
                        </w:rPr>
                        <w:t>Industry Operations</w:t>
                      </w:r>
                    </w:p>
                  </w:txbxContent>
                </v:textbox>
              </v:rect>
              <v:rect id="_x0000_s1431" style="position:absolute;left:3336;top:2174;width:1826;height:512" stroked="f"/>
              <v:shape id="_x0000_s1432" style="position:absolute;left:3329;top:2166;width:1840;height:528" coordsize="2144,544" path="m,8hdc,4,4,,8,hal2136,hdc2141,,2144,4,2144,8hal2144,536hdc2144,541,2141,544,2136,544hal8,544hdc4,544,,541,,536hal,8hdxm16,536hal8,528r2128,l2128,536r,-528l2136,16,8,16,16,8r,528hdxe" fillcolor="black" strokeweight=".05pt">
                <v:path arrowok="t"/>
                <o:lock v:ext="edit" verticies="t"/>
              </v:shape>
              <v:rect id="_x0000_s1433" style="position:absolute;left:3659;top:2193;width:1310;height:244;mso-wrap-style:none;v-text-anchor:top" filled="f" stroked="f">
                <v:textbox style="mso-fit-shape-to-text:t" inset="0,0,0,0">
                  <w:txbxContent>
                    <w:p w:rsidR="0091746E" w:rsidRDefault="0091746E">
                      <w:r>
                        <w:rPr>
                          <w:rFonts w:ascii="Calibri" w:hAnsi="Calibri" w:cs="Calibri"/>
                          <w:color w:val="000000"/>
                          <w:sz w:val="20"/>
                          <w:szCs w:val="20"/>
                        </w:rPr>
                        <w:t>Criminal Groups</w:t>
                      </w:r>
                    </w:p>
                  </w:txbxContent>
                </v:textbox>
              </v:rect>
              <v:rect id="_x0000_s1434" style="position:absolute;left:3879;top:2395;width:851;height:244;mso-wrap-style:none;v-text-anchor:top" filled="f" stroked="f">
                <v:textbox style="mso-fit-shape-to-text:t" inset="0,0,0,0">
                  <w:txbxContent>
                    <w:p w:rsidR="0091746E" w:rsidRDefault="0091746E">
                      <w:r>
                        <w:rPr>
                          <w:rFonts w:ascii="Calibri" w:hAnsi="Calibri" w:cs="Calibri"/>
                          <w:color w:val="000000"/>
                          <w:sz w:val="20"/>
                          <w:szCs w:val="20"/>
                        </w:rPr>
                        <w:t>and Gangs</w:t>
                      </w:r>
                    </w:p>
                  </w:txbxContent>
                </v:textbox>
              </v:rect>
              <v:rect id="_x0000_s1435" style="position:absolute;left:7489;top:140;width:41;height:188" fillcolor="black" strokeweight=".05pt">
                <v:stroke joinstyle="round"/>
              </v:rect>
              <v:rect id="_x0000_s1436" style="position:absolute;left:7496;top:116;width:166;height:47" fillcolor="black" strokeweight=".05pt">
                <v:stroke joinstyle="round"/>
              </v:rect>
              <v:rect id="_x0000_s1437" style="position:absolute;left:7496;top:287;width:166;height:47" fillcolor="black" strokeweight=".05pt">
                <v:stroke joinstyle="round"/>
              </v:rect>
              <v:rect id="_x0000_s1438" style="position:absolute;left:7331;top:210;width:177;height:46" fillcolor="black" strokeweight=".05pt">
                <v:stroke joinstyle="round"/>
              </v:rect>
              <v:rect id="_x0000_s1439" style="position:absolute;left:7489;top:606;width:41;height:188" fillcolor="black" strokeweight=".05pt">
                <v:stroke joinstyle="round"/>
              </v:rect>
              <v:rect id="_x0000_s1440" style="position:absolute;left:7496;top:582;width:166;height:47" fillcolor="black" strokeweight=".05pt">
                <v:stroke joinstyle="round"/>
              </v:rect>
              <v:rect id="_x0000_s1441" style="position:absolute;left:7496;top:753;width:166;height:47" fillcolor="black" strokeweight=".05pt">
                <v:stroke joinstyle="round"/>
              </v:rect>
              <v:rect id="_x0000_s1442" style="position:absolute;left:7331;top:675;width:177;height:47" fillcolor="black" strokeweight=".05pt">
                <v:stroke joinstyle="round"/>
              </v:rect>
              <v:rect id="_x0000_s1443" style="position:absolute;left:7489;top:1071;width:41;height:189" fillcolor="black" strokeweight=".05pt">
                <v:stroke joinstyle="round"/>
              </v:rect>
              <v:rect id="_x0000_s1444" style="position:absolute;left:7496;top:1048;width:166;height:47" fillcolor="black" strokeweight=".05pt">
                <v:stroke joinstyle="round"/>
              </v:rect>
              <v:rect id="_x0000_s1445" style="position:absolute;left:7496;top:1219;width:166;height:46" fillcolor="black" strokeweight=".05pt">
                <v:stroke joinstyle="round"/>
              </v:rect>
              <v:rect id="_x0000_s1446" style="position:absolute;left:7331;top:1126;width:177;height:46" fillcolor="black" strokeweight=".05pt">
                <v:stroke joinstyle="round"/>
              </v:rect>
              <v:rect id="_x0000_s1447" style="position:absolute;left:7489;top:1522;width:41;height:188" fillcolor="black" strokeweight=".05pt">
                <v:stroke joinstyle="round"/>
              </v:rect>
              <v:rect id="_x0000_s1448" style="position:absolute;left:7496;top:1498;width:166;height:47" fillcolor="black" strokeweight=".05pt">
                <v:stroke joinstyle="round"/>
              </v:rect>
              <v:rect id="_x0000_s1449" style="position:absolute;left:7496;top:1669;width:166;height:47" fillcolor="black" strokeweight=".05pt">
                <v:stroke joinstyle="round"/>
              </v:rect>
              <v:rect id="_x0000_s1450" style="position:absolute;left:7331;top:1591;width:177;height:47" fillcolor="black" strokeweight=".05pt">
                <v:stroke joinstyle="round"/>
              </v:rect>
              <v:rect id="_x0000_s1451" style="position:absolute;left:7489;top:1987;width:41;height:189" fillcolor="black" strokeweight=".05pt">
                <v:stroke joinstyle="round"/>
              </v:rect>
              <v:rect id="_x0000_s1452" style="position:absolute;left:7496;top:1964;width:166;height:47" fillcolor="black" strokeweight=".05pt">
                <v:stroke joinstyle="round"/>
              </v:rect>
              <v:rect id="_x0000_s1453" style="position:absolute;left:7496;top:2135;width:166;height:46" fillcolor="black" strokeweight=".05pt">
                <v:stroke joinstyle="round"/>
              </v:rect>
              <v:rect id="_x0000_s1454" style="position:absolute;left:7331;top:2042;width:177;height:46" fillcolor="black" strokeweight=".05pt">
                <v:stroke joinstyle="round"/>
              </v:rect>
              <v:rect id="_x0000_s1455" style="position:absolute;left:7489;top:2438;width:41;height:188" fillcolor="black" strokeweight=".05pt">
                <v:stroke joinstyle="round"/>
              </v:rect>
              <v:rect id="_x0000_s1456" style="position:absolute;left:7496;top:2414;width:166;height:47" fillcolor="black" strokeweight=".05pt">
                <v:stroke joinstyle="round"/>
              </v:rect>
              <v:rect id="_x0000_s1457" style="position:absolute;left:7496;top:2585;width:166;height:47" fillcolor="black" strokeweight=".05pt">
                <v:stroke joinstyle="round"/>
              </v:rect>
              <v:rect id="_x0000_s1458" style="position:absolute;left:7331;top:2508;width:177;height:46" fillcolor="black" strokeweight=".05pt">
                <v:stroke joinstyle="round"/>
              </v:rect>
              <v:rect id="_x0000_s1459" style="position:absolute;left:7489;top:2903;width:41;height:189" fillcolor="black" strokeweight=".05pt">
                <v:stroke joinstyle="round"/>
              </v:rect>
              <v:rect id="_x0000_s1460" style="position:absolute;left:7496;top:2880;width:166;height:47" fillcolor="black" strokeweight=".05pt">
                <v:stroke joinstyle="round"/>
              </v:rect>
              <v:rect id="_x0000_s1461" style="position:absolute;left:7496;top:3051;width:166;height:47" fillcolor="black" strokeweight=".05pt">
                <v:stroke joinstyle="round"/>
              </v:rect>
              <v:rect id="_x0000_s1462" style="position:absolute;left:7331;top:2958;width:177;height:46" fillcolor="black" strokeweight=".05pt">
                <v:stroke joinstyle="round"/>
              </v:rect>
              <v:rect id="_x0000_s1463" style="position:absolute;left:7489;top:3369;width:41;height:189" fillcolor="black" strokeweight=".05pt">
                <v:stroke joinstyle="round"/>
              </v:rect>
              <v:rect id="_x0000_s1464" style="position:absolute;left:7496;top:3346;width:166;height:47" fillcolor="black" strokeweight=".05pt">
                <v:stroke joinstyle="round"/>
              </v:rect>
              <v:rect id="_x0000_s1465" style="position:absolute;left:7496;top:3517;width:166;height:46" fillcolor="black" strokeweight=".05pt">
                <v:stroke joinstyle="round"/>
              </v:rect>
              <v:rect id="_x0000_s1466" style="position:absolute;left:7331;top:3424;width:177;height:46" fillcolor="black" strokeweight=".05pt">
                <v:stroke joinstyle="round"/>
              </v:rect>
              <v:rect id="_x0000_s1467" style="position:absolute;left:7489;top:3804;width:41;height:188" fillcolor="black" strokeweight=".05pt">
                <v:stroke joinstyle="round"/>
              </v:rect>
              <v:rect id="_x0000_s1468" style="position:absolute;left:7496;top:3781;width:166;height:46" fillcolor="black" strokeweight=".05pt">
                <v:stroke joinstyle="round"/>
              </v:rect>
              <v:rect id="_x0000_s1469" style="position:absolute;left:7496;top:3952;width:166;height:46" fillcolor="black" strokeweight=".05pt">
                <v:stroke joinstyle="round"/>
              </v:rect>
              <v:rect id="_x0000_s1470" style="position:absolute;left:7331;top:3858;width:177;height:47" fillcolor="black" strokeweight=".05pt">
                <v:stroke joinstyle="round"/>
              </v:rect>
              <v:rect id="_x0000_s1471" style="position:absolute;left:7489;top:4254;width:41;height:189" fillcolor="black" strokeweight=".05pt">
                <v:stroke joinstyle="round"/>
              </v:rect>
              <v:rect id="_x0000_s1472" style="position:absolute;left:7496;top:4231;width:166;height:47" fillcolor="black" strokeweight=".05pt">
                <v:stroke joinstyle="round"/>
              </v:rect>
              <v:rect id="_x0000_s1473" style="position:absolute;left:7496;top:4417;width:166;height:47" fillcolor="black" strokeweight=".05pt">
                <v:stroke joinstyle="round"/>
              </v:rect>
              <v:rect id="_x0000_s1474" style="position:absolute;left:7331;top:4324;width:177;height:47" fillcolor="black" strokeweight=".05pt">
                <v:stroke joinstyle="round"/>
              </v:rect>
              <v:rect id="_x0000_s1475" style="position:absolute;left:7489;top:4720;width:41;height:188" fillcolor="black" strokeweight=".05pt">
                <v:stroke joinstyle="round"/>
              </v:rect>
              <v:rect id="_x0000_s1476" style="position:absolute;left:7496;top:4697;width:166;height:46" fillcolor="black" strokeweight=".05pt">
                <v:stroke joinstyle="round"/>
              </v:rect>
              <v:rect id="_x0000_s1477" style="position:absolute;left:7496;top:4868;width:166;height:46" fillcolor="black" strokeweight=".05pt">
                <v:stroke joinstyle="round"/>
              </v:rect>
              <v:rect id="_x0000_s1478" style="position:absolute;left:7331;top:4790;width:177;height:47" fillcolor="black" strokeweight=".05pt">
                <v:stroke joinstyle="round"/>
              </v:rect>
              <v:rect id="_x0000_s1479" style="position:absolute;left:7489;top:5186;width:41;height:188" fillcolor="black" strokeweight=".05pt">
                <v:stroke joinstyle="round"/>
              </v:rect>
              <v:rect id="_x0000_s1480" style="position:absolute;left:7496;top:5163;width:166;height:46" fillcolor="black" strokeweight=".05pt">
                <v:stroke joinstyle="round"/>
              </v:rect>
              <v:rect id="_x0000_s1481" style="position:absolute;left:7496;top:5333;width:166;height:47" fillcolor="black" strokeweight=".05pt">
                <v:stroke joinstyle="round"/>
              </v:rect>
              <v:rect id="_x0000_s1482" style="position:absolute;left:7331;top:5240;width:177;height:47" fillcolor="black" strokeweight=".05pt">
                <v:stroke joinstyle="round"/>
              </v:rect>
              <v:rect id="_x0000_s1483" style="position:absolute;left:7489;top:5683;width:41;height:188" fillcolor="black" strokeweight=".05pt">
                <v:stroke joinstyle="round"/>
              </v:rect>
              <v:rect id="_x0000_s1484" style="position:absolute;left:7496;top:5659;width:166;height:47" fillcolor="black" strokeweight=".05pt">
                <v:stroke joinstyle="round"/>
              </v:rect>
              <v:rect id="_x0000_s1485" style="position:absolute;left:7496;top:5830;width:166;height:47" fillcolor="black" strokeweight=".05pt">
                <v:stroke joinstyle="round"/>
              </v:rect>
              <v:rect id="_x0000_s1486" style="position:absolute;left:7331;top:5753;width:177;height:46" fillcolor="black" strokeweight=".05pt">
                <v:stroke joinstyle="round"/>
              </v:rect>
              <v:rect id="_x0000_s1487" style="position:absolute;left:7489;top:6086;width:41;height:189" fillcolor="black" strokeweight=".05pt">
                <v:stroke joinstyle="round"/>
              </v:rect>
              <v:rect id="_x0000_s1488" style="position:absolute;left:7496;top:6063;width:166;height:47" fillcolor="black" strokeweight=".05pt">
                <v:stroke joinstyle="round"/>
              </v:rect>
              <v:rect id="_x0000_s1489" style="position:absolute;left:7496;top:6249;width:166;height:47" fillcolor="black" strokeweight=".05pt">
                <v:stroke joinstyle="round"/>
              </v:rect>
              <v:rect id="_x0000_s1490" style="position:absolute;left:7331;top:6156;width:177;height:47" fillcolor="black" strokeweight=".05pt">
                <v:stroke joinstyle="round"/>
              </v:rect>
              <v:rect id="_x0000_s1491" style="position:absolute;left:5334;top:248;width:41;height:467" fillcolor="black" strokeweight=".05pt">
                <v:stroke joinstyle="round"/>
              </v:rect>
              <v:rect id="_x0000_s1492" style="position:absolute;left:5341;top:225;width:166;height:47" fillcolor="black" strokeweight=".05pt">
                <v:stroke joinstyle="round"/>
              </v:rect>
              <v:rect id="_x0000_s1493" style="position:absolute;left:5341;top:660;width:166;height:46" fillcolor="black" strokeweight=".05pt">
                <v:stroke joinstyle="round"/>
              </v:rect>
              <v:rect id="_x0000_s1494" style="position:absolute;left:5162;top:427;width:177;height:47" fillcolor="black" strokeweight=".05pt">
                <v:stroke joinstyle="round"/>
              </v:rect>
              <v:rect id="_x0000_s1495" style="position:absolute;left:5162;top:1126;width:333;height:46" fillcolor="black" strokeweight=".05pt">
                <v:stroke joinstyle="round"/>
              </v:rect>
              <v:rect id="_x0000_s1496" style="position:absolute;left:5334;top:1630;width:41;height:189" fillcolor="black" strokeweight=".05pt">
                <v:stroke joinstyle="round"/>
              </v:rect>
              <v:rect id="_x0000_s1497" style="position:absolute;left:5341;top:1607;width:166;height:47" fillcolor="black" strokeweight=".05pt">
                <v:stroke joinstyle="round"/>
              </v:rect>
              <v:rect id="_x0000_s1498" style="position:absolute;left:5162;top:1762;width:208;height:47" fillcolor="black" strokeweight=".05pt">
                <v:stroke joinstyle="round"/>
              </v:rect>
              <v:rect id="_x0000_s1499" style="position:absolute;left:5334;top:2034;width:41;height:490" fillcolor="black" strokeweight=".05pt">
                <v:stroke joinstyle="round"/>
              </v:rect>
              <v:rect id="_x0000_s1500" style="position:absolute;left:5341;top:2042;width:166;height:46" fillcolor="black" strokeweight=".05pt">
                <v:stroke joinstyle="round"/>
              </v:rect>
              <v:rect id="_x0000_s1501" style="position:absolute;left:5341;top:2508;width:166;height:46" fillcolor="black" strokeweight=".05pt">
                <v:stroke joinstyle="round"/>
              </v:rect>
              <v:rect id="_x0000_s1502" style="position:absolute;left:5162;top:2275;width:177;height:46" fillcolor="black" strokeweight=".05pt">
                <v:stroke joinstyle="round"/>
              </v:rect>
              <v:rect id="_x0000_s1503" style="position:absolute;left:3336;top:2841;width:1826;height:621" stroked="f"/>
              <v:shape id="_x0000_s1504" style="position:absolute;left:3329;top:2834;width:1840;height:636" coordsize="2144,656" path="m,8hdc,4,4,,8,hal2136,hdc2141,,2144,4,2144,8hal2144,648hdc2144,653,2141,656,2136,656hal8,656hdc4,656,,653,,648hal,8hdxm16,648hal8,640r2128,l2128,648r,-640l2136,16,8,16,16,8r,640hdxe" fillcolor="black" strokeweight=".05pt">
                <v:path arrowok="t"/>
                <o:lock v:ext="edit" verticies="t"/>
              </v:shape>
              <v:rect id="_x0000_s1505" style="position:absolute;left:3577;top:2911;width:1486;height:244;mso-wrap-style:none;v-text-anchor:top" filled="f" stroked="f">
                <v:textbox style="mso-fit-shape-to-text:t" inset="0,0,0,0">
                  <w:txbxContent>
                    <w:p w:rsidR="0091746E" w:rsidRDefault="0091746E">
                      <w:r>
                        <w:rPr>
                          <w:rFonts w:ascii="Calibri" w:hAnsi="Calibri" w:cs="Calibri"/>
                          <w:color w:val="000000"/>
                          <w:sz w:val="20"/>
                          <w:szCs w:val="20"/>
                        </w:rPr>
                        <w:t>Explosives, Bombs</w:t>
                      </w:r>
                    </w:p>
                  </w:txbxContent>
                </v:textbox>
              </v:rect>
              <v:rect id="_x0000_s1506" style="position:absolute;left:3742;top:3113;width:1154;height:244;mso-wrap-style:none;v-text-anchor:top" filled="f" stroked="f">
                <v:textbox style="mso-fit-shape-to-text:t" inset="0,0,0,0">
                  <w:txbxContent>
                    <w:p w:rsidR="0091746E" w:rsidRDefault="0091746E">
                      <w:r>
                        <w:rPr>
                          <w:rFonts w:ascii="Calibri" w:hAnsi="Calibri" w:cs="Calibri"/>
                          <w:color w:val="000000"/>
                          <w:sz w:val="20"/>
                          <w:szCs w:val="20"/>
                        </w:rPr>
                        <w:t>and Bombings</w:t>
                      </w:r>
                    </w:p>
                  </w:txbxContent>
                </v:textbox>
              </v:rect>
              <v:rect id="_x0000_s1507" style="position:absolute;left:5334;top:2966;width:41;height:490" fillcolor="black" strokeweight=".05pt">
                <v:stroke joinstyle="round"/>
              </v:rect>
              <v:rect id="_x0000_s1508" style="position:absolute;left:5341;top:2973;width:166;height:47" fillcolor="black" strokeweight=".05pt">
                <v:stroke joinstyle="round"/>
              </v:rect>
              <v:rect id="_x0000_s1509" style="position:absolute;left:5341;top:3439;width:166;height:47" fillcolor="black" strokeweight=".05pt">
                <v:stroke joinstyle="round"/>
              </v:rect>
              <v:rect id="_x0000_s1510" style="position:absolute;left:5162;top:3206;width:177;height:47" fillcolor="black" strokeweight=".05pt">
                <v:stroke joinstyle="round"/>
              </v:rect>
              <v:rect id="_x0000_s1511" style="position:absolute;left:3336;top:3618;width:1826;height:466" stroked="f"/>
              <v:shape id="_x0000_s1512" style="position:absolute;left:3329;top:3610;width:1840;height:481" coordsize="2144,496" path="m,8hdc,4,4,,8,hal2136,hdc2141,,2144,4,2144,8hal2144,488hdc2144,493,2141,496,2136,496hal8,496hdc4,496,,493,,488hal,8hdxm16,488hal8,480r2128,l2128,488r,-480l2136,16,8,16,16,8r,480hdxe" fillcolor="black" strokeweight=".05pt">
                <v:path arrowok="t"/>
                <o:lock v:ext="edit" verticies="t"/>
              </v:shape>
              <v:rect id="_x0000_s1513" style="position:absolute;left:3553;top:3613;width:1550;height:244;mso-wrap-style:none;v-text-anchor:top" filled="f" stroked="f">
                <v:textbox style="mso-fit-shape-to-text:t" inset="0,0,0,0">
                  <w:txbxContent>
                    <w:p w:rsidR="0091746E" w:rsidRDefault="0091746E">
                      <w:r>
                        <w:rPr>
                          <w:rFonts w:ascii="Calibri" w:hAnsi="Calibri" w:cs="Calibri"/>
                          <w:color w:val="000000"/>
                          <w:sz w:val="20"/>
                          <w:szCs w:val="20"/>
                        </w:rPr>
                        <w:t xml:space="preserve">Explosives Industry </w:t>
                      </w:r>
                    </w:p>
                  </w:txbxContent>
                </v:textbox>
              </v:rect>
              <v:rect id="_x0000_s1514" style="position:absolute;left:3841;top:3815;width:905;height:244;mso-wrap-style:none;v-text-anchor:top" filled="f" stroked="f">
                <v:textbox style="mso-fit-shape-to-text:t" inset="0,0,0,0">
                  <w:txbxContent>
                    <w:p w:rsidR="0091746E" w:rsidRDefault="0091746E">
                      <w:r>
                        <w:rPr>
                          <w:rFonts w:ascii="Calibri" w:hAnsi="Calibri" w:cs="Calibri"/>
                          <w:color w:val="000000"/>
                          <w:sz w:val="20"/>
                          <w:szCs w:val="20"/>
                        </w:rPr>
                        <w:t>Operations</w:t>
                      </w:r>
                    </w:p>
                  </w:txbxContent>
                </v:textbox>
              </v:rect>
              <v:rect id="_x0000_s1515" style="position:absolute;left:5162;top:3858;width:333;height:47" fillcolor="black" strokeweight=".05pt">
                <v:stroke joinstyle="round"/>
              </v:rect>
              <v:rect id="_x0000_s1516" style="position:absolute;left:3336;top:4239;width:1826;height:667" stroked="f"/>
              <v:shape id="_x0000_s1517" style="position:absolute;left:3329;top:4231;width:1840;height:683" coordsize="2144,704" path="m,8hdc,4,4,,8,hal2136,hdc2141,,2144,4,2144,8hal2144,696hdc2144,701,2141,704,2136,704hal8,704hdc4,704,,701,,696hal,8hdxm16,696hal8,688r2128,l2128,696r,-688l2136,16,8,16,16,8r,688hdxe" fillcolor="black" strokeweight=".05pt">
                <v:path arrowok="t"/>
                <o:lock v:ext="edit" verticies="t"/>
              </v:shape>
              <v:rect id="_x0000_s1518" style="position:absolute;left:3718;top:4441;width:1178;height:244;mso-wrap-style:none;v-text-anchor:top" filled="f" stroked="f">
                <v:textbox style="mso-fit-shape-to-text:t" inset="0,0,0,0">
                  <w:txbxContent>
                    <w:p w:rsidR="0091746E" w:rsidRDefault="0091746E">
                      <w:r>
                        <w:rPr>
                          <w:rFonts w:ascii="Calibri" w:hAnsi="Calibri" w:cs="Calibri"/>
                          <w:color w:val="000000"/>
                          <w:sz w:val="20"/>
                          <w:szCs w:val="20"/>
                        </w:rPr>
                        <w:t>Fire and Arson</w:t>
                      </w:r>
                    </w:p>
                  </w:txbxContent>
                </v:textbox>
              </v:rect>
              <v:rect id="_x0000_s1519" style="position:absolute;left:3336;top:5062;width:1826;height:341" stroked="f"/>
            </v:group>
            <v:shape id="_x0000_s1521" style="position:absolute;left:3329;top:5054;width:1840;height:357" coordsize="2144,368" path="m,8hdc,4,4,,8,hal2136,hdc2141,,2144,4,2144,8hal2144,360hdc2144,365,2141,368,2136,368hal8,368hdc4,368,,365,,360hal,8hdxm16,360hal8,352r2128,l2128,360r,-352l2136,16,8,16,16,8r,352hdxe" fillcolor="black" strokeweight=".05pt">
              <v:path arrowok="t"/>
              <o:lock v:ext="edit" verticies="t"/>
            </v:shape>
            <v:rect id="_x0000_s1522" style="position:absolute;left:3484;top:5098;width:1683;height:244;mso-wrap-style:none;v-text-anchor:top" filled="f" stroked="f">
              <v:textbox style="mso-fit-shape-to-text:t" inset="0,0,0,0">
                <w:txbxContent>
                  <w:p w:rsidR="0091746E" w:rsidRDefault="0091746E">
                    <w:r>
                      <w:rPr>
                        <w:rFonts w:ascii="Calibri" w:hAnsi="Calibri" w:cs="Calibri"/>
                        <w:color w:val="000000"/>
                        <w:sz w:val="20"/>
                        <w:szCs w:val="20"/>
                      </w:rPr>
                      <w:t>Alcohol and Tobacco</w:t>
                    </w:r>
                  </w:p>
                </w:txbxContent>
              </v:textbox>
            </v:rect>
            <v:rect id="_x0000_s1523" style="position:absolute;left:5162;top:5225;width:333;height:46" fillcolor="black" strokeweight=".05pt">
              <v:stroke joinstyle="round"/>
            </v:rect>
            <v:rect id="_x0000_s1524" style="position:absolute;left:1181;top:5605;width:3995;height:326" stroked="f"/>
            <v:shape id="_x0000_s1525" style="position:absolute;left:1174;top:5597;width:4009;height:342" coordsize="4672,352" path="m,8hdc,4,4,,8,hal4664,hdc4669,,4672,4,4672,8hal4672,344hdc4672,349,4669,352,4664,352hal8,352hdc4,352,,349,,344hal,8hdxm16,344hal8,336r4656,l4656,344r,-336l4664,16,8,16,16,8r,336hdxe" fillcolor="black" strokeweight=".05pt">
              <v:path arrowok="t"/>
              <o:lock v:ext="edit" verticies="t"/>
            </v:shape>
            <v:rect id="_x0000_s1526" style="position:absolute;left:2630;top:5634;width:1201;height:244;mso-wrap-style:none;v-text-anchor:top" filled="f" stroked="f">
              <v:textbox style="mso-fit-shape-to-text:t" inset="0,0,0,0">
                <w:txbxContent>
                  <w:p w:rsidR="0091746E" w:rsidRDefault="0091746E">
                    <w:r>
                      <w:rPr>
                        <w:rFonts w:ascii="Calibri" w:hAnsi="Calibri" w:cs="Calibri"/>
                        <w:color w:val="000000"/>
                        <w:sz w:val="20"/>
                        <w:szCs w:val="20"/>
                      </w:rPr>
                      <w:t>Modernization</w:t>
                    </w:r>
                  </w:p>
                </w:txbxContent>
              </v:textbox>
            </v:rect>
            <v:rect id="_x0000_s1527" style="position:absolute;left:1181;top:6024;width:3995;height:311" stroked="f"/>
            <v:shape id="_x0000_s1528" style="position:absolute;left:1174;top:6017;width:4009;height:326" coordsize="4672,336" path="m,8hdc,4,4,,8,hal4664,hdc4669,,4672,4,4672,8hal4672,328hdc4672,333,4669,336,4664,336hal8,336hdc4,336,,333,,328hal,8hdxm16,328hal8,320r4656,l4656,328r,-320l4664,16,8,16,16,8r,320hdxe" fillcolor="black" strokeweight=".05pt">
              <v:path arrowok="t"/>
              <o:lock v:ext="edit" verticies="t"/>
            </v:shape>
            <v:rect id="_x0000_s1529" style="position:absolute;left:2768;top:6049;width:865;height:244;mso-wrap-style:none;v-text-anchor:top" filled="f" stroked="f">
              <v:textbox style="mso-fit-shape-to-text:t" inset="0,0,0,0">
                <w:txbxContent>
                  <w:p w:rsidR="0091746E" w:rsidRDefault="0091746E">
                    <w:r>
                      <w:rPr>
                        <w:rFonts w:ascii="Calibri" w:hAnsi="Calibri" w:cs="Calibri"/>
                        <w:color w:val="000000"/>
                        <w:sz w:val="20"/>
                        <w:szCs w:val="20"/>
                      </w:rPr>
                      <w:t>Workforce</w:t>
                    </w:r>
                  </w:p>
                </w:txbxContent>
              </v:textbox>
            </v:rect>
            <v:rect id="_x0000_s1530" style="position:absolute;left:1181;top:5062;width:1826;height:341" stroked="f"/>
            <v:shape id="_x0000_s1531" style="position:absolute;left:1174;top:5054;width:1839;height:357" coordsize="2144,368" path="m,8hdc,4,4,,8,hal2136,hdc2141,,2144,4,2144,8hal2144,360hdc2144,365,2141,368,2136,368hal8,368hdc4,368,,365,,360hal,8hdxm16,360hal8,352r2128,l2128,360r,-352l2136,16,8,16,16,8r,352hdxe" fillcolor="black" strokeweight=".05pt">
              <v:path arrowok="t"/>
              <o:lock v:ext="edit" verticies="t"/>
            </v:shape>
            <v:rect id="_x0000_s1532" style="position:absolute;left:1326;top:5097;width:1683;height:244;mso-wrap-style:none;v-text-anchor:top" filled="f" stroked="f">
              <v:textbox style="mso-fit-shape-to-text:t" inset="0,0,0,0">
                <w:txbxContent>
                  <w:p w:rsidR="0091746E" w:rsidRDefault="0091746E">
                    <w:r>
                      <w:rPr>
                        <w:rFonts w:ascii="Calibri" w:hAnsi="Calibri" w:cs="Calibri"/>
                        <w:color w:val="000000"/>
                        <w:sz w:val="20"/>
                        <w:szCs w:val="20"/>
                      </w:rPr>
                      <w:t>Alcohol and Tobacco</w:t>
                    </w:r>
                  </w:p>
                </w:txbxContent>
              </v:textbox>
            </v:rect>
            <v:rect id="_x0000_s1533" style="position:absolute;left:5334;top:4316;width:41;height:490" fillcolor="black" strokeweight=".05pt">
              <v:stroke joinstyle="round"/>
            </v:rect>
            <v:rect id="_x0000_s1534" style="position:absolute;left:5341;top:4324;width:166;height:47" fillcolor="black" strokeweight=".05pt">
              <v:stroke joinstyle="round"/>
            </v:rect>
            <v:rect id="_x0000_s1535" style="position:absolute;left:5341;top:4790;width:166;height:47" fillcolor="black" strokeweight=".05pt">
              <v:stroke joinstyle="round"/>
            </v:rect>
            <v:rect id="_x0000_s1536" style="position:absolute;left:5162;top:4557;width:177;height:47" fillcolor="black" strokeweight=".05pt">
              <v:stroke joinstyle="round"/>
            </v:rect>
            <v:rect id="_x0000_s1537" style="position:absolute;left:5162;top:5737;width:333;height:47" fillcolor="black" strokeweight=".05pt">
              <v:stroke joinstyle="round"/>
            </v:rect>
            <v:rect id="_x0000_s1538" style="position:absolute;left:5162;top:6141;width:333;height:46" fillcolor="black" strokeweight=".05pt">
              <v:stroke joinstyle="round"/>
            </v:rect>
            <v:rect id="_x0000_s1539" style="position:absolute;left:3178;top:3152;width:41;height:1440" fillcolor="black" strokeweight=".05pt">
              <v:stroke joinstyle="round"/>
            </v:rect>
            <v:rect id="_x0000_s1540" style="position:absolute;left:3171;top:3129;width:167;height:46" fillcolor="black" strokeweight=".05pt">
              <v:stroke joinstyle="round"/>
            </v:rect>
            <v:rect id="_x0000_s1541" style="position:absolute;left:3171;top:4573;width:167;height:46" fillcolor="black" strokeweight=".05pt">
              <v:stroke joinstyle="round"/>
            </v:rect>
            <v:rect id="_x0000_s1542" style="position:absolute;left:3007;top:3812;width:333;height:46" fillcolor="black" strokeweight=".05pt">
              <v:stroke joinstyle="round"/>
            </v:rect>
            <v:rect id="_x0000_s1543" style="position:absolute;left:1181;top:2841;width:1826;height:2065" stroked="f"/>
            <v:shape id="_x0000_s1544" style="position:absolute;left:1174;top:2834;width:1839;height:2080" coordsize="2144,2144" path="m,8hdc,4,4,,8,hal2136,hdc2141,,2144,4,2144,8hal2144,2136hdc2144,2141,2141,2144,2136,2144hal8,2144hdc4,2144,,2141,,2136hal,8hdxm16,2136hal8,2128r2128,l2128,2136,2128,8r8,8l8,16,16,8r,2128hdxe" fillcolor="black" strokeweight=".05pt">
              <v:path arrowok="t"/>
              <o:lock v:ext="edit" verticies="t"/>
            </v:shape>
            <v:rect id="_x0000_s1545" style="position:absolute;left:1724;top:3622;width:826;height:244;mso-wrap-style:none;v-text-anchor:top" filled="f" stroked="f">
              <v:textbox style="mso-fit-shape-to-text:t" inset="0,0,0,0">
                <w:txbxContent>
                  <w:p w:rsidR="0091746E" w:rsidRDefault="0091746E">
                    <w:r>
                      <w:rPr>
                        <w:rFonts w:ascii="Calibri" w:hAnsi="Calibri" w:cs="Calibri"/>
                        <w:color w:val="000000"/>
                        <w:sz w:val="20"/>
                        <w:szCs w:val="20"/>
                      </w:rPr>
                      <w:t xml:space="preserve">Arson and </w:t>
                    </w:r>
                  </w:p>
                </w:txbxContent>
              </v:textbox>
            </v:rect>
            <v:rect id="_x0000_s1546" style="position:absolute;left:1710;top:3871;width:833;height:244;mso-wrap-style:none;v-text-anchor:top" filled="f" stroked="f">
              <v:textbox style="mso-fit-shape-to-text:t" inset="0,0,0,0">
                <w:txbxContent>
                  <w:p w:rsidR="0091746E" w:rsidRDefault="0091746E">
                    <w:r>
                      <w:rPr>
                        <w:rFonts w:ascii="Calibri" w:hAnsi="Calibri" w:cs="Calibri"/>
                        <w:color w:val="000000"/>
                        <w:sz w:val="20"/>
                        <w:szCs w:val="20"/>
                      </w:rPr>
                      <w:t>Explosives</w:t>
                    </w:r>
                  </w:p>
                </w:txbxContent>
              </v:textbox>
            </v:rect>
            <v:rect id="_x0000_s1547" style="position:absolute;left:3007;top:5209;width:333;height:47" fillcolor="black" strokeweight=".05pt">
              <v:stroke joinstyle="round"/>
            </v:rect>
            <v:rect id="_x0000_s1548" style="position:absolute;left:3178;top:326;width:41;height:2004" fillcolor="black" strokeweight=".05pt">
              <v:stroke joinstyle="round"/>
            </v:rect>
            <v:rect id="_x0000_s1549" style="position:absolute;left:3171;top:1064;width:167;height:46" fillcolor="black" strokeweight=".05pt">
              <v:stroke joinstyle="round"/>
            </v:rect>
            <v:rect id="_x0000_s1550" style="position:absolute;left:3171;top:2321;width:167;height:47" fillcolor="black" strokeweight=".05pt">
              <v:stroke joinstyle="round"/>
            </v:rect>
            <v:rect id="_x0000_s1551" style="position:absolute;left:1181;top:78;width:1826;height:2593" stroked="f"/>
            <v:shape id="_x0000_s1552" style="position:absolute;left:1174;top:70;width:1839;height:2608" coordsize="2144,2688" path="m,8hdc,4,4,,8,hal2136,hdc2141,,2144,4,2144,8hal2144,2680hdc2144,2685,2141,2688,2136,2688hal8,2688hdc4,2688,,2685,,2680hal,8hdxm16,2680hal8,2672r2128,l2128,2680,2128,8r8,8l8,16,16,8r,2672hdxe" fillcolor="black" strokeweight=".05pt">
              <v:path arrowok="t"/>
              <o:lock v:ext="edit" verticies="t"/>
            </v:shape>
            <v:rect id="_x0000_s1553" style="position:absolute;left:1724;top:1126;width:711;height:244;mso-wrap-style:none;v-text-anchor:top" filled="f" stroked="f">
              <v:textbox style="mso-fit-shape-to-text:t" inset="0,0,0,0">
                <w:txbxContent>
                  <w:p w:rsidR="0091746E" w:rsidRDefault="0091746E">
                    <w:r>
                      <w:rPr>
                        <w:rFonts w:ascii="Calibri" w:hAnsi="Calibri" w:cs="Calibri"/>
                        <w:color w:val="000000"/>
                        <w:sz w:val="20"/>
                        <w:szCs w:val="20"/>
                      </w:rPr>
                      <w:t xml:space="preserve">Firearms </w:t>
                    </w:r>
                  </w:p>
                </w:txbxContent>
              </v:textbox>
            </v:rect>
            <v:rect id="_x0000_s1555" style="position:absolute;left:3171;top:318;width:167;height:47" fillcolor="black" strokeweight=".05pt">
              <v:stroke joinstyle="round"/>
            </v:rect>
            <v:rect id="_x0000_s1556" style="position:absolute;left:3171;top:1809;width:167;height:46" fillcolor="black" strokeweight=".05pt">
              <v:stroke joinstyle="round"/>
            </v:rect>
            <v:rect id="_x0000_s1557" style="position:absolute;left:3007;top:1498;width:176;height:47" fillcolor="black" strokeweight=".05pt">
              <v:stroke joinstyle="round"/>
            </v:rect>
            <v:rect id="_x0000_s1558" style="position:absolute;left:14;top:2205;width:837;height:1071" stroked="f"/>
            <v:shape id="_x0000_s1559" style="position:absolute;left:7;top:2197;width:851;height:1087" coordsize="992,1120" path="m,8hdc,4,4,,8,hal984,hdc989,,992,4,992,8hal992,1112hdc992,1117,989,1120,984,1120hal8,1120hdc4,1120,,1117,,1112hal,8hdxm16,1112hal8,1104r976,l976,1112,976,8r8,8l8,16,16,8r,1104hdxe" fillcolor="black" strokeweight=".05pt">
              <v:path arrowok="t"/>
              <o:lock v:ext="edit" verticies="t"/>
            </v:shape>
            <v:rect id="_x0000_s1560" style="position:absolute;left:288;top:2495;width:306;height:244;mso-wrap-style:none;v-text-anchor:top" filled="f" stroked="f">
              <v:textbox style="mso-fit-shape-to-text:t" inset="0,0,0,0">
                <w:txbxContent>
                  <w:p w:rsidR="0091746E" w:rsidRDefault="0091746E">
                    <w:r>
                      <w:rPr>
                        <w:rFonts w:ascii="Calibri" w:hAnsi="Calibri" w:cs="Calibri"/>
                        <w:color w:val="000000"/>
                        <w:sz w:val="20"/>
                        <w:szCs w:val="20"/>
                      </w:rPr>
                      <w:t>ATF</w:t>
                    </w:r>
                  </w:p>
                </w:txbxContent>
              </v:textbox>
            </v:rect>
            <v:rect id="_x0000_s1561" style="position:absolute;left:178;top:2744;width:563;height:244;mso-wrap-style:none;v-text-anchor:top" filled="f" stroked="f">
              <v:textbox style="mso-fit-shape-to-text:t" inset="0,0,0,0">
                <w:txbxContent>
                  <w:p w:rsidR="0091746E" w:rsidRDefault="0091746E">
                    <w:r>
                      <w:rPr>
                        <w:rFonts w:ascii="Calibri" w:hAnsi="Calibri" w:cs="Calibri"/>
                        <w:color w:val="000000"/>
                        <w:sz w:val="20"/>
                        <w:szCs w:val="20"/>
                      </w:rPr>
                      <w:t>Impact</w:t>
                    </w:r>
                  </w:p>
                </w:txbxContent>
              </v:textbox>
            </v:rect>
            <v:rect id="_x0000_s1562" style="position:absolute;left:1023;top:1397;width:41;height:3820" fillcolor="black" strokeweight=".05pt">
              <v:stroke joinstyle="round"/>
            </v:rect>
            <v:rect id="_x0000_s1563" style="position:absolute;left:1016;top:1374;width:166;height:47" fillcolor="black" strokeweight=".05pt">
              <v:stroke joinstyle="round"/>
            </v:rect>
            <v:rect id="_x0000_s1564" style="position:absolute;left:1016;top:5194;width:166;height:46" fillcolor="black" strokeweight=".05pt">
              <v:stroke joinstyle="round"/>
            </v:rect>
            <v:rect id="_x0000_s1565" style="position:absolute;left:851;top:2756;width:167;height:47" fillcolor="black" strokeweight=".05pt">
              <v:stroke joinstyle="round"/>
            </v:rect>
            <v:shape id="_x0000_s1566" style="position:absolute;left:1071;top:5520;width:8232;height:15" coordsize="8232,15" path="m,l56,r,15l,15,,xm97,r55,l152,15r-55,l97,xm193,r55,l248,15r-55,l193,xm289,r55,l344,15r-55,l289,xm385,r55,l440,15r-55,l385,xm481,r55,l536,15r-55,l481,xm577,r55,l632,15r-55,l577,xm673,r55,l728,15r-55,l673,xm770,r54,l824,15r-54,l770,xm866,r55,l921,15r-55,l866,xm963,r55,l1018,15r-55,l963,xm1059,r55,l1114,15r-55,l1059,xm1155,r55,l1210,15r-55,l1155,xm1251,r55,l1306,15r-55,l1251,xm1347,r55,l1402,15r-55,l1347,xm1443,r55,l1498,15r-55,l1443,xm1539,r55,l1594,15r-55,l1539,xm1635,r55,l1690,15r-55,l1635,xm1731,r56,l1787,15r-56,l1731,xm1828,r55,l1883,15r-55,l1828,xm1924,r55,l1979,15r-55,l1924,xm2021,r54,l2075,15r-54,l2021,xm2117,r55,l2172,15r-55,l2117,xm2213,r55,l2268,15r-55,l2213,xm2309,r55,l2364,15r-55,l2309,xm2405,r55,l2460,15r-55,l2405,xm2501,r55,l2556,15r-55,l2501,xm2597,r56,l2653,15r-56,l2597,xm2694,r55,l2749,15r-55,l2694,xm2790,r55,l2845,15r-55,l2790,xm2886,r55,l2941,15r-55,l2886,xm2982,r55,l3037,15r-55,l2982,xm3079,r54,l3133,15r-54,l3079,xm3175,r55,l3230,15r-55,l3175,xm3271,r55,l3326,15r-55,l3271,xm3367,r55,l3422,15r-55,l3367,xm3464,r55,l3519,15r-55,l3464,xm3560,r55,l3615,15r-55,l3560,xm3656,r55,l3711,15r-55,l3656,xm3752,r55,l3807,15r-55,l3752,xm3848,r55,l3903,15r-55,l3848,xm3944,r55,l3999,15r-55,l3944,xm4040,r55,l4095,15r-55,l4040,xm4137,r54,l4191,15r-54,l4137,xm4233,r55,l4288,15r-55,l4233,xm4330,r55,l4385,15r-55,l4330,xm4426,r55,l4481,15r-55,l4426,xm4522,r55,l4577,15r-55,l4522,xm4618,r55,l4673,15r-55,l4618,xm4714,r55,l4769,15r-55,l4714,xm4810,r55,l4865,15r-55,l4810,xm4906,r55,l4961,15r-55,l4906,xm5002,r55,l5057,15r-55,l5002,xm5098,r55,l5153,15r-55,l5098,xm5195,r55,l5250,15r-55,l5195,xm5291,r55,l5346,15r-55,l5291,xm5388,r54,l5442,15r-54,l5388,xm5484,r55,l5539,15r-55,l5484,xm5580,r55,l5635,15r-55,l5580,xm5676,r55,l5731,15r-55,l5676,xm5772,r55,l5827,15r-55,l5772,xm5868,r55,l5923,15r-55,l5868,xm5964,r55,l6019,15r-55,l5964,xm6061,r55,l6116,15r-55,l6061,xm6157,r55,l6212,15r-55,l6157,xm6253,r55,l6308,15r-55,l6253,xm6349,r55,l6404,15r-55,l6349,xm6446,r54,l6500,15r-54,l6446,xm6542,r55,l6597,15r-55,l6542,xm6638,r55,l6693,15r-55,l6638,xm6734,r55,l6789,15r-55,l6734,xm6830,r56,l6886,15r-56,l6830,xm6927,r55,l6982,15r-55,l6927,xm7023,r55,l7078,15r-55,l7023,xm7119,r55,l7174,15r-55,l7119,xm7215,r55,l7270,15r-55,l7215,xm7311,r55,l7366,15r-55,l7311,xm7407,r55,l7462,15r-55,l7407,xm7504,r54,l7558,15r-54,l7504,xm7600,r55,l7655,15r-55,l7600,xm7696,r56,l7752,15r-56,l7696,xm7793,r55,l7848,15r-55,l7793,xm7889,r55,l7944,15r-55,l7889,xm7985,r55,l8040,15r-55,l7985,xm8081,r55,l8136,15r-55,l8081,xm8177,r55,l8232,15r-55,l8177,xe" fillcolor="black" strokeweight=".05pt">
              <v:path arrowok="t"/>
              <o:lock v:ext="edit" verticies="t"/>
            </v:shape>
            <v:shape id="_x0000_s1567" style="position:absolute;left:1071;top:2756;width:8232;height:16" coordsize="8232,16" path="m,l56,r,16l,16,,xm97,r55,l152,16r-55,l97,xm193,r55,l248,16r-55,l193,xm289,r55,l344,16r-55,l289,xm385,r55,l440,16r-55,l385,xm481,r55,l536,16r-55,l481,xm577,r55,l632,16r-55,l577,xm673,r55,l728,16r-55,l673,xm770,r54,l824,16r-54,l770,xm866,r55,l921,16r-55,l866,xm963,r55,l1018,16r-55,l963,xm1059,r55,l1114,16r-55,l1059,xm1155,r55,l1210,16r-55,l1155,xm1251,r55,l1306,16r-55,l1251,xm1347,r55,l1402,16r-55,l1347,xm1443,r55,l1498,16r-55,l1443,xm1539,r55,l1594,16r-55,l1539,xm1635,r55,l1690,16r-55,l1635,xm1731,r56,l1787,16r-56,l1731,xm1828,r55,l1883,16r-55,l1828,xm1924,r55,l1979,16r-55,l1924,xm2021,r54,l2075,16r-54,l2021,xm2117,r55,l2172,16r-55,l2117,xm2213,r55,l2268,16r-55,l2213,xm2309,r55,l2364,16r-55,l2309,xm2405,r55,l2460,16r-55,l2405,xm2501,r55,l2556,16r-55,l2501,xm2597,r56,l2653,16r-56,l2597,xm2694,r55,l2749,16r-55,l2694,xm2790,r55,l2845,16r-55,l2790,xm2886,r55,l2941,16r-55,l2886,xm2982,r55,l3037,16r-55,l2982,xm3079,r54,l3133,16r-54,l3079,xm3175,r55,l3230,16r-55,l3175,xm3271,r55,l3326,16r-55,l3271,xm3367,r55,l3422,16r-55,l3367,xm3464,r55,l3519,16r-55,l3464,xm3560,r55,l3615,16r-55,l3560,xm3656,r55,l3711,16r-55,l3656,xm3752,r55,l3807,16r-55,l3752,xm3848,r55,l3903,16r-55,l3848,xm3944,r55,l3999,16r-55,l3944,xm4040,r55,l4095,16r-55,l4040,xm4137,r54,l4191,16r-54,l4137,xm4233,r55,l4288,16r-55,l4233,xm4330,r55,l4385,16r-55,l4330,xm4426,r55,l4481,16r-55,l4426,xm4522,r55,l4577,16r-55,l4522,xm4618,r55,l4673,16r-55,l4618,xm4714,r55,l4769,16r-55,l4714,xm4810,r55,l4865,16r-55,l4810,xm4906,r55,l4961,16r-55,l4906,xm5002,r55,l5057,16r-55,l5002,xm5098,r55,l5153,16r-55,l5098,xm5195,r55,l5250,16r-55,l5195,xm5291,r55,l5346,16r-55,l5291,xm5388,r54,l5442,16r-54,l5388,xm5484,r55,l5539,16r-55,l5484,xm5580,r55,l5635,16r-55,l5580,xm5676,r55,l5731,16r-55,l5676,xm5772,r55,l5827,16r-55,l5772,xm5868,r55,l5923,16r-55,l5868,xm5964,r55,l6019,16r-55,l5964,xm6061,r55,l6116,16r-55,l6061,xm6157,r55,l6212,16r-55,l6157,xm6253,r55,l6308,16r-55,l6253,xm6349,r55,l6404,16r-55,l6349,xm6446,r54,l6500,16r-54,l6446,xm6542,r55,l6597,16r-55,l6542,xm6638,r55,l6693,16r-55,l6638,xm6734,r55,l6789,16r-55,l6734,xm6830,r56,l6886,16r-56,l6830,xm6927,r55,l6982,16r-55,l6927,xm7023,r55,l7078,16r-55,l7023,xm7119,r55,l7174,16r-55,l7119,xm7215,r55,l7270,16r-55,l7215,xm7311,r55,l7366,16r-55,l7311,xm7407,r55,l7462,16r-55,l7407,xm7504,r54,l7558,16r-54,l7504,xm7600,r55,l7655,16r-55,l7600,xm7696,r56,l7752,16r-56,l7696,xm7793,r55,l7848,16r-55,l7793,xm7889,r55,l7944,16r-55,l7889,xm7985,r55,l8040,16r-55,l7985,xm8081,r55,l8136,16r-55,l8081,xm8177,r55,l8232,16r-55,l8177,xe" fillcolor="black" strokeweight=".05pt">
              <v:path arrowok="t"/>
              <o:lock v:ext="edit" verticies="t"/>
            </v:shape>
            <v:rect id="_x0000_s1568" style="position:absolute;left:1016;top:3812;width:166;height:46" fillcolor="black" strokeweight=".05pt">
              <v:stroke joinstyle="round"/>
            </v:rect>
            <w10:wrap type="none"/>
            <w10:anchorlock/>
          </v:group>
        </w:pict>
      </w:r>
    </w:p>
    <w:p w:rsidR="008D3355" w:rsidRDefault="008D3355" w:rsidP="005E0F48">
      <w:pPr>
        <w:rPr>
          <w:szCs w:val="22"/>
        </w:rPr>
      </w:pPr>
    </w:p>
    <w:p w:rsidR="005E0F48" w:rsidRPr="001C775F" w:rsidRDefault="005E0F48" w:rsidP="005E0F48">
      <w:pPr>
        <w:rPr>
          <w:szCs w:val="22"/>
        </w:rPr>
      </w:pPr>
      <w:r w:rsidRPr="00E06CC2">
        <w:rPr>
          <w:szCs w:val="22"/>
        </w:rPr>
        <w:t xml:space="preserve">Applying an index to gauge performance is a widely accepted practice for compiling multiple performance indicators into a single number.  Examples of indices used elsewhere in the </w:t>
      </w:r>
      <w:r w:rsidR="00D31D89">
        <w:rPr>
          <w:szCs w:val="22"/>
        </w:rPr>
        <w:t>Federal</w:t>
      </w:r>
      <w:r w:rsidRPr="00E06CC2">
        <w:rPr>
          <w:szCs w:val="22"/>
        </w:rPr>
        <w:t xml:space="preserve"> government include the Environmental Protection Agency’s UV Index and the FBI’s annual calculation of a crime rate that results in the FBI Uniform Crime Report. </w:t>
      </w:r>
      <w:r w:rsidR="00AF4047">
        <w:rPr>
          <w:szCs w:val="22"/>
        </w:rPr>
        <w:t xml:space="preserve"> </w:t>
      </w:r>
      <w:r w:rsidRPr="00E06CC2">
        <w:rPr>
          <w:szCs w:val="22"/>
        </w:rPr>
        <w:t xml:space="preserve">As used at ATF, the Index number moves up or down and portrays the progress made against pre-established performance goal </w:t>
      </w:r>
      <w:r w:rsidR="00D31D89">
        <w:rPr>
          <w:szCs w:val="22"/>
        </w:rPr>
        <w:t>state</w:t>
      </w:r>
      <w:r w:rsidRPr="00E06CC2">
        <w:rPr>
          <w:szCs w:val="22"/>
        </w:rPr>
        <w:t>ments.</w:t>
      </w:r>
    </w:p>
    <w:p w:rsidR="005E0F48" w:rsidRPr="001C775F" w:rsidRDefault="005E0F48" w:rsidP="005E0F48">
      <w:pPr>
        <w:rPr>
          <w:szCs w:val="22"/>
        </w:rPr>
      </w:pPr>
    </w:p>
    <w:p w:rsidR="005E0F48" w:rsidRDefault="005E0F48" w:rsidP="005E0F48">
      <w:pPr>
        <w:rPr>
          <w:szCs w:val="22"/>
        </w:rPr>
      </w:pPr>
      <w:r w:rsidRPr="001C775F">
        <w:rPr>
          <w:szCs w:val="22"/>
        </w:rPr>
        <w:t>The Index measures progress against quantifiable goals or targets.  ATF has established a target for each performance indicator included in the Index based on historic performance and ATF’s current or anticipated operating environment.  Each</w:t>
      </w:r>
      <w:r>
        <w:rPr>
          <w:szCs w:val="22"/>
        </w:rPr>
        <w:t xml:space="preserve"> element </w:t>
      </w:r>
      <w:r w:rsidRPr="001C775F">
        <w:rPr>
          <w:szCs w:val="22"/>
        </w:rPr>
        <w:t xml:space="preserve">of the Index (performance indicator, strategic objective, performance goal </w:t>
      </w:r>
      <w:r w:rsidR="00D31D89">
        <w:rPr>
          <w:szCs w:val="22"/>
        </w:rPr>
        <w:t>state</w:t>
      </w:r>
      <w:r w:rsidRPr="001C775F">
        <w:rPr>
          <w:szCs w:val="22"/>
        </w:rPr>
        <w:t xml:space="preserve">ment, and budget decision unit) </w:t>
      </w:r>
      <w:r>
        <w:rPr>
          <w:szCs w:val="22"/>
        </w:rPr>
        <w:t xml:space="preserve">is </w:t>
      </w:r>
      <w:r w:rsidRPr="001C775F">
        <w:rPr>
          <w:szCs w:val="22"/>
        </w:rPr>
        <w:t xml:space="preserve">assigned a weight to show its strength relative to the overall Index.  The weight assigned to each of the performance indicators is based on the indicator’s effectiveness as a measure of its respective performance goal </w:t>
      </w:r>
      <w:r w:rsidR="00D31D89">
        <w:rPr>
          <w:szCs w:val="22"/>
        </w:rPr>
        <w:t>state</w:t>
      </w:r>
      <w:r w:rsidRPr="001C775F">
        <w:rPr>
          <w:szCs w:val="22"/>
        </w:rPr>
        <w:t xml:space="preserve">ment.  The weight of each strategic objective is the sum of the weights of the performance indicators that comprise it. </w:t>
      </w:r>
      <w:r w:rsidR="00AF4047">
        <w:rPr>
          <w:szCs w:val="22"/>
        </w:rPr>
        <w:t xml:space="preserve"> </w:t>
      </w:r>
      <w:r w:rsidRPr="001C775F">
        <w:rPr>
          <w:szCs w:val="22"/>
        </w:rPr>
        <w:t xml:space="preserve">The performance goal </w:t>
      </w:r>
      <w:r w:rsidR="00D31D89">
        <w:rPr>
          <w:szCs w:val="22"/>
        </w:rPr>
        <w:t>state</w:t>
      </w:r>
      <w:r w:rsidRPr="001C775F">
        <w:rPr>
          <w:szCs w:val="22"/>
        </w:rPr>
        <w:t xml:space="preserve">ments </w:t>
      </w:r>
      <w:r>
        <w:rPr>
          <w:szCs w:val="22"/>
        </w:rPr>
        <w:t>a</w:t>
      </w:r>
      <w:r w:rsidRPr="001C775F">
        <w:rPr>
          <w:szCs w:val="22"/>
        </w:rPr>
        <w:t xml:space="preserve">re weighted according to two criteria: impact on its respective budget decision unit mission (e.g., the impact of Illegal Firearms Trafficking on ATF’s Firearms mission), and ATF’s current capabilities in </w:t>
      </w:r>
      <w:r w:rsidRPr="001C775F">
        <w:rPr>
          <w:szCs w:val="22"/>
        </w:rPr>
        <w:lastRenderedPageBreak/>
        <w:t xml:space="preserve">the area of the performance goal </w:t>
      </w:r>
      <w:r w:rsidR="00D31D89">
        <w:rPr>
          <w:szCs w:val="22"/>
        </w:rPr>
        <w:t>state</w:t>
      </w:r>
      <w:r w:rsidRPr="001C775F">
        <w:rPr>
          <w:szCs w:val="22"/>
        </w:rPr>
        <w:t xml:space="preserve">ment. </w:t>
      </w:r>
      <w:r w:rsidR="00AF4047">
        <w:rPr>
          <w:szCs w:val="22"/>
        </w:rPr>
        <w:t xml:space="preserve"> </w:t>
      </w:r>
      <w:r w:rsidRPr="001C775F">
        <w:rPr>
          <w:szCs w:val="22"/>
        </w:rPr>
        <w:t>Weights are assigned to ATF’s budget decision units (firearms, arson and explosives, and alcohol and tobacco) in accordance with established Congressional reprogramming thresholds among these mission areas.</w:t>
      </w:r>
    </w:p>
    <w:p w:rsidR="00CA5E59" w:rsidRDefault="00CA5E59" w:rsidP="005E0F48">
      <w:pPr>
        <w:rPr>
          <w:szCs w:val="22"/>
        </w:rPr>
      </w:pPr>
    </w:p>
    <w:p w:rsidR="005E0F48" w:rsidRPr="001C775F" w:rsidRDefault="005E0F48" w:rsidP="005E0F48">
      <w:pPr>
        <w:rPr>
          <w:szCs w:val="22"/>
        </w:rPr>
      </w:pPr>
      <w:r w:rsidRPr="001C775F">
        <w:rPr>
          <w:szCs w:val="22"/>
        </w:rPr>
        <w:t xml:space="preserve">The Index </w:t>
      </w:r>
      <w:r>
        <w:rPr>
          <w:szCs w:val="22"/>
        </w:rPr>
        <w:t xml:space="preserve">compiles </w:t>
      </w:r>
      <w:r w:rsidRPr="001C775F">
        <w:rPr>
          <w:szCs w:val="22"/>
        </w:rPr>
        <w:t xml:space="preserve">mathematical calculations that combine ATF’s actual progress toward targets, and the weight of the performance indicator, strategic objective, performance goal </w:t>
      </w:r>
      <w:r w:rsidR="00D31D89">
        <w:rPr>
          <w:szCs w:val="22"/>
        </w:rPr>
        <w:t>state</w:t>
      </w:r>
      <w:r w:rsidRPr="001C775F">
        <w:rPr>
          <w:szCs w:val="22"/>
        </w:rPr>
        <w:t>ment, and budget decision unit.  The calculations to determine the value for each level of ATF’s Performance Index is as follows:</w:t>
      </w:r>
    </w:p>
    <w:tbl>
      <w:tblPr>
        <w:tblW w:w="9288" w:type="dxa"/>
        <w:tblLook w:val="04A0"/>
      </w:tblPr>
      <w:tblGrid>
        <w:gridCol w:w="3258"/>
        <w:gridCol w:w="6030"/>
      </w:tblGrid>
      <w:tr w:rsidR="005E0F48" w:rsidRPr="00716AF8" w:rsidTr="007D4B70">
        <w:tc>
          <w:tcPr>
            <w:tcW w:w="3258" w:type="dxa"/>
          </w:tcPr>
          <w:p w:rsidR="005E0F48" w:rsidRDefault="005E0F48" w:rsidP="007D4B70">
            <w:pPr>
              <w:rPr>
                <w:szCs w:val="22"/>
              </w:rPr>
            </w:pPr>
          </w:p>
          <w:p w:rsidR="005E0F48" w:rsidRPr="001C775F" w:rsidRDefault="005E0F48" w:rsidP="007D4B70">
            <w:r w:rsidRPr="001C775F">
              <w:rPr>
                <w:szCs w:val="22"/>
              </w:rPr>
              <w:t>Per Performance Indicator:</w:t>
            </w:r>
          </w:p>
        </w:tc>
        <w:tc>
          <w:tcPr>
            <w:tcW w:w="6030" w:type="dxa"/>
          </w:tcPr>
          <w:p w:rsidR="005E0F48" w:rsidRDefault="005E0F48" w:rsidP="007D4B70">
            <w:pPr>
              <w:rPr>
                <w:szCs w:val="22"/>
              </w:rPr>
            </w:pPr>
          </w:p>
          <w:p w:rsidR="005E0F48" w:rsidRPr="001C775F" w:rsidRDefault="005E0F48" w:rsidP="007D4B70">
            <w:r w:rsidRPr="001C775F">
              <w:rPr>
                <w:szCs w:val="22"/>
              </w:rPr>
              <w:t>Actual ÷ Target x Weight of Performance Indicator</w:t>
            </w:r>
          </w:p>
        </w:tc>
      </w:tr>
      <w:tr w:rsidR="005E0F48" w:rsidRPr="00716AF8" w:rsidTr="007D4B70">
        <w:tc>
          <w:tcPr>
            <w:tcW w:w="3258" w:type="dxa"/>
          </w:tcPr>
          <w:p w:rsidR="005E0F48" w:rsidRPr="001C775F" w:rsidRDefault="005E0F48" w:rsidP="007D4B70">
            <w:r w:rsidRPr="001C775F">
              <w:rPr>
                <w:szCs w:val="22"/>
              </w:rPr>
              <w:t>Per Strategic Objective:</w:t>
            </w:r>
          </w:p>
        </w:tc>
        <w:tc>
          <w:tcPr>
            <w:tcW w:w="6030" w:type="dxa"/>
          </w:tcPr>
          <w:p w:rsidR="005E0F48" w:rsidRPr="001C775F" w:rsidRDefault="005E0F48" w:rsidP="007D4B70">
            <w:r w:rsidRPr="001C775F">
              <w:rPr>
                <w:szCs w:val="22"/>
              </w:rPr>
              <w:t>Sum of Performance Indicator Subtotals</w:t>
            </w:r>
          </w:p>
        </w:tc>
      </w:tr>
      <w:tr w:rsidR="005E0F48" w:rsidRPr="00716AF8" w:rsidTr="007D4B70">
        <w:tc>
          <w:tcPr>
            <w:tcW w:w="3258" w:type="dxa"/>
          </w:tcPr>
          <w:p w:rsidR="005E0F48" w:rsidRPr="001C775F" w:rsidRDefault="005E0F48" w:rsidP="007D4B70">
            <w:r w:rsidRPr="001C775F">
              <w:rPr>
                <w:szCs w:val="22"/>
              </w:rPr>
              <w:t xml:space="preserve">Per Performance Goal </w:t>
            </w:r>
            <w:r w:rsidR="00D31D89">
              <w:rPr>
                <w:szCs w:val="22"/>
              </w:rPr>
              <w:t>State</w:t>
            </w:r>
            <w:r w:rsidRPr="001C775F">
              <w:rPr>
                <w:szCs w:val="22"/>
              </w:rPr>
              <w:t>ment:</w:t>
            </w:r>
          </w:p>
        </w:tc>
        <w:tc>
          <w:tcPr>
            <w:tcW w:w="6030" w:type="dxa"/>
          </w:tcPr>
          <w:p w:rsidR="005E0F48" w:rsidRPr="001C775F" w:rsidRDefault="005E0F48" w:rsidP="007D4B70">
            <w:pPr>
              <w:rPr>
                <w:rFonts w:cs="Arial"/>
                <w:b/>
                <w:bCs/>
                <w:lang w:val="en-GB"/>
              </w:rPr>
            </w:pPr>
            <w:r w:rsidRPr="001C775F">
              <w:rPr>
                <w:szCs w:val="22"/>
              </w:rPr>
              <w:t xml:space="preserve">Sum of Strategic Objective Totals x Weight of Performance Goal </w:t>
            </w:r>
            <w:r w:rsidR="00D31D89">
              <w:rPr>
                <w:szCs w:val="22"/>
              </w:rPr>
              <w:t>State</w:t>
            </w:r>
            <w:r w:rsidRPr="001C775F">
              <w:rPr>
                <w:szCs w:val="22"/>
              </w:rPr>
              <w:t>ment</w:t>
            </w:r>
          </w:p>
        </w:tc>
      </w:tr>
      <w:tr w:rsidR="005E0F48" w:rsidRPr="00716AF8" w:rsidTr="007D4B70">
        <w:tc>
          <w:tcPr>
            <w:tcW w:w="3258" w:type="dxa"/>
          </w:tcPr>
          <w:p w:rsidR="005E0F48" w:rsidRPr="001C775F" w:rsidRDefault="005E0F48" w:rsidP="007D4B70">
            <w:r w:rsidRPr="001C775F">
              <w:rPr>
                <w:szCs w:val="22"/>
              </w:rPr>
              <w:t>Per Budget Decision Unit:</w:t>
            </w:r>
          </w:p>
        </w:tc>
        <w:tc>
          <w:tcPr>
            <w:tcW w:w="6030" w:type="dxa"/>
          </w:tcPr>
          <w:p w:rsidR="005E0F48" w:rsidRPr="001C775F" w:rsidRDefault="005E0F48" w:rsidP="007D4B70">
            <w:r w:rsidRPr="001C775F">
              <w:rPr>
                <w:szCs w:val="22"/>
              </w:rPr>
              <w:t xml:space="preserve">Sum of Performance Goal </w:t>
            </w:r>
            <w:r w:rsidR="00D31D89">
              <w:rPr>
                <w:szCs w:val="22"/>
              </w:rPr>
              <w:t>State</w:t>
            </w:r>
            <w:r w:rsidRPr="001C775F">
              <w:rPr>
                <w:szCs w:val="22"/>
              </w:rPr>
              <w:t>ment Subtotals x Weight of Budget Decision Unit</w:t>
            </w:r>
          </w:p>
        </w:tc>
      </w:tr>
      <w:tr w:rsidR="005E0F48" w:rsidRPr="00716AF8" w:rsidTr="007D4B70">
        <w:tc>
          <w:tcPr>
            <w:tcW w:w="3258" w:type="dxa"/>
          </w:tcPr>
          <w:p w:rsidR="005E0F48" w:rsidRPr="001C775F" w:rsidRDefault="005E0F48" w:rsidP="007D4B70">
            <w:r w:rsidRPr="001C775F">
              <w:rPr>
                <w:szCs w:val="22"/>
              </w:rPr>
              <w:t>ATF Performance Index:</w:t>
            </w:r>
          </w:p>
        </w:tc>
        <w:tc>
          <w:tcPr>
            <w:tcW w:w="6030" w:type="dxa"/>
          </w:tcPr>
          <w:p w:rsidR="005E0F48" w:rsidRPr="001C775F" w:rsidRDefault="005E0F48" w:rsidP="007D4B70">
            <w:r w:rsidRPr="001C775F">
              <w:rPr>
                <w:szCs w:val="22"/>
              </w:rPr>
              <w:t>Sum of All Budget Decision Unit Subtotals</w:t>
            </w:r>
          </w:p>
        </w:tc>
      </w:tr>
    </w:tbl>
    <w:p w:rsidR="005E0F48" w:rsidRPr="001C775F" w:rsidRDefault="005E0F48" w:rsidP="005E0F48">
      <w:pPr>
        <w:rPr>
          <w:szCs w:val="22"/>
        </w:rPr>
      </w:pPr>
    </w:p>
    <w:p w:rsidR="005E0F48" w:rsidRPr="001C775F" w:rsidRDefault="005E0F48" w:rsidP="005E0F48">
      <w:pPr>
        <w:rPr>
          <w:szCs w:val="22"/>
        </w:rPr>
      </w:pPr>
      <w:r w:rsidRPr="001C775F">
        <w:rPr>
          <w:szCs w:val="22"/>
        </w:rPr>
        <w:t>The calculations at the performance indicator and strategic objective levels are displayed in the example below.</w:t>
      </w:r>
    </w:p>
    <w:p w:rsidR="005E0F48" w:rsidRPr="001C775F" w:rsidRDefault="005E0F48" w:rsidP="005E0F48">
      <w:pPr>
        <w:rPr>
          <w:szCs w:val="22"/>
        </w:rPr>
      </w:pPr>
    </w:p>
    <w:tbl>
      <w:tblPr>
        <w:tblW w:w="9180" w:type="dxa"/>
        <w:jc w:val="center"/>
        <w:tblInd w:w="144" w:type="dxa"/>
        <w:tblLayout w:type="fixed"/>
        <w:tblCellMar>
          <w:left w:w="0" w:type="dxa"/>
          <w:right w:w="0" w:type="dxa"/>
        </w:tblCellMar>
        <w:tblLook w:val="04A0"/>
      </w:tblPr>
      <w:tblGrid>
        <w:gridCol w:w="1890"/>
        <w:gridCol w:w="1080"/>
        <w:gridCol w:w="1260"/>
        <w:gridCol w:w="1440"/>
        <w:gridCol w:w="1530"/>
        <w:gridCol w:w="1980"/>
      </w:tblGrid>
      <w:tr w:rsidR="005E0F48" w:rsidRPr="00716AF8" w:rsidTr="007D4B70">
        <w:trPr>
          <w:trHeight w:val="160"/>
          <w:jc w:val="center"/>
        </w:trPr>
        <w:tc>
          <w:tcPr>
            <w:tcW w:w="9180" w:type="dxa"/>
            <w:gridSpan w:val="6"/>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5E0F48" w:rsidRPr="001C775F" w:rsidRDefault="005E0F48" w:rsidP="007D4B70">
            <w:pPr>
              <w:rPr>
                <w:rFonts w:cs="Arial"/>
                <w:b/>
                <w:bCs/>
                <w:lang w:val="en-GB"/>
              </w:rPr>
            </w:pPr>
            <w:r w:rsidRPr="001C775F">
              <w:rPr>
                <w:b/>
                <w:bCs/>
                <w:szCs w:val="22"/>
              </w:rPr>
              <w:t>Example Strategic Objective Calculation</w:t>
            </w:r>
          </w:p>
        </w:tc>
      </w:tr>
      <w:tr w:rsidR="005E0F48" w:rsidRPr="00716AF8" w:rsidTr="007D4B70">
        <w:trPr>
          <w:trHeight w:val="538"/>
          <w:jc w:val="center"/>
        </w:trPr>
        <w:tc>
          <w:tcPr>
            <w:tcW w:w="189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vAlign w:val="center"/>
          </w:tcPr>
          <w:p w:rsidR="005E0F48" w:rsidRPr="001C775F" w:rsidRDefault="005E0F48" w:rsidP="007D4B70">
            <w:r w:rsidRPr="001C775F">
              <w:rPr>
                <w:b/>
                <w:bCs/>
                <w:szCs w:val="22"/>
              </w:rPr>
              <w:t>Performance Indicator</w:t>
            </w:r>
          </w:p>
        </w:tc>
        <w:tc>
          <w:tcPr>
            <w:tcW w:w="10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vAlign w:val="center"/>
          </w:tcPr>
          <w:p w:rsidR="005E0F48" w:rsidRPr="001C775F" w:rsidRDefault="005E0F48" w:rsidP="007D4B70">
            <w:r w:rsidRPr="001C775F">
              <w:rPr>
                <w:b/>
                <w:bCs/>
                <w:szCs w:val="22"/>
              </w:rPr>
              <w:t>Actual</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vAlign w:val="center"/>
          </w:tcPr>
          <w:p w:rsidR="005E0F48" w:rsidRPr="001C775F" w:rsidRDefault="005E0F48" w:rsidP="007D4B70">
            <w:r w:rsidRPr="001C775F">
              <w:rPr>
                <w:b/>
                <w:bCs/>
                <w:szCs w:val="22"/>
              </w:rPr>
              <w:t>Target</w:t>
            </w:r>
          </w:p>
        </w:tc>
        <w:tc>
          <w:tcPr>
            <w:tcW w:w="144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vAlign w:val="center"/>
          </w:tcPr>
          <w:p w:rsidR="005E0F48" w:rsidRPr="001C775F" w:rsidRDefault="005E0F48" w:rsidP="007D4B70">
            <w:r w:rsidRPr="001C775F">
              <w:rPr>
                <w:b/>
                <w:bCs/>
                <w:szCs w:val="22"/>
              </w:rPr>
              <w:t>Score</w:t>
            </w:r>
          </w:p>
          <w:p w:rsidR="005E0F48" w:rsidRPr="001C775F" w:rsidRDefault="005E0F48" w:rsidP="007D4B70">
            <w:r w:rsidRPr="001C775F">
              <w:rPr>
                <w:b/>
                <w:bCs/>
                <w:szCs w:val="22"/>
              </w:rPr>
              <w:t>(Actual / Target)</w:t>
            </w:r>
          </w:p>
        </w:tc>
        <w:tc>
          <w:tcPr>
            <w:tcW w:w="1530" w:type="dxa"/>
            <w:tcBorders>
              <w:top w:val="single" w:sz="8" w:space="0" w:color="auto"/>
              <w:left w:val="single" w:sz="18" w:space="0" w:color="auto"/>
              <w:bottom w:val="single" w:sz="8" w:space="0" w:color="auto"/>
              <w:right w:val="single" w:sz="18" w:space="0" w:color="auto"/>
            </w:tcBorders>
            <w:shd w:val="clear" w:color="auto" w:fill="FFFFFF"/>
            <w:tcMar>
              <w:top w:w="72" w:type="dxa"/>
              <w:left w:w="144" w:type="dxa"/>
              <w:bottom w:w="72" w:type="dxa"/>
              <w:right w:w="144" w:type="dxa"/>
            </w:tcMar>
            <w:vAlign w:val="center"/>
          </w:tcPr>
          <w:p w:rsidR="005E0F48" w:rsidRPr="001C775F" w:rsidRDefault="005E0F48" w:rsidP="007D4B70">
            <w:r w:rsidRPr="001C775F">
              <w:rPr>
                <w:b/>
                <w:bCs/>
                <w:szCs w:val="22"/>
              </w:rPr>
              <w:t>Weight</w:t>
            </w:r>
          </w:p>
          <w:p w:rsidR="005E0F48" w:rsidRPr="001C775F" w:rsidRDefault="005E0F48" w:rsidP="007D4B70">
            <w:r w:rsidRPr="001C775F">
              <w:rPr>
                <w:b/>
                <w:bCs/>
                <w:szCs w:val="22"/>
              </w:rPr>
              <w:t>(Percent)</w:t>
            </w:r>
          </w:p>
        </w:tc>
        <w:tc>
          <w:tcPr>
            <w:tcW w:w="19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vAlign w:val="center"/>
          </w:tcPr>
          <w:p w:rsidR="005E0F48" w:rsidRPr="001C775F" w:rsidRDefault="005E0F48" w:rsidP="007D4B70">
            <w:r w:rsidRPr="001C775F">
              <w:rPr>
                <w:b/>
                <w:bCs/>
                <w:szCs w:val="22"/>
              </w:rPr>
              <w:t>Subtotal</w:t>
            </w:r>
          </w:p>
          <w:p w:rsidR="005E0F48" w:rsidRPr="001C775F" w:rsidRDefault="005E0F48" w:rsidP="007D4B70">
            <w:r w:rsidRPr="001C775F">
              <w:rPr>
                <w:b/>
                <w:bCs/>
                <w:szCs w:val="22"/>
              </w:rPr>
              <w:t>(Score x Weight)</w:t>
            </w:r>
          </w:p>
        </w:tc>
      </w:tr>
      <w:tr w:rsidR="005E0F48" w:rsidRPr="00716AF8" w:rsidTr="007D4B70">
        <w:trPr>
          <w:trHeight w:val="124"/>
          <w:jc w:val="center"/>
        </w:trPr>
        <w:tc>
          <w:tcPr>
            <w:tcW w:w="189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5E0F48" w:rsidRPr="001C775F" w:rsidRDefault="005E0F48" w:rsidP="007D4B70">
            <w:pPr>
              <w:jc w:val="center"/>
            </w:pPr>
            <w:r w:rsidRPr="001C775F">
              <w:rPr>
                <w:szCs w:val="22"/>
              </w:rPr>
              <w:t>A</w:t>
            </w:r>
          </w:p>
        </w:tc>
        <w:tc>
          <w:tcPr>
            <w:tcW w:w="10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65</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100</w:t>
            </w:r>
          </w:p>
        </w:tc>
        <w:tc>
          <w:tcPr>
            <w:tcW w:w="144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0.65</w:t>
            </w:r>
          </w:p>
        </w:tc>
        <w:tc>
          <w:tcPr>
            <w:tcW w:w="1530" w:type="dxa"/>
            <w:tcBorders>
              <w:top w:val="single" w:sz="8" w:space="0" w:color="auto"/>
              <w:left w:val="single" w:sz="18" w:space="0" w:color="auto"/>
              <w:bottom w:val="single" w:sz="8" w:space="0" w:color="auto"/>
              <w:right w:val="single" w:sz="1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0.15</w:t>
            </w:r>
          </w:p>
        </w:tc>
        <w:tc>
          <w:tcPr>
            <w:tcW w:w="19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0.0975</w:t>
            </w:r>
          </w:p>
        </w:tc>
      </w:tr>
      <w:tr w:rsidR="005E0F48" w:rsidRPr="00716AF8" w:rsidTr="007D4B70">
        <w:trPr>
          <w:trHeight w:val="124"/>
          <w:jc w:val="center"/>
        </w:trPr>
        <w:tc>
          <w:tcPr>
            <w:tcW w:w="189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5E0F48" w:rsidRPr="001C775F" w:rsidRDefault="005E0F48" w:rsidP="007D4B70">
            <w:pPr>
              <w:jc w:val="center"/>
            </w:pPr>
            <w:r w:rsidRPr="001C775F">
              <w:rPr>
                <w:szCs w:val="22"/>
              </w:rPr>
              <w:t>B</w:t>
            </w:r>
          </w:p>
        </w:tc>
        <w:tc>
          <w:tcPr>
            <w:tcW w:w="10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180</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200</w:t>
            </w:r>
          </w:p>
        </w:tc>
        <w:tc>
          <w:tcPr>
            <w:tcW w:w="144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0.90</w:t>
            </w:r>
          </w:p>
        </w:tc>
        <w:tc>
          <w:tcPr>
            <w:tcW w:w="1530" w:type="dxa"/>
            <w:tcBorders>
              <w:top w:val="single" w:sz="8" w:space="0" w:color="auto"/>
              <w:left w:val="single" w:sz="18" w:space="0" w:color="auto"/>
              <w:bottom w:val="single" w:sz="8" w:space="0" w:color="auto"/>
              <w:right w:val="single" w:sz="1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0.75</w:t>
            </w:r>
          </w:p>
        </w:tc>
        <w:tc>
          <w:tcPr>
            <w:tcW w:w="19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0.675</w:t>
            </w:r>
          </w:p>
        </w:tc>
      </w:tr>
      <w:tr w:rsidR="005E0F48" w:rsidRPr="00716AF8" w:rsidTr="007D4B70">
        <w:trPr>
          <w:trHeight w:val="124"/>
          <w:jc w:val="center"/>
        </w:trPr>
        <w:tc>
          <w:tcPr>
            <w:tcW w:w="189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5E0F48" w:rsidRPr="001C775F" w:rsidRDefault="005E0F48" w:rsidP="007D4B70">
            <w:pPr>
              <w:jc w:val="center"/>
            </w:pPr>
            <w:r w:rsidRPr="001C775F">
              <w:rPr>
                <w:szCs w:val="22"/>
              </w:rPr>
              <w:t>C</w:t>
            </w:r>
          </w:p>
        </w:tc>
        <w:tc>
          <w:tcPr>
            <w:tcW w:w="10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50</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250</w:t>
            </w:r>
          </w:p>
        </w:tc>
        <w:tc>
          <w:tcPr>
            <w:tcW w:w="1440" w:type="dxa"/>
            <w:tcBorders>
              <w:top w:val="single" w:sz="8" w:space="0" w:color="auto"/>
              <w:left w:val="single" w:sz="8" w:space="0" w:color="auto"/>
              <w:bottom w:val="single" w:sz="8" w:space="0" w:color="auto"/>
              <w:right w:val="single" w:sz="1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0.20</w:t>
            </w:r>
          </w:p>
        </w:tc>
        <w:tc>
          <w:tcPr>
            <w:tcW w:w="1530" w:type="dxa"/>
            <w:tcBorders>
              <w:top w:val="single" w:sz="8" w:space="0" w:color="auto"/>
              <w:left w:val="single" w:sz="18" w:space="0" w:color="auto"/>
              <w:bottom w:val="single" w:sz="8" w:space="0" w:color="auto"/>
              <w:right w:val="single" w:sz="1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0.10</w:t>
            </w:r>
          </w:p>
        </w:tc>
        <w:tc>
          <w:tcPr>
            <w:tcW w:w="1980" w:type="dxa"/>
            <w:tcBorders>
              <w:top w:val="single" w:sz="8" w:space="0" w:color="auto"/>
              <w:left w:val="single" w:sz="18" w:space="0" w:color="auto"/>
              <w:bottom w:val="single" w:sz="8" w:space="0" w:color="auto"/>
              <w:right w:val="single" w:sz="8" w:space="0" w:color="auto"/>
            </w:tcBorders>
            <w:shd w:val="clear" w:color="auto" w:fill="FFFFFF"/>
            <w:tcMar>
              <w:top w:w="72" w:type="dxa"/>
              <w:left w:w="144" w:type="dxa"/>
              <w:bottom w:w="72" w:type="dxa"/>
              <w:right w:w="144" w:type="dxa"/>
            </w:tcMar>
          </w:tcPr>
          <w:p w:rsidR="005E0F48" w:rsidRPr="001C775F" w:rsidRDefault="005E0F48" w:rsidP="007D4B70">
            <w:pPr>
              <w:jc w:val="right"/>
            </w:pPr>
            <w:r w:rsidRPr="001C775F">
              <w:rPr>
                <w:szCs w:val="22"/>
              </w:rPr>
              <w:t>0.02</w:t>
            </w:r>
          </w:p>
        </w:tc>
      </w:tr>
      <w:tr w:rsidR="005E0F48" w:rsidRPr="00716AF8" w:rsidTr="007D4B70">
        <w:trPr>
          <w:trHeight w:val="70"/>
          <w:jc w:val="center"/>
        </w:trPr>
        <w:tc>
          <w:tcPr>
            <w:tcW w:w="7200" w:type="dxa"/>
            <w:gridSpan w:val="5"/>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5E0F48" w:rsidRPr="001C775F" w:rsidRDefault="005E0F48" w:rsidP="007D4B70">
            <w:r w:rsidRPr="001C775F">
              <w:rPr>
                <w:szCs w:val="22"/>
              </w:rPr>
              <w:t xml:space="preserve">Sum of Subtotals = </w:t>
            </w:r>
          </w:p>
        </w:tc>
        <w:tc>
          <w:tcPr>
            <w:tcW w:w="1980" w:type="dxa"/>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5E0F48" w:rsidRPr="001C775F" w:rsidRDefault="005E0F48" w:rsidP="007D4B70">
            <w:pPr>
              <w:jc w:val="right"/>
            </w:pPr>
            <w:r w:rsidRPr="001C775F">
              <w:rPr>
                <w:szCs w:val="22"/>
              </w:rPr>
              <w:t xml:space="preserve">0.7925 </w:t>
            </w:r>
          </w:p>
        </w:tc>
      </w:tr>
      <w:tr w:rsidR="005E0F48" w:rsidRPr="00716AF8" w:rsidTr="007D4B70">
        <w:trPr>
          <w:trHeight w:val="3"/>
          <w:jc w:val="center"/>
        </w:trPr>
        <w:tc>
          <w:tcPr>
            <w:tcW w:w="7200" w:type="dxa"/>
            <w:gridSpan w:val="5"/>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5E0F48" w:rsidRPr="001C775F" w:rsidRDefault="005E0F48" w:rsidP="007D4B70">
            <w:pPr>
              <w:rPr>
                <w:rFonts w:cs="Arial"/>
                <w:b/>
                <w:bCs/>
                <w:lang w:val="en-GB"/>
              </w:rPr>
            </w:pPr>
            <w:r w:rsidRPr="001C775F">
              <w:rPr>
                <w:b/>
                <w:szCs w:val="22"/>
              </w:rPr>
              <w:t xml:space="preserve">Example Strategic Objective Value (Sum x 100) = </w:t>
            </w:r>
          </w:p>
        </w:tc>
        <w:tc>
          <w:tcPr>
            <w:tcW w:w="1980" w:type="dxa"/>
            <w:tcBorders>
              <w:top w:val="single" w:sz="8" w:space="0" w:color="auto"/>
              <w:left w:val="single" w:sz="8" w:space="0" w:color="auto"/>
              <w:bottom w:val="single" w:sz="8" w:space="0" w:color="auto"/>
              <w:right w:val="single" w:sz="8" w:space="0" w:color="auto"/>
            </w:tcBorders>
            <w:shd w:val="pct5" w:color="auto" w:fill="FFFFFF"/>
            <w:tcMar>
              <w:top w:w="72" w:type="dxa"/>
              <w:left w:w="144" w:type="dxa"/>
              <w:bottom w:w="72" w:type="dxa"/>
              <w:right w:w="144" w:type="dxa"/>
            </w:tcMar>
          </w:tcPr>
          <w:p w:rsidR="005E0F48" w:rsidRPr="001C775F" w:rsidRDefault="005E0F48" w:rsidP="007D4B70">
            <w:pPr>
              <w:jc w:val="right"/>
              <w:rPr>
                <w:b/>
              </w:rPr>
            </w:pPr>
            <w:r w:rsidRPr="001C775F">
              <w:rPr>
                <w:b/>
                <w:szCs w:val="22"/>
              </w:rPr>
              <w:t>79.25 %</w:t>
            </w:r>
          </w:p>
        </w:tc>
      </w:tr>
    </w:tbl>
    <w:p w:rsidR="005E0F48" w:rsidRPr="001C775F" w:rsidRDefault="005E0F48" w:rsidP="005E0F48">
      <w:pPr>
        <w:rPr>
          <w:szCs w:val="22"/>
        </w:rPr>
      </w:pPr>
    </w:p>
    <w:p w:rsidR="005E0F48" w:rsidRDefault="005E0F48" w:rsidP="005E0F48">
      <w:pPr>
        <w:rPr>
          <w:szCs w:val="22"/>
        </w:rPr>
      </w:pPr>
      <w:r w:rsidRPr="001C775F">
        <w:rPr>
          <w:szCs w:val="22"/>
        </w:rPr>
        <w:t xml:space="preserve">The sum of the strategic objectives respective to each performance goal </w:t>
      </w:r>
      <w:r w:rsidR="00D31D89">
        <w:rPr>
          <w:szCs w:val="22"/>
        </w:rPr>
        <w:t>state</w:t>
      </w:r>
      <w:r w:rsidRPr="001C775F">
        <w:rPr>
          <w:szCs w:val="22"/>
        </w:rPr>
        <w:t xml:space="preserve">ment is then multiplied by the weight assigned to the performance goal </w:t>
      </w:r>
      <w:r w:rsidR="00D31D89">
        <w:rPr>
          <w:szCs w:val="22"/>
        </w:rPr>
        <w:t>state</w:t>
      </w:r>
      <w:r w:rsidRPr="001C775F">
        <w:rPr>
          <w:szCs w:val="22"/>
        </w:rPr>
        <w:t>ment.  The sum of the budget decision unit subtotals establishes the score of the ATF Performance Index.  ATF’s application of the performance index is applicable to each of its decision units.</w:t>
      </w:r>
    </w:p>
    <w:p w:rsidR="005E0F48" w:rsidRDefault="005E0F48" w:rsidP="005E0F48">
      <w:pPr>
        <w:pStyle w:val="Header"/>
        <w:rPr>
          <w:b/>
        </w:rPr>
      </w:pPr>
    </w:p>
    <w:p w:rsidR="005E0F48" w:rsidRPr="00762F09" w:rsidRDefault="005E0F48" w:rsidP="005E0F48">
      <w:pPr>
        <w:pStyle w:val="Header"/>
        <w:rPr>
          <w:b/>
          <w:bCs/>
        </w:rPr>
      </w:pPr>
      <w:r>
        <w:rPr>
          <w:b/>
        </w:rPr>
        <w:t xml:space="preserve">b.   </w:t>
      </w:r>
      <w:r w:rsidRPr="00762F09">
        <w:rPr>
          <w:b/>
        </w:rPr>
        <w:t>Strategies to Accomplish Outcomes</w:t>
      </w:r>
    </w:p>
    <w:p w:rsidR="005E0F48" w:rsidRPr="00762F09" w:rsidRDefault="005E0F48" w:rsidP="005E0F48">
      <w:pPr>
        <w:spacing w:before="100" w:beforeAutospacing="1" w:after="100" w:afterAutospacing="1"/>
      </w:pPr>
      <w:r w:rsidRPr="00762F09">
        <w:t xml:space="preserve">Violent firearms crime and firearms trafficking continue to plague the Nation and our </w:t>
      </w:r>
      <w:r>
        <w:t xml:space="preserve">international </w:t>
      </w:r>
      <w:r w:rsidRPr="00762F09">
        <w:t xml:space="preserve">neighbors.  As the agency responsible for enforcing </w:t>
      </w:r>
      <w:r w:rsidR="00D31D89">
        <w:t>Federal</w:t>
      </w:r>
      <w:r w:rsidRPr="00762F09">
        <w:t xml:space="preserve"> firearms laws, ATF leads the fight to reduce violent firearms crime domestically.  To achieve the performance goals outlined for FYs 20</w:t>
      </w:r>
      <w:r>
        <w:t>1</w:t>
      </w:r>
      <w:r w:rsidR="00717B89">
        <w:t>2</w:t>
      </w:r>
      <w:r w:rsidRPr="00762F09">
        <w:t xml:space="preserve"> and 201</w:t>
      </w:r>
      <w:r w:rsidR="00717B89">
        <w:t>3</w:t>
      </w:r>
      <w:r w:rsidRPr="00762F09">
        <w:t>, as well as the long-term goals into FY 201</w:t>
      </w:r>
      <w:r>
        <w:t>6</w:t>
      </w:r>
      <w:r w:rsidRPr="00762F09">
        <w:t>, ATF</w:t>
      </w:r>
      <w:r>
        <w:t xml:space="preserve">’s strategy is balanced </w:t>
      </w:r>
      <w:r w:rsidRPr="00762F09">
        <w:t xml:space="preserve">between </w:t>
      </w:r>
      <w:r w:rsidR="00717B89">
        <w:t>maximizing personnel</w:t>
      </w:r>
      <w:r w:rsidRPr="00762F09">
        <w:t xml:space="preserve"> and resources </w:t>
      </w:r>
      <w:r>
        <w:t xml:space="preserve">by </w:t>
      </w:r>
      <w:r w:rsidRPr="00762F09">
        <w:t xml:space="preserve">leveraging partnerships, technology, </w:t>
      </w:r>
      <w:r w:rsidRPr="00762F09">
        <w:lastRenderedPageBreak/>
        <w:t>and expertise</w:t>
      </w:r>
      <w:r w:rsidRPr="00762F09">
        <w:rPr>
          <w:iCs/>
        </w:rPr>
        <w:t>.</w:t>
      </w:r>
      <w:r w:rsidRPr="00762F09">
        <w:t xml:space="preserve">  ATF </w:t>
      </w:r>
      <w:r>
        <w:t xml:space="preserve">supports </w:t>
      </w:r>
      <w:r w:rsidRPr="00762F09">
        <w:t>the Administration and the Department in various domestic and international initiatives under national counterterrorism strategies and other U.S. government policy measures.</w:t>
      </w:r>
      <w:r w:rsidRPr="00762F09">
        <w:rPr>
          <w:b/>
          <w:color w:val="008000"/>
        </w:rPr>
        <w:t xml:space="preserve">  </w:t>
      </w:r>
      <w:r w:rsidRPr="00762F09">
        <w:t xml:space="preserve">ATF </w:t>
      </w:r>
      <w:r>
        <w:t>pursue</w:t>
      </w:r>
      <w:r w:rsidRPr="00D70840">
        <w:t>s</w:t>
      </w:r>
      <w:r w:rsidRPr="00762F09">
        <w:t xml:space="preserve"> creat</w:t>
      </w:r>
      <w:r>
        <w:t>ive and</w:t>
      </w:r>
      <w:r w:rsidRPr="00762F09">
        <w:t xml:space="preserve"> innovative solutions </w:t>
      </w:r>
      <w:r>
        <w:t>to</w:t>
      </w:r>
      <w:r w:rsidRPr="00762F09">
        <w:t xml:space="preserve"> use technology in its strategies to accomplish the Bureau’s goals and meet national and Department</w:t>
      </w:r>
      <w:r>
        <w:t>al</w:t>
      </w:r>
      <w:r w:rsidRPr="00762F09">
        <w:t xml:space="preserve"> priorities.</w:t>
      </w:r>
    </w:p>
    <w:p w:rsidR="005E0F48" w:rsidRPr="00762F09" w:rsidRDefault="005E0F48" w:rsidP="005E0F48">
      <w:pPr>
        <w:pStyle w:val="BodyText"/>
        <w:spacing w:before="100" w:beforeAutospacing="1" w:after="100" w:afterAutospacing="1"/>
      </w:pPr>
      <w:r>
        <w:rPr>
          <w:szCs w:val="24"/>
        </w:rPr>
        <w:t xml:space="preserve">ATF’s </w:t>
      </w:r>
      <w:r w:rsidRPr="00762F09">
        <w:rPr>
          <w:szCs w:val="24"/>
        </w:rPr>
        <w:t>I</w:t>
      </w:r>
      <w:r>
        <w:rPr>
          <w:szCs w:val="24"/>
        </w:rPr>
        <w:t xml:space="preserve">ntegrated </w:t>
      </w:r>
      <w:r w:rsidRPr="00762F09">
        <w:rPr>
          <w:szCs w:val="24"/>
        </w:rPr>
        <w:t>V</w:t>
      </w:r>
      <w:r>
        <w:rPr>
          <w:szCs w:val="24"/>
        </w:rPr>
        <w:t xml:space="preserve">iolence Reduction Strategy (IVRS) </w:t>
      </w:r>
      <w:r w:rsidRPr="00762F09">
        <w:rPr>
          <w:szCs w:val="24"/>
        </w:rPr>
        <w:t xml:space="preserve">addresses firearms violence nationwide.  ATF works closely with other </w:t>
      </w:r>
      <w:r w:rsidR="00D31D89">
        <w:rPr>
          <w:szCs w:val="24"/>
        </w:rPr>
        <w:t>Federal</w:t>
      </w:r>
      <w:r w:rsidRPr="00762F09">
        <w:rPr>
          <w:szCs w:val="24"/>
        </w:rPr>
        <w:t xml:space="preserve">, </w:t>
      </w:r>
      <w:r w:rsidR="00D31D89">
        <w:rPr>
          <w:szCs w:val="24"/>
        </w:rPr>
        <w:t>state</w:t>
      </w:r>
      <w:r w:rsidRPr="00762F09">
        <w:rPr>
          <w:szCs w:val="24"/>
        </w:rPr>
        <w:t>, and local agencies to prevent armed</w:t>
      </w:r>
      <w:r w:rsidRPr="00762F09">
        <w:rPr>
          <w:b/>
          <w:szCs w:val="24"/>
        </w:rPr>
        <w:t xml:space="preserve"> </w:t>
      </w:r>
      <w:r w:rsidRPr="00762F09">
        <w:rPr>
          <w:szCs w:val="24"/>
        </w:rPr>
        <w:t>offenders from victimizing the American public, to end</w:t>
      </w:r>
      <w:r w:rsidRPr="00762F09">
        <w:rPr>
          <w:b/>
          <w:color w:val="FF6600"/>
          <w:szCs w:val="24"/>
        </w:rPr>
        <w:t xml:space="preserve"> </w:t>
      </w:r>
      <w:r w:rsidRPr="00762F09">
        <w:rPr>
          <w:szCs w:val="24"/>
        </w:rPr>
        <w:t xml:space="preserve">illegal gun sales, </w:t>
      </w:r>
      <w:r>
        <w:rPr>
          <w:szCs w:val="24"/>
        </w:rPr>
        <w:t xml:space="preserve">to </w:t>
      </w:r>
      <w:r w:rsidRPr="00762F09">
        <w:rPr>
          <w:szCs w:val="24"/>
        </w:rPr>
        <w:t xml:space="preserve">apprehend illegal possessors, and </w:t>
      </w:r>
      <w:r>
        <w:rPr>
          <w:szCs w:val="24"/>
        </w:rPr>
        <w:t>to confirm</w:t>
      </w:r>
      <w:r w:rsidRPr="00762F09">
        <w:rPr>
          <w:szCs w:val="24"/>
        </w:rPr>
        <w:t xml:space="preserve"> industry adherence to applicable laws and regulations.</w:t>
      </w:r>
    </w:p>
    <w:p w:rsidR="005E0F48" w:rsidRPr="00762F09" w:rsidRDefault="005E0F48" w:rsidP="005E0F48">
      <w:pPr>
        <w:pStyle w:val="BodyText"/>
        <w:spacing w:before="100" w:beforeAutospacing="1" w:after="100" w:afterAutospacing="1"/>
      </w:pPr>
      <w:r>
        <w:t xml:space="preserve">ATF continuously evaluates the </w:t>
      </w:r>
      <w:r w:rsidRPr="00762F09">
        <w:t>integrity of the licensee population</w:t>
      </w:r>
      <w:r w:rsidRPr="00762F09">
        <w:rPr>
          <w:b/>
          <w:color w:val="FF6600"/>
        </w:rPr>
        <w:t xml:space="preserve"> </w:t>
      </w:r>
      <w:r>
        <w:t>to</w:t>
      </w:r>
      <w:r w:rsidRPr="00762F09">
        <w:t xml:space="preserve"> ensure they operat</w:t>
      </w:r>
      <w:r>
        <w:t>e</w:t>
      </w:r>
      <w:r w:rsidRPr="00762F09">
        <w:t xml:space="preserve"> within </w:t>
      </w:r>
      <w:r>
        <w:t xml:space="preserve">the </w:t>
      </w:r>
      <w:r w:rsidRPr="00762F09">
        <w:t xml:space="preserve">law and </w:t>
      </w:r>
      <w:r>
        <w:t xml:space="preserve">applicable </w:t>
      </w:r>
      <w:r w:rsidRPr="00762F09">
        <w:t>regulation</w:t>
      </w:r>
      <w:r>
        <w:t>s.</w:t>
      </w:r>
      <w:r w:rsidRPr="00762F09">
        <w:t xml:space="preserve"> </w:t>
      </w:r>
      <w:r w:rsidR="0071720D">
        <w:t xml:space="preserve"> </w:t>
      </w:r>
      <w:r w:rsidRPr="00762F09">
        <w:t xml:space="preserve">ATF </w:t>
      </w:r>
      <w:r>
        <w:t xml:space="preserve">continually reviews </w:t>
      </w:r>
      <w:r w:rsidRPr="00762F09">
        <w:t>procedures involving the selection of licensees for inspection</w:t>
      </w:r>
      <w:r>
        <w:t xml:space="preserve"> and</w:t>
      </w:r>
      <w:r w:rsidRPr="00762F09">
        <w:t xml:space="preserve"> license revocation for those who violate the law.</w:t>
      </w:r>
    </w:p>
    <w:p w:rsidR="005E0F48" w:rsidRDefault="005E0F48" w:rsidP="005E0F48">
      <w:pPr>
        <w:pStyle w:val="List2"/>
        <w:spacing w:before="100" w:beforeAutospacing="1" w:after="100" w:afterAutospacing="1"/>
        <w:ind w:left="0" w:firstLine="0"/>
      </w:pPr>
      <w:r w:rsidRPr="00762F09">
        <w:t>ATF’s strategic success in reducing violent firearms crime depends upon the effective use of technology.  ATF continues to improve its data quality and data capabilities so that timely and integrated information is available for all ATF employees</w:t>
      </w:r>
      <w:r>
        <w:t>,</w:t>
      </w:r>
      <w:r w:rsidRPr="00762F09">
        <w:t xml:space="preserve"> and share</w:t>
      </w:r>
      <w:r>
        <w:t>s</w:t>
      </w:r>
      <w:r w:rsidRPr="00762F09">
        <w:t xml:space="preserve"> this information when appropriate and when authorized by law with </w:t>
      </w:r>
      <w:r>
        <w:t>the Bureau’s</w:t>
      </w:r>
      <w:r w:rsidRPr="00762F09">
        <w:t xml:space="preserve"> </w:t>
      </w:r>
      <w:r w:rsidR="00D31D89">
        <w:t>Federal</w:t>
      </w:r>
      <w:r w:rsidRPr="00762F09">
        <w:t xml:space="preserve"> partners, industry members, stakeholders, and the general public.  </w:t>
      </w:r>
    </w:p>
    <w:p w:rsidR="005E0F48" w:rsidRDefault="005E0F48" w:rsidP="005E0F48">
      <w:pPr>
        <w:pStyle w:val="List2"/>
        <w:spacing w:before="100" w:beforeAutospacing="1" w:after="100" w:afterAutospacing="1"/>
        <w:ind w:left="0" w:firstLine="0"/>
      </w:pPr>
      <w:r w:rsidRPr="006F2FE6">
        <w:t xml:space="preserve">The National Field Office Case Information System (NFOCIS), ATF’s case management system, enhances the ability to collect, disseminate, manage, and analyze data by providing an integrated and centralized data management solution that allows for oversight of all criminal enforcement and industry regulatory operations in the field.  The system provides a platform for </w:t>
      </w:r>
      <w:r>
        <w:t xml:space="preserve">statistical </w:t>
      </w:r>
      <w:r w:rsidRPr="006F2FE6">
        <w:t>analysis of case information</w:t>
      </w:r>
      <w:r>
        <w:t>.</w:t>
      </w:r>
      <w:r w:rsidRPr="006F2FE6">
        <w:t xml:space="preserve"> </w:t>
      </w:r>
      <w:r w:rsidR="0071720D">
        <w:t xml:space="preserve"> </w:t>
      </w:r>
      <w:r w:rsidRPr="006F2FE6">
        <w:t>NFOCIS is the key source of criminal and regulatory data in support of ATF’s Performance Index</w:t>
      </w:r>
      <w:r>
        <w:t xml:space="preserve"> a</w:t>
      </w:r>
      <w:r w:rsidRPr="00A2299B">
        <w:t>nd is shared with the Law Enforcement Information Sharing Program (LEISP)</w:t>
      </w:r>
      <w:r w:rsidRPr="006F2FE6">
        <w:t>.</w:t>
      </w:r>
    </w:p>
    <w:p w:rsidR="005E0F48" w:rsidRDefault="005E0F48" w:rsidP="005E0F48">
      <w:pPr>
        <w:pStyle w:val="List2"/>
        <w:spacing w:before="100" w:beforeAutospacing="1" w:after="100" w:afterAutospacing="1"/>
        <w:ind w:left="0" w:firstLine="0"/>
        <w:rPr>
          <w:szCs w:val="24"/>
        </w:rPr>
      </w:pPr>
      <w:r w:rsidRPr="00762F09">
        <w:rPr>
          <w:szCs w:val="24"/>
        </w:rPr>
        <w:t xml:space="preserve">ATF is implementing computer applications that will allow field employees greater access to needed data, provide an electronic interface with the FBI for submission of fingerprints and retrieval of results, and facilitate sharing of domestic intelligence information with the </w:t>
      </w:r>
      <w:r>
        <w:rPr>
          <w:szCs w:val="24"/>
        </w:rPr>
        <w:t>Department of Homeland Security (</w:t>
      </w:r>
      <w:r w:rsidRPr="00762F09">
        <w:rPr>
          <w:szCs w:val="24"/>
        </w:rPr>
        <w:t>DHS</w:t>
      </w:r>
      <w:r>
        <w:rPr>
          <w:szCs w:val="24"/>
        </w:rPr>
        <w:t>)</w:t>
      </w:r>
      <w:r w:rsidRPr="00762F09">
        <w:rPr>
          <w:szCs w:val="24"/>
        </w:rPr>
        <w:t>.</w:t>
      </w:r>
    </w:p>
    <w:p w:rsidR="005E0F48" w:rsidRPr="0032011B" w:rsidRDefault="005E0F48" w:rsidP="005E0F48">
      <w:pPr>
        <w:pStyle w:val="List2"/>
        <w:spacing w:before="100" w:beforeAutospacing="1" w:after="100" w:afterAutospacing="1"/>
        <w:ind w:left="0" w:firstLine="0"/>
        <w:rPr>
          <w:szCs w:val="24"/>
        </w:rPr>
      </w:pPr>
      <w:r w:rsidRPr="0032011B">
        <w:rPr>
          <w:szCs w:val="24"/>
        </w:rPr>
        <w:t xml:space="preserve">The Gang Targeting, Enforcement, and Coordination Center (Gang TECC) </w:t>
      </w:r>
      <w:r w:rsidR="00343437" w:rsidRPr="0032011B">
        <w:rPr>
          <w:szCs w:val="24"/>
        </w:rPr>
        <w:t>was</w:t>
      </w:r>
      <w:r w:rsidRPr="0032011B">
        <w:rPr>
          <w:szCs w:val="24"/>
        </w:rPr>
        <w:t xml:space="preserve"> an example of technology and information sharing that is critical to successful law enforcement operations.  This</w:t>
      </w:r>
      <w:r w:rsidR="00343437" w:rsidRPr="0032011B">
        <w:rPr>
          <w:szCs w:val="24"/>
        </w:rPr>
        <w:t xml:space="preserve"> </w:t>
      </w:r>
      <w:r w:rsidR="009E6741" w:rsidRPr="0032011B">
        <w:rPr>
          <w:szCs w:val="24"/>
        </w:rPr>
        <w:t>multi-agency endeavor</w:t>
      </w:r>
      <w:r w:rsidRPr="0032011B">
        <w:rPr>
          <w:szCs w:val="24"/>
        </w:rPr>
        <w:t xml:space="preserve"> develops strategies and facilitates operations across agency lines to dismantle national and transnational violent gangs.  </w:t>
      </w:r>
      <w:r w:rsidR="00343437" w:rsidRPr="0032011B">
        <w:rPr>
          <w:szCs w:val="24"/>
        </w:rPr>
        <w:t xml:space="preserve">In October </w:t>
      </w:r>
      <w:r w:rsidR="009E6741" w:rsidRPr="0032011B">
        <w:rPr>
          <w:szCs w:val="24"/>
        </w:rPr>
        <w:t>2010, DOJ realigned the Gang</w:t>
      </w:r>
      <w:r w:rsidR="00B6553B" w:rsidRPr="0032011B">
        <w:rPr>
          <w:szCs w:val="24"/>
        </w:rPr>
        <w:t xml:space="preserve"> </w:t>
      </w:r>
      <w:r w:rsidR="009E6741" w:rsidRPr="0032011B">
        <w:rPr>
          <w:szCs w:val="24"/>
        </w:rPr>
        <w:t>TECC functions</w:t>
      </w:r>
      <w:r w:rsidR="00343437" w:rsidRPr="0032011B">
        <w:rPr>
          <w:szCs w:val="24"/>
        </w:rPr>
        <w:t xml:space="preserve"> and personnel, including two ATF special agents, to become part of the DEA Special Operations Division.  Since 2010 ATF has assigned special </w:t>
      </w:r>
      <w:r w:rsidR="004619E6" w:rsidRPr="0032011B">
        <w:rPr>
          <w:szCs w:val="24"/>
        </w:rPr>
        <w:t>ATF</w:t>
      </w:r>
      <w:r w:rsidRPr="0032011B">
        <w:rPr>
          <w:szCs w:val="24"/>
        </w:rPr>
        <w:t xml:space="preserve"> </w:t>
      </w:r>
      <w:r w:rsidR="00A70A97" w:rsidRPr="0032011B">
        <w:rPr>
          <w:szCs w:val="24"/>
        </w:rPr>
        <w:t>has assigned</w:t>
      </w:r>
      <w:r w:rsidR="004619E6" w:rsidRPr="0032011B">
        <w:rPr>
          <w:szCs w:val="24"/>
        </w:rPr>
        <w:t xml:space="preserve"> special agents </w:t>
      </w:r>
      <w:r w:rsidR="00A70A97" w:rsidRPr="0032011B">
        <w:rPr>
          <w:szCs w:val="24"/>
        </w:rPr>
        <w:t>to the</w:t>
      </w:r>
      <w:r w:rsidRPr="0032011B">
        <w:rPr>
          <w:szCs w:val="24"/>
        </w:rPr>
        <w:t xml:space="preserve"> DEA Special Operations Division. </w:t>
      </w:r>
      <w:r w:rsidR="00A70A97" w:rsidRPr="0032011B">
        <w:rPr>
          <w:szCs w:val="24"/>
        </w:rPr>
        <w:t xml:space="preserve"> </w:t>
      </w:r>
      <w:r w:rsidRPr="0032011B">
        <w:rPr>
          <w:szCs w:val="24"/>
        </w:rPr>
        <w:t xml:space="preserve">ATF </w:t>
      </w:r>
      <w:r w:rsidR="00A70A97" w:rsidRPr="0032011B">
        <w:rPr>
          <w:szCs w:val="24"/>
        </w:rPr>
        <w:t xml:space="preserve">also </w:t>
      </w:r>
      <w:r w:rsidRPr="0032011B">
        <w:rPr>
          <w:szCs w:val="24"/>
        </w:rPr>
        <w:t xml:space="preserve">contributes </w:t>
      </w:r>
      <w:r w:rsidR="00343437" w:rsidRPr="0032011B">
        <w:rPr>
          <w:szCs w:val="24"/>
        </w:rPr>
        <w:t>one special agent</w:t>
      </w:r>
      <w:r w:rsidR="000A5375" w:rsidRPr="0032011B">
        <w:rPr>
          <w:szCs w:val="24"/>
        </w:rPr>
        <w:t xml:space="preserve"> to the OCEDTF Fusion Center and two intelligence research specialists to the</w:t>
      </w:r>
      <w:r w:rsidRPr="0032011B">
        <w:rPr>
          <w:szCs w:val="24"/>
        </w:rPr>
        <w:t xml:space="preserve"> National Gang Intelligence Center (NGIC)</w:t>
      </w:r>
      <w:r w:rsidR="000A5375" w:rsidRPr="0032011B">
        <w:rPr>
          <w:szCs w:val="24"/>
        </w:rPr>
        <w:t>.</w:t>
      </w:r>
    </w:p>
    <w:p w:rsidR="005E0F48" w:rsidRPr="00762F09" w:rsidRDefault="005E0F48" w:rsidP="005E0F48">
      <w:pPr>
        <w:tabs>
          <w:tab w:val="left" w:pos="-1440"/>
        </w:tabs>
        <w:spacing w:before="100" w:beforeAutospacing="1" w:after="100" w:afterAutospacing="1"/>
      </w:pPr>
      <w:r>
        <w:t xml:space="preserve">Significant outreach measures complement </w:t>
      </w:r>
      <w:r w:rsidRPr="00762F09">
        <w:t xml:space="preserve">ATF’s enforcement and industry operations strategies.  </w:t>
      </w:r>
      <w:r>
        <w:t xml:space="preserve">For example, </w:t>
      </w:r>
      <w:r w:rsidRPr="00762F09">
        <w:t xml:space="preserve">ATF presentations to schoolchildren and the general public promote </w:t>
      </w:r>
      <w:r w:rsidRPr="00762F09">
        <w:lastRenderedPageBreak/>
        <w:t xml:space="preserve">public safety and prevent violence.  ATF offers training and other services to employees of </w:t>
      </w:r>
      <w:r w:rsidR="00D31D89">
        <w:t>Federal</w:t>
      </w:r>
      <w:r>
        <w:t xml:space="preserve"> </w:t>
      </w:r>
      <w:r w:rsidRPr="00762F09">
        <w:t>agencies to improve their professional capabilities.</w:t>
      </w:r>
    </w:p>
    <w:p w:rsidR="005E0F48" w:rsidRPr="00762F09" w:rsidRDefault="005E0F48" w:rsidP="005E0F48">
      <w:pPr>
        <w:pStyle w:val="List2"/>
        <w:spacing w:before="100" w:beforeAutospacing="1" w:after="100" w:afterAutospacing="1"/>
        <w:ind w:left="0" w:firstLine="0"/>
        <w:rPr>
          <w:szCs w:val="24"/>
        </w:rPr>
      </w:pPr>
      <w:r w:rsidRPr="00762F09">
        <w:rPr>
          <w:szCs w:val="24"/>
        </w:rPr>
        <w:t xml:space="preserve">ATF participates in numerous multi-agency initiatives, including the </w:t>
      </w:r>
      <w:r>
        <w:rPr>
          <w:szCs w:val="24"/>
        </w:rPr>
        <w:t xml:space="preserve">Joint Terrorism Task Force </w:t>
      </w:r>
      <w:r w:rsidR="00A70A97">
        <w:rPr>
          <w:szCs w:val="24"/>
        </w:rPr>
        <w:t>(</w:t>
      </w:r>
      <w:r w:rsidRPr="00762F09">
        <w:rPr>
          <w:szCs w:val="24"/>
        </w:rPr>
        <w:t>JTTF</w:t>
      </w:r>
      <w:r w:rsidR="00A70A97">
        <w:rPr>
          <w:szCs w:val="24"/>
        </w:rPr>
        <w:t>)</w:t>
      </w:r>
      <w:r w:rsidRPr="00762F09">
        <w:rPr>
          <w:szCs w:val="24"/>
        </w:rPr>
        <w:t xml:space="preserve">, </w:t>
      </w:r>
      <w:r>
        <w:rPr>
          <w:szCs w:val="24"/>
        </w:rPr>
        <w:t>and works</w:t>
      </w:r>
      <w:r w:rsidRPr="00762F09">
        <w:rPr>
          <w:szCs w:val="24"/>
        </w:rPr>
        <w:t xml:space="preserve"> within </w:t>
      </w:r>
      <w:r>
        <w:rPr>
          <w:szCs w:val="24"/>
        </w:rPr>
        <w:t>DOJ</w:t>
      </w:r>
      <w:r w:rsidRPr="00762F09">
        <w:rPr>
          <w:szCs w:val="24"/>
        </w:rPr>
        <w:t xml:space="preserve"> to coordinate regional, national, and transnational criminal investigations and prosecutions against major criminal organizations and terrorists at home and abroad.  ATF </w:t>
      </w:r>
      <w:r>
        <w:rPr>
          <w:szCs w:val="24"/>
        </w:rPr>
        <w:t xml:space="preserve">staffs liaisons at </w:t>
      </w:r>
      <w:r w:rsidRPr="00762F09">
        <w:rPr>
          <w:szCs w:val="24"/>
        </w:rPr>
        <w:t xml:space="preserve">law enforcement and intelligence agencies </w:t>
      </w:r>
      <w:r>
        <w:rPr>
          <w:szCs w:val="24"/>
        </w:rPr>
        <w:t>including</w:t>
      </w:r>
      <w:r w:rsidRPr="00762F09">
        <w:rPr>
          <w:szCs w:val="24"/>
        </w:rPr>
        <w:t xml:space="preserve"> </w:t>
      </w:r>
      <w:r>
        <w:rPr>
          <w:szCs w:val="24"/>
        </w:rPr>
        <w:t xml:space="preserve">the </w:t>
      </w:r>
      <w:r w:rsidRPr="00762F09">
        <w:rPr>
          <w:szCs w:val="24"/>
        </w:rPr>
        <w:t xml:space="preserve">Defense Intelligence Agency (DIA), FBI, DHS, Department of </w:t>
      </w:r>
      <w:r w:rsidR="00D31D89">
        <w:rPr>
          <w:szCs w:val="24"/>
        </w:rPr>
        <w:t>State</w:t>
      </w:r>
      <w:r>
        <w:rPr>
          <w:szCs w:val="24"/>
        </w:rPr>
        <w:t xml:space="preserve"> and other government agencies (OGAs)</w:t>
      </w:r>
      <w:r w:rsidRPr="00762F09">
        <w:rPr>
          <w:szCs w:val="24"/>
        </w:rPr>
        <w:t>.</w:t>
      </w:r>
    </w:p>
    <w:p w:rsidR="005E0F48" w:rsidRDefault="005E0F48" w:rsidP="005E0F48">
      <w:pPr>
        <w:spacing w:before="100" w:beforeAutospacing="1" w:after="100" w:afterAutospacing="1"/>
      </w:pPr>
      <w:r w:rsidRPr="00762F09">
        <w:t xml:space="preserve">ATF partners with various law enforcement and prosecutorial entities </w:t>
      </w:r>
      <w:r>
        <w:t>to</w:t>
      </w:r>
      <w:r w:rsidRPr="00762F09">
        <w:t xml:space="preserve"> conduct innovative regional firearms enforcement</w:t>
      </w:r>
      <w:r>
        <w:t xml:space="preserve"> cross-training</w:t>
      </w:r>
      <w:r w:rsidRPr="00762F09">
        <w:t xml:space="preserve"> </w:t>
      </w:r>
      <w:r>
        <w:t>of</w:t>
      </w:r>
      <w:r w:rsidRPr="00762F09">
        <w:t xml:space="preserve"> agents, officers, and attorneys, </w:t>
      </w:r>
      <w:r>
        <w:t>and also delivers f</w:t>
      </w:r>
      <w:r w:rsidRPr="00762F09">
        <w:t xml:space="preserve">irearms trafficking and </w:t>
      </w:r>
      <w:r w:rsidRPr="00E06CC2">
        <w:t>tracing</w:t>
      </w:r>
      <w:r>
        <w:t xml:space="preserve"> training</w:t>
      </w:r>
      <w:r w:rsidRPr="00762F09">
        <w:t xml:space="preserve"> to enforcement agencies through offices in Mexico, Canada, Colombia</w:t>
      </w:r>
      <w:r>
        <w:t>, and El Salvador</w:t>
      </w:r>
      <w:r w:rsidRPr="00762F09">
        <w:t xml:space="preserve">.  ATF </w:t>
      </w:r>
      <w:r>
        <w:t xml:space="preserve">has </w:t>
      </w:r>
      <w:r w:rsidRPr="00762F09">
        <w:t xml:space="preserve">liaison officers </w:t>
      </w:r>
      <w:r>
        <w:t xml:space="preserve">at </w:t>
      </w:r>
      <w:r w:rsidRPr="00762F09">
        <w:t>INTERPOL</w:t>
      </w:r>
      <w:r>
        <w:t>,</w:t>
      </w:r>
      <w:r w:rsidRPr="00762F09">
        <w:t xml:space="preserve"> Lyon, France</w:t>
      </w:r>
      <w:r>
        <w:t>;</w:t>
      </w:r>
      <w:r w:rsidRPr="00762F09">
        <w:t xml:space="preserve"> and E</w:t>
      </w:r>
      <w:r>
        <w:t>UROPOL,</w:t>
      </w:r>
      <w:r w:rsidRPr="00762F09">
        <w:t xml:space="preserve"> </w:t>
      </w:r>
      <w:r>
        <w:t>T</w:t>
      </w:r>
      <w:r w:rsidRPr="00762F09">
        <w:t xml:space="preserve">he Hague, The Netherlands.  </w:t>
      </w:r>
      <w:r>
        <w:t>T</w:t>
      </w:r>
      <w:r w:rsidRPr="00762F09">
        <w:t xml:space="preserve">hese officers facilitate the efficient exchange of information and expertise </w:t>
      </w:r>
      <w:r>
        <w:t>within</w:t>
      </w:r>
      <w:r w:rsidRPr="00762F09">
        <w:t xml:space="preserve"> the</w:t>
      </w:r>
      <w:r>
        <w:t xml:space="preserve"> </w:t>
      </w:r>
      <w:r w:rsidRPr="00762F09">
        <w:t xml:space="preserve">international law enforcement community.  </w:t>
      </w:r>
    </w:p>
    <w:p w:rsidR="005E0F48" w:rsidRPr="00E05B59" w:rsidRDefault="005E0F48" w:rsidP="005E0F48">
      <w:pPr>
        <w:spacing w:before="100" w:beforeAutospacing="1" w:after="100" w:afterAutospacing="1"/>
        <w:rPr>
          <w:b/>
        </w:rPr>
      </w:pPr>
      <w:r w:rsidRPr="00E05B59">
        <w:rPr>
          <w:b/>
        </w:rPr>
        <w:t>Crosscutting Activit</w:t>
      </w:r>
      <w:r>
        <w:rPr>
          <w:b/>
        </w:rPr>
        <w:t>i</w:t>
      </w:r>
      <w:r w:rsidRPr="00E05B59">
        <w:rPr>
          <w:b/>
        </w:rPr>
        <w:t>es</w:t>
      </w:r>
    </w:p>
    <w:p w:rsidR="007D4B70" w:rsidRDefault="005E0F48" w:rsidP="005E0F48">
      <w:pPr>
        <w:pStyle w:val="List2"/>
        <w:spacing w:before="100" w:beforeAutospacing="1" w:after="100" w:afterAutospacing="1"/>
        <w:ind w:left="0" w:firstLine="0"/>
        <w:rPr>
          <w:szCs w:val="24"/>
        </w:rPr>
      </w:pPr>
      <w:r w:rsidRPr="00762F09">
        <w:rPr>
          <w:szCs w:val="24"/>
        </w:rPr>
        <w:t xml:space="preserve">ATF plays a major role in the prevention and investigation of violent </w:t>
      </w:r>
      <w:r>
        <w:rPr>
          <w:szCs w:val="24"/>
        </w:rPr>
        <w:t xml:space="preserve">firearms </w:t>
      </w:r>
      <w:r w:rsidRPr="00762F09">
        <w:rPr>
          <w:szCs w:val="24"/>
        </w:rPr>
        <w:t>crimes involving</w:t>
      </w:r>
      <w:r>
        <w:rPr>
          <w:szCs w:val="24"/>
        </w:rPr>
        <w:t xml:space="preserve"> gangs and organized criminal enterprises</w:t>
      </w:r>
      <w:r w:rsidRPr="00762F09">
        <w:rPr>
          <w:szCs w:val="24"/>
        </w:rPr>
        <w:t>.  ATF</w:t>
      </w:r>
      <w:r>
        <w:rPr>
          <w:szCs w:val="24"/>
        </w:rPr>
        <w:t>, through the</w:t>
      </w:r>
      <w:r w:rsidRPr="00762F09">
        <w:rPr>
          <w:szCs w:val="24"/>
        </w:rPr>
        <w:t xml:space="preserve"> </w:t>
      </w:r>
      <w:r>
        <w:rPr>
          <w:szCs w:val="24"/>
        </w:rPr>
        <w:t xml:space="preserve">multi-agency efforts of the </w:t>
      </w:r>
      <w:r w:rsidRPr="00762F09">
        <w:rPr>
          <w:szCs w:val="24"/>
        </w:rPr>
        <w:t>Organized Crime Drug Enforcement Task Force (OCDETF)</w:t>
      </w:r>
      <w:r>
        <w:rPr>
          <w:szCs w:val="24"/>
        </w:rPr>
        <w:t xml:space="preserve"> and High Intensity Drug Trafficking Area (HIDTA)</w:t>
      </w:r>
      <w:r w:rsidRPr="00762F09">
        <w:rPr>
          <w:szCs w:val="24"/>
        </w:rPr>
        <w:t xml:space="preserve"> </w:t>
      </w:r>
      <w:r>
        <w:rPr>
          <w:szCs w:val="24"/>
        </w:rPr>
        <w:t xml:space="preserve">task forces, </w:t>
      </w:r>
      <w:r w:rsidRPr="00762F09">
        <w:rPr>
          <w:szCs w:val="24"/>
        </w:rPr>
        <w:t>provides direct</w:t>
      </w:r>
      <w:r>
        <w:rPr>
          <w:szCs w:val="24"/>
        </w:rPr>
        <w:t xml:space="preserve"> </w:t>
      </w:r>
      <w:r w:rsidRPr="00762F09">
        <w:rPr>
          <w:szCs w:val="24"/>
        </w:rPr>
        <w:t xml:space="preserve">investigative expertise </w:t>
      </w:r>
      <w:r>
        <w:rPr>
          <w:szCs w:val="24"/>
        </w:rPr>
        <w:t>in partnership with</w:t>
      </w:r>
      <w:r w:rsidRPr="00762F09">
        <w:rPr>
          <w:szCs w:val="24"/>
        </w:rPr>
        <w:t xml:space="preserve"> </w:t>
      </w:r>
      <w:r>
        <w:rPr>
          <w:szCs w:val="24"/>
        </w:rPr>
        <w:t xml:space="preserve">other law enforcement agencies. </w:t>
      </w:r>
      <w:r w:rsidR="0071720D">
        <w:rPr>
          <w:szCs w:val="24"/>
        </w:rPr>
        <w:t xml:space="preserve"> </w:t>
      </w:r>
      <w:r>
        <w:rPr>
          <w:szCs w:val="24"/>
        </w:rPr>
        <w:t xml:space="preserve">Both organizations are key components in combating international organized crime that threatens U.S. national and economic security.  </w:t>
      </w:r>
    </w:p>
    <w:p w:rsidR="007D4B70" w:rsidRDefault="007D4B70">
      <w:r>
        <w:br w:type="page"/>
      </w:r>
    </w:p>
    <w:p w:rsidR="00B6650B" w:rsidRPr="00B74C21" w:rsidRDefault="00FA2AAB" w:rsidP="00925127">
      <w:pPr>
        <w:pStyle w:val="xl24"/>
        <w:rPr>
          <w:b/>
          <w:color w:val="FF0000"/>
        </w:rPr>
      </w:pPr>
      <w:r w:rsidRPr="00027DE2">
        <w:rPr>
          <w:b/>
        </w:rPr>
        <w:t xml:space="preserve">B. </w:t>
      </w:r>
      <w:r w:rsidRPr="002D1D76">
        <w:rPr>
          <w:b/>
        </w:rPr>
        <w:t>Arson and Explosives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1260"/>
        <w:gridCol w:w="1260"/>
        <w:gridCol w:w="1440"/>
      </w:tblGrid>
      <w:tr w:rsidR="00FA2AAB" w:rsidRPr="00762F09" w:rsidTr="004F2718">
        <w:trPr>
          <w:trHeight w:val="728"/>
        </w:trPr>
        <w:tc>
          <w:tcPr>
            <w:tcW w:w="5400" w:type="dxa"/>
          </w:tcPr>
          <w:p w:rsidR="00FA2AAB" w:rsidRPr="00143009" w:rsidRDefault="00FA2AAB" w:rsidP="00143009">
            <w:pPr>
              <w:spacing w:before="100" w:beforeAutospacing="1" w:after="100" w:afterAutospacing="1"/>
              <w:rPr>
                <w:b/>
                <w:bCs/>
              </w:rPr>
            </w:pPr>
            <w:r w:rsidRPr="00143009">
              <w:rPr>
                <w:b/>
                <w:bCs/>
              </w:rPr>
              <w:t>Arson and Explosives TOTAL</w:t>
            </w:r>
            <w:r w:rsidR="00921D9C">
              <w:rPr>
                <w:b/>
                <w:bCs/>
              </w:rPr>
              <w:t xml:space="preserve">                                                                                                                                                                                                                                                                                                     </w:t>
            </w:r>
          </w:p>
        </w:tc>
        <w:tc>
          <w:tcPr>
            <w:tcW w:w="1260" w:type="dxa"/>
          </w:tcPr>
          <w:p w:rsidR="00FA2AAB" w:rsidRPr="00143009" w:rsidRDefault="00FA2AAB" w:rsidP="00143009">
            <w:pPr>
              <w:spacing w:before="100" w:beforeAutospacing="1" w:after="100" w:afterAutospacing="1"/>
              <w:jc w:val="center"/>
              <w:rPr>
                <w:b/>
                <w:bCs/>
              </w:rPr>
            </w:pPr>
            <w:smartTag w:uri="urn:schemas-microsoft-com:office:smarttags" w:element="place">
              <w:smartTag w:uri="urn:schemas-microsoft-com:office:smarttags" w:element="City">
                <w:r w:rsidRPr="00143009">
                  <w:rPr>
                    <w:b/>
                    <w:bCs/>
                  </w:rPr>
                  <w:t>Perm</w:t>
                </w:r>
              </w:smartTag>
            </w:smartTag>
            <w:r w:rsidRPr="00143009">
              <w:rPr>
                <w:b/>
                <w:bCs/>
              </w:rPr>
              <w:t xml:space="preserve"> Pos.</w:t>
            </w:r>
          </w:p>
        </w:tc>
        <w:tc>
          <w:tcPr>
            <w:tcW w:w="1260" w:type="dxa"/>
          </w:tcPr>
          <w:p w:rsidR="00FA2AAB" w:rsidRPr="00143009" w:rsidRDefault="00FA2AAB" w:rsidP="00143009">
            <w:pPr>
              <w:spacing w:before="100" w:beforeAutospacing="1" w:after="100" w:afterAutospacing="1"/>
              <w:jc w:val="center"/>
              <w:rPr>
                <w:b/>
                <w:bCs/>
              </w:rPr>
            </w:pPr>
            <w:r w:rsidRPr="00143009">
              <w:rPr>
                <w:b/>
                <w:bCs/>
              </w:rPr>
              <w:t>FTE</w:t>
            </w:r>
          </w:p>
        </w:tc>
        <w:tc>
          <w:tcPr>
            <w:tcW w:w="1440" w:type="dxa"/>
          </w:tcPr>
          <w:p w:rsidR="00FA2AAB" w:rsidRPr="00143009" w:rsidRDefault="00FA2AAB" w:rsidP="00143009">
            <w:pPr>
              <w:spacing w:before="100" w:beforeAutospacing="1" w:after="100" w:afterAutospacing="1"/>
              <w:jc w:val="center"/>
              <w:rPr>
                <w:b/>
                <w:bCs/>
              </w:rPr>
            </w:pPr>
            <w:r w:rsidRPr="00143009">
              <w:rPr>
                <w:b/>
                <w:bCs/>
              </w:rPr>
              <w:t>Amount</w:t>
            </w:r>
            <w:r w:rsidR="007B4241">
              <w:rPr>
                <w:b/>
                <w:bCs/>
              </w:rPr>
              <w:t xml:space="preserve"> </w:t>
            </w:r>
            <w:r w:rsidRPr="00143009">
              <w:rPr>
                <w:b/>
                <w:bCs/>
              </w:rPr>
              <w:t>($000)</w:t>
            </w:r>
          </w:p>
        </w:tc>
      </w:tr>
      <w:tr w:rsidR="00FA2AAB" w:rsidRPr="00762F09" w:rsidTr="004F2718">
        <w:tc>
          <w:tcPr>
            <w:tcW w:w="5400" w:type="dxa"/>
          </w:tcPr>
          <w:p w:rsidR="00FA2AAB" w:rsidRPr="00762F09" w:rsidRDefault="006C7DF9" w:rsidP="006C7DF9">
            <w:pPr>
              <w:spacing w:before="100" w:beforeAutospacing="1" w:after="100" w:afterAutospacing="1"/>
            </w:pPr>
            <w:r w:rsidRPr="00762F09">
              <w:t>20</w:t>
            </w:r>
            <w:r>
              <w:t>1</w:t>
            </w:r>
            <w:r w:rsidR="00C073A9">
              <w:t>1</w:t>
            </w:r>
            <w:r w:rsidRPr="00762F09">
              <w:t xml:space="preserve"> </w:t>
            </w:r>
            <w:r w:rsidR="00FA2AAB" w:rsidRPr="00762F09">
              <w:t xml:space="preserve">Enacted w/Rescissions </w:t>
            </w:r>
          </w:p>
        </w:tc>
        <w:tc>
          <w:tcPr>
            <w:tcW w:w="1260" w:type="dxa"/>
          </w:tcPr>
          <w:p w:rsidR="00FA2AAB" w:rsidRPr="00762F09" w:rsidRDefault="00FA2AAB" w:rsidP="0014323B">
            <w:pPr>
              <w:spacing w:before="100" w:beforeAutospacing="1" w:after="100" w:afterAutospacing="1"/>
              <w:jc w:val="right"/>
            </w:pPr>
            <w:r w:rsidRPr="00762F09">
              <w:t>1,</w:t>
            </w:r>
            <w:r w:rsidR="0014323B">
              <w:t>173</w:t>
            </w:r>
          </w:p>
        </w:tc>
        <w:tc>
          <w:tcPr>
            <w:tcW w:w="1260" w:type="dxa"/>
          </w:tcPr>
          <w:p w:rsidR="00FA2AAB" w:rsidRPr="00143009" w:rsidRDefault="00FA2AAB" w:rsidP="0014323B">
            <w:pPr>
              <w:spacing w:before="100" w:beforeAutospacing="1" w:after="100" w:afterAutospacing="1"/>
              <w:jc w:val="right"/>
              <w:rPr>
                <w:bCs/>
              </w:rPr>
            </w:pPr>
            <w:r w:rsidRPr="00143009">
              <w:rPr>
                <w:bCs/>
              </w:rPr>
              <w:t>1,</w:t>
            </w:r>
            <w:r w:rsidR="0014323B">
              <w:rPr>
                <w:bCs/>
              </w:rPr>
              <w:t>156</w:t>
            </w:r>
          </w:p>
        </w:tc>
        <w:tc>
          <w:tcPr>
            <w:tcW w:w="1440" w:type="dxa"/>
          </w:tcPr>
          <w:p w:rsidR="00FA2AAB" w:rsidRPr="00762F09" w:rsidRDefault="006C7DF9" w:rsidP="000F4FB0">
            <w:pPr>
              <w:spacing w:before="100" w:beforeAutospacing="1" w:after="100" w:afterAutospacing="1"/>
              <w:jc w:val="right"/>
            </w:pPr>
            <w:r>
              <w:t>2</w:t>
            </w:r>
            <w:r w:rsidR="000F4FB0">
              <w:t>55</w:t>
            </w:r>
            <w:r>
              <w:t>,</w:t>
            </w:r>
            <w:r w:rsidR="000F4FB0">
              <w:t>885</w:t>
            </w:r>
          </w:p>
        </w:tc>
      </w:tr>
      <w:tr w:rsidR="00FA2AAB" w:rsidRPr="00762F09" w:rsidTr="004F2718">
        <w:tc>
          <w:tcPr>
            <w:tcW w:w="5400" w:type="dxa"/>
          </w:tcPr>
          <w:p w:rsidR="00FA2AAB" w:rsidRPr="00762F09" w:rsidRDefault="006C7DF9" w:rsidP="006C7DF9">
            <w:pPr>
              <w:spacing w:before="100" w:beforeAutospacing="1" w:after="100" w:afterAutospacing="1"/>
              <w:ind w:right="-468"/>
            </w:pPr>
            <w:r w:rsidRPr="00762F09">
              <w:t>20</w:t>
            </w:r>
            <w:r>
              <w:t>1</w:t>
            </w:r>
            <w:r w:rsidR="00C073A9">
              <w:t>1</w:t>
            </w:r>
            <w:r w:rsidRPr="00762F09">
              <w:t xml:space="preserve"> </w:t>
            </w:r>
            <w:r w:rsidR="00AB4BAD" w:rsidRPr="00762F09">
              <w:t>Supplemental</w:t>
            </w:r>
          </w:p>
        </w:tc>
        <w:tc>
          <w:tcPr>
            <w:tcW w:w="1260" w:type="dxa"/>
          </w:tcPr>
          <w:p w:rsidR="00FA2AAB" w:rsidRPr="00762F09" w:rsidRDefault="00FA2AAB" w:rsidP="00143009">
            <w:pPr>
              <w:spacing w:before="100" w:beforeAutospacing="1" w:after="100" w:afterAutospacing="1"/>
              <w:jc w:val="right"/>
            </w:pPr>
            <w:r w:rsidRPr="00762F09">
              <w:t>0</w:t>
            </w:r>
          </w:p>
        </w:tc>
        <w:tc>
          <w:tcPr>
            <w:tcW w:w="1260" w:type="dxa"/>
          </w:tcPr>
          <w:p w:rsidR="00FA2AAB" w:rsidRPr="00762F09" w:rsidRDefault="00FA2AAB" w:rsidP="00143009">
            <w:pPr>
              <w:spacing w:before="100" w:beforeAutospacing="1" w:after="100" w:afterAutospacing="1"/>
              <w:jc w:val="right"/>
            </w:pPr>
            <w:r w:rsidRPr="00762F09">
              <w:t>0</w:t>
            </w:r>
          </w:p>
        </w:tc>
        <w:tc>
          <w:tcPr>
            <w:tcW w:w="1440" w:type="dxa"/>
          </w:tcPr>
          <w:p w:rsidR="00FA2AAB" w:rsidRPr="00762F09" w:rsidRDefault="006C7DF9" w:rsidP="00143009">
            <w:pPr>
              <w:spacing w:before="100" w:beforeAutospacing="1" w:after="100" w:afterAutospacing="1"/>
              <w:jc w:val="right"/>
            </w:pPr>
            <w:r>
              <w:t>0</w:t>
            </w:r>
          </w:p>
        </w:tc>
      </w:tr>
      <w:tr w:rsidR="00FA2AAB" w:rsidRPr="00762F09" w:rsidTr="004F2718">
        <w:tc>
          <w:tcPr>
            <w:tcW w:w="5400" w:type="dxa"/>
          </w:tcPr>
          <w:p w:rsidR="00FA2AAB" w:rsidRPr="00762F09" w:rsidRDefault="006C7DF9" w:rsidP="006C7DF9">
            <w:pPr>
              <w:spacing w:before="100" w:beforeAutospacing="1" w:after="100" w:afterAutospacing="1"/>
              <w:ind w:right="-468"/>
            </w:pPr>
            <w:r w:rsidRPr="00762F09">
              <w:t>20</w:t>
            </w:r>
            <w:r>
              <w:t>1</w:t>
            </w:r>
            <w:r w:rsidR="00C073A9">
              <w:t>1</w:t>
            </w:r>
            <w:r w:rsidRPr="00762F09">
              <w:t xml:space="preserve"> </w:t>
            </w:r>
            <w:r w:rsidR="00FA2AAB" w:rsidRPr="00762F09">
              <w:t xml:space="preserve">Enacted w/Rescissions and </w:t>
            </w:r>
            <w:r w:rsidR="00AB4BAD" w:rsidRPr="00762F09">
              <w:t>Supplemental</w:t>
            </w:r>
          </w:p>
        </w:tc>
        <w:tc>
          <w:tcPr>
            <w:tcW w:w="1260" w:type="dxa"/>
          </w:tcPr>
          <w:p w:rsidR="00FA2AAB" w:rsidRPr="00762F09" w:rsidRDefault="00FA2AAB" w:rsidP="0014323B">
            <w:pPr>
              <w:spacing w:before="100" w:beforeAutospacing="1" w:after="100" w:afterAutospacing="1"/>
              <w:jc w:val="right"/>
            </w:pPr>
            <w:r w:rsidRPr="00762F09">
              <w:t>1,</w:t>
            </w:r>
            <w:r w:rsidR="0014323B">
              <w:t>173</w:t>
            </w:r>
          </w:p>
        </w:tc>
        <w:tc>
          <w:tcPr>
            <w:tcW w:w="1260" w:type="dxa"/>
          </w:tcPr>
          <w:p w:rsidR="00FA2AAB" w:rsidRPr="00762F09" w:rsidRDefault="00FA2AAB" w:rsidP="0014323B">
            <w:pPr>
              <w:spacing w:before="100" w:beforeAutospacing="1" w:after="100" w:afterAutospacing="1"/>
              <w:jc w:val="right"/>
            </w:pPr>
            <w:r w:rsidRPr="00762F09">
              <w:t>1,</w:t>
            </w:r>
            <w:r w:rsidR="0014323B">
              <w:t>156</w:t>
            </w:r>
          </w:p>
        </w:tc>
        <w:tc>
          <w:tcPr>
            <w:tcW w:w="1440" w:type="dxa"/>
          </w:tcPr>
          <w:p w:rsidR="00FA2AAB" w:rsidRPr="00762F09" w:rsidRDefault="000C56F3" w:rsidP="000F4FB0">
            <w:pPr>
              <w:spacing w:before="100" w:beforeAutospacing="1" w:after="100" w:afterAutospacing="1"/>
              <w:jc w:val="right"/>
            </w:pPr>
            <w:r>
              <w:t>2</w:t>
            </w:r>
            <w:r w:rsidR="000F4FB0">
              <w:t>55</w:t>
            </w:r>
            <w:r>
              <w:t>,</w:t>
            </w:r>
            <w:r w:rsidR="000F4FB0">
              <w:t>885</w:t>
            </w:r>
          </w:p>
        </w:tc>
      </w:tr>
      <w:tr w:rsidR="00FA2AAB" w:rsidRPr="00762F09" w:rsidTr="004F2718">
        <w:tc>
          <w:tcPr>
            <w:tcW w:w="5400" w:type="dxa"/>
          </w:tcPr>
          <w:p w:rsidR="00FA2AAB" w:rsidRPr="00762F09" w:rsidRDefault="006C7DF9" w:rsidP="002F3467">
            <w:pPr>
              <w:spacing w:before="100" w:beforeAutospacing="1" w:after="100" w:afterAutospacing="1"/>
              <w:ind w:right="-468"/>
            </w:pPr>
            <w:r w:rsidRPr="00762F09">
              <w:t>20</w:t>
            </w:r>
            <w:r>
              <w:t>1</w:t>
            </w:r>
            <w:r w:rsidR="00C073A9">
              <w:t>2</w:t>
            </w:r>
            <w:r>
              <w:t xml:space="preserve"> </w:t>
            </w:r>
            <w:r w:rsidR="002F3467">
              <w:t>Enacted</w:t>
            </w:r>
          </w:p>
        </w:tc>
        <w:tc>
          <w:tcPr>
            <w:tcW w:w="1260" w:type="dxa"/>
          </w:tcPr>
          <w:p w:rsidR="00FA2AAB" w:rsidRPr="00762F09" w:rsidRDefault="008A2184" w:rsidP="0014323B">
            <w:pPr>
              <w:spacing w:before="100" w:beforeAutospacing="1" w:after="100" w:afterAutospacing="1"/>
              <w:jc w:val="right"/>
            </w:pPr>
            <w:r>
              <w:t>1,</w:t>
            </w:r>
            <w:r w:rsidR="0014323B">
              <w:t>173</w:t>
            </w:r>
          </w:p>
        </w:tc>
        <w:tc>
          <w:tcPr>
            <w:tcW w:w="1260" w:type="dxa"/>
          </w:tcPr>
          <w:p w:rsidR="00FA2AAB" w:rsidRPr="00762F09" w:rsidRDefault="008A2184" w:rsidP="0014323B">
            <w:pPr>
              <w:spacing w:before="100" w:beforeAutospacing="1" w:after="100" w:afterAutospacing="1"/>
              <w:jc w:val="right"/>
            </w:pPr>
            <w:r>
              <w:t>1,</w:t>
            </w:r>
            <w:r w:rsidR="0014323B">
              <w:t>156</w:t>
            </w:r>
          </w:p>
        </w:tc>
        <w:tc>
          <w:tcPr>
            <w:tcW w:w="1440" w:type="dxa"/>
          </w:tcPr>
          <w:p w:rsidR="00FA2AAB" w:rsidRPr="00762F09" w:rsidRDefault="00353D9A" w:rsidP="00C73D63">
            <w:pPr>
              <w:spacing w:before="100" w:beforeAutospacing="1" w:after="100" w:afterAutospacing="1"/>
              <w:jc w:val="right"/>
            </w:pPr>
            <w:r>
              <w:t>253,440</w:t>
            </w:r>
          </w:p>
        </w:tc>
      </w:tr>
      <w:tr w:rsidR="00FA2AAB" w:rsidRPr="00762F09" w:rsidTr="004F2718">
        <w:tc>
          <w:tcPr>
            <w:tcW w:w="5400" w:type="dxa"/>
          </w:tcPr>
          <w:p w:rsidR="00FA2AAB" w:rsidRPr="00762F09" w:rsidRDefault="00FA2AAB" w:rsidP="00143009">
            <w:pPr>
              <w:spacing w:before="100" w:beforeAutospacing="1" w:after="100" w:afterAutospacing="1"/>
              <w:ind w:right="-468"/>
            </w:pPr>
            <w:r w:rsidRPr="00762F09">
              <w:t>Adjustments to Base and Technical Adjustments</w:t>
            </w:r>
          </w:p>
        </w:tc>
        <w:tc>
          <w:tcPr>
            <w:tcW w:w="1260" w:type="dxa"/>
          </w:tcPr>
          <w:p w:rsidR="00FA2AAB" w:rsidRPr="0071293D" w:rsidRDefault="001E002F" w:rsidP="00C73D63">
            <w:pPr>
              <w:spacing w:before="100" w:beforeAutospacing="1" w:after="100" w:afterAutospacing="1"/>
              <w:jc w:val="right"/>
            </w:pPr>
            <w:r>
              <w:t>(</w:t>
            </w:r>
            <w:r w:rsidR="0014323B">
              <w:t>51</w:t>
            </w:r>
            <w:r>
              <w:t>)</w:t>
            </w:r>
          </w:p>
        </w:tc>
        <w:tc>
          <w:tcPr>
            <w:tcW w:w="1260" w:type="dxa"/>
          </w:tcPr>
          <w:p w:rsidR="00FA2AAB" w:rsidRPr="0071293D" w:rsidRDefault="001E002F" w:rsidP="008A3AFF">
            <w:pPr>
              <w:spacing w:before="100" w:beforeAutospacing="1" w:after="100" w:afterAutospacing="1"/>
              <w:jc w:val="right"/>
            </w:pPr>
            <w:r>
              <w:t>(</w:t>
            </w:r>
            <w:r w:rsidR="0014323B">
              <w:t>50</w:t>
            </w:r>
            <w:r>
              <w:t>)</w:t>
            </w:r>
          </w:p>
        </w:tc>
        <w:tc>
          <w:tcPr>
            <w:tcW w:w="1440" w:type="dxa"/>
          </w:tcPr>
          <w:p w:rsidR="00FA2AAB" w:rsidRPr="0071293D" w:rsidRDefault="00353D9A" w:rsidP="00DF28C1">
            <w:pPr>
              <w:spacing w:before="100" w:beforeAutospacing="1" w:after="100" w:afterAutospacing="1"/>
              <w:jc w:val="right"/>
            </w:pPr>
            <w:r>
              <w:t>6,2</w:t>
            </w:r>
            <w:r w:rsidR="00DF28C1">
              <w:t>13</w:t>
            </w:r>
          </w:p>
        </w:tc>
      </w:tr>
      <w:tr w:rsidR="00FA2AAB" w:rsidRPr="00762F09" w:rsidTr="004F2718">
        <w:tc>
          <w:tcPr>
            <w:tcW w:w="5400" w:type="dxa"/>
          </w:tcPr>
          <w:p w:rsidR="00FA2AAB" w:rsidRPr="00762F09" w:rsidRDefault="006C7DF9" w:rsidP="006C7DF9">
            <w:pPr>
              <w:spacing w:before="100" w:beforeAutospacing="1" w:after="100" w:afterAutospacing="1"/>
            </w:pPr>
            <w:r w:rsidRPr="00762F09">
              <w:t>201</w:t>
            </w:r>
            <w:r w:rsidR="00C073A9">
              <w:t>3</w:t>
            </w:r>
            <w:r w:rsidRPr="00762F09">
              <w:t xml:space="preserve"> </w:t>
            </w:r>
            <w:r w:rsidR="00FA2AAB" w:rsidRPr="00762F09">
              <w:t>Current Services</w:t>
            </w:r>
          </w:p>
        </w:tc>
        <w:tc>
          <w:tcPr>
            <w:tcW w:w="1260" w:type="dxa"/>
          </w:tcPr>
          <w:p w:rsidR="00FA2AAB" w:rsidRPr="0071293D" w:rsidRDefault="008A2184" w:rsidP="008A3AFF">
            <w:pPr>
              <w:spacing w:before="100" w:beforeAutospacing="1" w:after="100" w:afterAutospacing="1"/>
              <w:jc w:val="right"/>
            </w:pPr>
            <w:r>
              <w:t>1,</w:t>
            </w:r>
            <w:r w:rsidR="001E002F">
              <w:t>122</w:t>
            </w:r>
          </w:p>
        </w:tc>
        <w:tc>
          <w:tcPr>
            <w:tcW w:w="1260" w:type="dxa"/>
          </w:tcPr>
          <w:p w:rsidR="00FA2AAB" w:rsidRPr="0071293D" w:rsidRDefault="008A2184" w:rsidP="008A3AFF">
            <w:pPr>
              <w:spacing w:before="100" w:beforeAutospacing="1" w:after="100" w:afterAutospacing="1"/>
              <w:jc w:val="right"/>
            </w:pPr>
            <w:r>
              <w:t>1,</w:t>
            </w:r>
            <w:r w:rsidR="001E002F">
              <w:t>106</w:t>
            </w:r>
          </w:p>
        </w:tc>
        <w:tc>
          <w:tcPr>
            <w:tcW w:w="1440" w:type="dxa"/>
          </w:tcPr>
          <w:p w:rsidR="00FA2AAB" w:rsidRPr="0071293D" w:rsidRDefault="00353D9A" w:rsidP="00DF28C1">
            <w:pPr>
              <w:spacing w:before="100" w:beforeAutospacing="1" w:after="100" w:afterAutospacing="1"/>
              <w:jc w:val="right"/>
            </w:pPr>
            <w:r>
              <w:t>259,</w:t>
            </w:r>
            <w:r w:rsidR="00DF28C1">
              <w:t>653</w:t>
            </w:r>
          </w:p>
        </w:tc>
      </w:tr>
      <w:tr w:rsidR="00FA2AAB" w:rsidRPr="00762F09" w:rsidTr="004F2718">
        <w:tc>
          <w:tcPr>
            <w:tcW w:w="5400" w:type="dxa"/>
          </w:tcPr>
          <w:p w:rsidR="00FA2AAB" w:rsidRPr="00762F09" w:rsidRDefault="006C7DF9" w:rsidP="00C73D63">
            <w:pPr>
              <w:spacing w:before="100" w:beforeAutospacing="1" w:after="100" w:afterAutospacing="1"/>
            </w:pPr>
            <w:r w:rsidRPr="00762F09">
              <w:t>201</w:t>
            </w:r>
            <w:r w:rsidR="00C073A9">
              <w:t>3</w:t>
            </w:r>
            <w:r w:rsidRPr="00762F09">
              <w:t xml:space="preserve"> </w:t>
            </w:r>
            <w:r w:rsidR="00C73D63">
              <w:t>Program Increases</w:t>
            </w:r>
          </w:p>
        </w:tc>
        <w:tc>
          <w:tcPr>
            <w:tcW w:w="1260" w:type="dxa"/>
          </w:tcPr>
          <w:p w:rsidR="00FA2AAB" w:rsidRPr="0071293D" w:rsidRDefault="008A2184" w:rsidP="00C73D63">
            <w:pPr>
              <w:spacing w:before="100" w:beforeAutospacing="1" w:after="100" w:afterAutospacing="1"/>
              <w:jc w:val="right"/>
            </w:pPr>
            <w:r>
              <w:t>0</w:t>
            </w:r>
          </w:p>
        </w:tc>
        <w:tc>
          <w:tcPr>
            <w:tcW w:w="1260" w:type="dxa"/>
          </w:tcPr>
          <w:p w:rsidR="00FA2AAB" w:rsidRPr="0071293D" w:rsidRDefault="008A2184" w:rsidP="00C73D63">
            <w:pPr>
              <w:spacing w:before="100" w:beforeAutospacing="1" w:after="100" w:afterAutospacing="1"/>
              <w:jc w:val="right"/>
            </w:pPr>
            <w:r>
              <w:t>0</w:t>
            </w:r>
          </w:p>
        </w:tc>
        <w:tc>
          <w:tcPr>
            <w:tcW w:w="1440" w:type="dxa"/>
          </w:tcPr>
          <w:p w:rsidR="00FA2AAB" w:rsidRPr="0071293D" w:rsidRDefault="008A2184" w:rsidP="00C73D63">
            <w:pPr>
              <w:spacing w:before="100" w:beforeAutospacing="1" w:after="100" w:afterAutospacing="1"/>
              <w:jc w:val="right"/>
            </w:pPr>
            <w:r>
              <w:t>0</w:t>
            </w:r>
          </w:p>
        </w:tc>
      </w:tr>
      <w:tr w:rsidR="00676C34" w:rsidRPr="00762F09" w:rsidTr="004F2718">
        <w:tc>
          <w:tcPr>
            <w:tcW w:w="5400" w:type="dxa"/>
          </w:tcPr>
          <w:p w:rsidR="00676C34" w:rsidRPr="00762F09" w:rsidRDefault="006C7DF9" w:rsidP="006C7DF9">
            <w:pPr>
              <w:spacing w:before="100" w:beforeAutospacing="1" w:after="100" w:afterAutospacing="1"/>
            </w:pPr>
            <w:r>
              <w:t>201</w:t>
            </w:r>
            <w:r w:rsidR="00C073A9">
              <w:t>3</w:t>
            </w:r>
            <w:r>
              <w:t xml:space="preserve"> </w:t>
            </w:r>
            <w:r w:rsidR="00C73D63">
              <w:t xml:space="preserve">Program </w:t>
            </w:r>
            <w:r w:rsidR="00676C34">
              <w:t>Offsets</w:t>
            </w:r>
          </w:p>
        </w:tc>
        <w:tc>
          <w:tcPr>
            <w:tcW w:w="1260" w:type="dxa"/>
          </w:tcPr>
          <w:p w:rsidR="00676C34" w:rsidRPr="0071293D" w:rsidRDefault="008A2184" w:rsidP="00353D9A">
            <w:pPr>
              <w:spacing w:before="100" w:beforeAutospacing="1" w:after="100" w:afterAutospacing="1"/>
              <w:jc w:val="right"/>
            </w:pPr>
            <w:r>
              <w:t>(</w:t>
            </w:r>
            <w:r w:rsidR="00353D9A">
              <w:t>36</w:t>
            </w:r>
            <w:r>
              <w:t>)</w:t>
            </w:r>
          </w:p>
        </w:tc>
        <w:tc>
          <w:tcPr>
            <w:tcW w:w="1260" w:type="dxa"/>
          </w:tcPr>
          <w:p w:rsidR="00676C34" w:rsidRPr="0071293D" w:rsidRDefault="008A2184" w:rsidP="00353D9A">
            <w:pPr>
              <w:spacing w:before="100" w:beforeAutospacing="1" w:after="100" w:afterAutospacing="1"/>
              <w:jc w:val="right"/>
            </w:pPr>
            <w:r>
              <w:t>(</w:t>
            </w:r>
            <w:r w:rsidR="00353D9A">
              <w:t>36</w:t>
            </w:r>
            <w:r>
              <w:t>)</w:t>
            </w:r>
          </w:p>
        </w:tc>
        <w:tc>
          <w:tcPr>
            <w:tcW w:w="1440" w:type="dxa"/>
          </w:tcPr>
          <w:p w:rsidR="00676C34" w:rsidRDefault="00353D9A" w:rsidP="008A3AFF">
            <w:pPr>
              <w:spacing w:before="100" w:beforeAutospacing="1" w:after="100" w:afterAutospacing="1"/>
              <w:jc w:val="right"/>
            </w:pPr>
            <w:r>
              <w:t>(5,917)</w:t>
            </w:r>
          </w:p>
        </w:tc>
      </w:tr>
      <w:tr w:rsidR="00FA2AAB" w:rsidRPr="00762F09" w:rsidTr="004F2718">
        <w:tc>
          <w:tcPr>
            <w:tcW w:w="5400" w:type="dxa"/>
          </w:tcPr>
          <w:p w:rsidR="00FA2AAB" w:rsidRPr="00762F09" w:rsidRDefault="006C7DF9" w:rsidP="006C7DF9">
            <w:pPr>
              <w:spacing w:before="100" w:beforeAutospacing="1" w:after="100" w:afterAutospacing="1"/>
            </w:pPr>
            <w:r w:rsidRPr="00762F09">
              <w:t>201</w:t>
            </w:r>
            <w:r w:rsidR="00C073A9">
              <w:t>3</w:t>
            </w:r>
            <w:r w:rsidRPr="00762F09">
              <w:t xml:space="preserve"> </w:t>
            </w:r>
            <w:r w:rsidR="00FA2AAB" w:rsidRPr="00762F09">
              <w:t>Request</w:t>
            </w:r>
          </w:p>
        </w:tc>
        <w:tc>
          <w:tcPr>
            <w:tcW w:w="1260" w:type="dxa"/>
          </w:tcPr>
          <w:p w:rsidR="00FA2AAB" w:rsidRPr="0071293D" w:rsidRDefault="00353D9A" w:rsidP="008A3AFF">
            <w:pPr>
              <w:spacing w:before="100" w:beforeAutospacing="1" w:after="100" w:afterAutospacing="1"/>
              <w:jc w:val="right"/>
            </w:pPr>
            <w:r>
              <w:t>1,</w:t>
            </w:r>
            <w:r w:rsidR="001E002F">
              <w:t>086</w:t>
            </w:r>
          </w:p>
        </w:tc>
        <w:tc>
          <w:tcPr>
            <w:tcW w:w="1260" w:type="dxa"/>
          </w:tcPr>
          <w:p w:rsidR="00FA2AAB" w:rsidRPr="0071293D" w:rsidRDefault="00353D9A" w:rsidP="008A3AFF">
            <w:pPr>
              <w:spacing w:before="100" w:beforeAutospacing="1" w:after="100" w:afterAutospacing="1"/>
              <w:jc w:val="right"/>
            </w:pPr>
            <w:r>
              <w:t>1,</w:t>
            </w:r>
            <w:r w:rsidR="001E002F">
              <w:t>070</w:t>
            </w:r>
          </w:p>
        </w:tc>
        <w:tc>
          <w:tcPr>
            <w:tcW w:w="1440" w:type="dxa"/>
          </w:tcPr>
          <w:p w:rsidR="00FA2AAB" w:rsidRPr="0071293D" w:rsidRDefault="00353D9A" w:rsidP="00DF28C1">
            <w:pPr>
              <w:spacing w:before="100" w:beforeAutospacing="1" w:after="100" w:afterAutospacing="1"/>
              <w:jc w:val="right"/>
            </w:pPr>
            <w:r>
              <w:t>253,</w:t>
            </w:r>
            <w:r w:rsidR="00DF28C1">
              <w:t>736</w:t>
            </w:r>
          </w:p>
        </w:tc>
      </w:tr>
      <w:tr w:rsidR="00FA2AAB" w:rsidRPr="00762F09" w:rsidTr="004F2718">
        <w:tc>
          <w:tcPr>
            <w:tcW w:w="5400" w:type="dxa"/>
            <w:shd w:val="clear" w:color="auto" w:fill="E0E0E0"/>
          </w:tcPr>
          <w:p w:rsidR="00FA2AAB" w:rsidRPr="00143009" w:rsidRDefault="00FA2AAB" w:rsidP="006C7DF9">
            <w:pPr>
              <w:spacing w:before="100" w:beforeAutospacing="1" w:after="100" w:afterAutospacing="1"/>
              <w:rPr>
                <w:b/>
                <w:bCs/>
              </w:rPr>
            </w:pPr>
            <w:r w:rsidRPr="00143009">
              <w:rPr>
                <w:b/>
                <w:bCs/>
              </w:rPr>
              <w:t xml:space="preserve">Total Change </w:t>
            </w:r>
            <w:r w:rsidR="006C7DF9" w:rsidRPr="00143009">
              <w:rPr>
                <w:b/>
                <w:bCs/>
              </w:rPr>
              <w:t>201</w:t>
            </w:r>
            <w:r w:rsidR="00C073A9">
              <w:rPr>
                <w:b/>
                <w:bCs/>
              </w:rPr>
              <w:t>2</w:t>
            </w:r>
            <w:r w:rsidRPr="00143009">
              <w:rPr>
                <w:b/>
                <w:bCs/>
              </w:rPr>
              <w:t>-</w:t>
            </w:r>
            <w:r w:rsidR="006C7DF9" w:rsidRPr="00143009">
              <w:rPr>
                <w:b/>
                <w:bCs/>
              </w:rPr>
              <w:t>201</w:t>
            </w:r>
            <w:r w:rsidR="00C073A9">
              <w:rPr>
                <w:b/>
                <w:bCs/>
              </w:rPr>
              <w:t>3</w:t>
            </w:r>
          </w:p>
        </w:tc>
        <w:tc>
          <w:tcPr>
            <w:tcW w:w="1260" w:type="dxa"/>
            <w:shd w:val="clear" w:color="auto" w:fill="E0E0E0"/>
          </w:tcPr>
          <w:p w:rsidR="00FA2AAB" w:rsidRPr="0071293D" w:rsidRDefault="008A2184" w:rsidP="00353D9A">
            <w:pPr>
              <w:spacing w:before="100" w:beforeAutospacing="1" w:after="100" w:afterAutospacing="1"/>
              <w:jc w:val="right"/>
              <w:rPr>
                <w:b/>
              </w:rPr>
            </w:pPr>
            <w:r>
              <w:rPr>
                <w:b/>
              </w:rPr>
              <w:t>(</w:t>
            </w:r>
            <w:r w:rsidR="001E002F">
              <w:rPr>
                <w:b/>
              </w:rPr>
              <w:t>87</w:t>
            </w:r>
            <w:r>
              <w:rPr>
                <w:b/>
              </w:rPr>
              <w:t>)</w:t>
            </w:r>
          </w:p>
        </w:tc>
        <w:tc>
          <w:tcPr>
            <w:tcW w:w="1260" w:type="dxa"/>
            <w:shd w:val="clear" w:color="auto" w:fill="E0E0E0"/>
          </w:tcPr>
          <w:p w:rsidR="00FA2AAB" w:rsidRPr="0071293D" w:rsidRDefault="008A2184" w:rsidP="00353D9A">
            <w:pPr>
              <w:spacing w:before="100" w:beforeAutospacing="1" w:after="100" w:afterAutospacing="1"/>
              <w:jc w:val="right"/>
              <w:rPr>
                <w:b/>
              </w:rPr>
            </w:pPr>
            <w:r>
              <w:rPr>
                <w:b/>
              </w:rPr>
              <w:t>(</w:t>
            </w:r>
            <w:r w:rsidR="001E002F">
              <w:rPr>
                <w:b/>
              </w:rPr>
              <w:t>8</w:t>
            </w:r>
            <w:r w:rsidR="00353D9A">
              <w:rPr>
                <w:b/>
              </w:rPr>
              <w:t>6</w:t>
            </w:r>
            <w:r>
              <w:rPr>
                <w:b/>
              </w:rPr>
              <w:t>)</w:t>
            </w:r>
          </w:p>
        </w:tc>
        <w:tc>
          <w:tcPr>
            <w:tcW w:w="1440" w:type="dxa"/>
            <w:shd w:val="clear" w:color="auto" w:fill="E0E0E0"/>
          </w:tcPr>
          <w:p w:rsidR="00FA2AAB" w:rsidRPr="0071293D" w:rsidRDefault="00DF28C1" w:rsidP="00DF28C1">
            <w:pPr>
              <w:spacing w:before="100" w:beforeAutospacing="1" w:after="100" w:afterAutospacing="1"/>
              <w:jc w:val="right"/>
              <w:rPr>
                <w:b/>
              </w:rPr>
            </w:pPr>
            <w:r>
              <w:rPr>
                <w:b/>
              </w:rPr>
              <w:t>296</w:t>
            </w:r>
          </w:p>
        </w:tc>
      </w:tr>
    </w:tbl>
    <w:p w:rsidR="00FA2AAB" w:rsidRPr="00762F09" w:rsidRDefault="00FA2AAB" w:rsidP="00DC7ED8">
      <w:pPr>
        <w:spacing w:before="100" w:beforeAutospacing="1" w:after="100" w:afterAutospacing="1"/>
        <w:rPr>
          <w:bCs/>
        </w:rPr>
      </w:pPr>
      <w:r>
        <w:rPr>
          <w:b/>
          <w:bCs/>
        </w:rPr>
        <w:t xml:space="preserve">1.  </w:t>
      </w:r>
      <w:r w:rsidRPr="00762F09">
        <w:rPr>
          <w:b/>
          <w:bCs/>
        </w:rPr>
        <w:t>Program Description</w:t>
      </w:r>
      <w:r w:rsidRPr="00762F09">
        <w:rPr>
          <w:b/>
          <w:bCs/>
        </w:rPr>
        <w:tab/>
      </w:r>
    </w:p>
    <w:p w:rsidR="00FA2AAB" w:rsidRPr="00762F09" w:rsidRDefault="00C979C0" w:rsidP="005027FD">
      <w:pPr>
        <w:spacing w:before="100" w:beforeAutospacing="1" w:after="100" w:afterAutospacing="1"/>
        <w:rPr>
          <w:u w:color="FF6600"/>
        </w:rPr>
      </w:pPr>
      <w:r w:rsidRPr="00762F09">
        <w:rPr>
          <w:u w:color="FF6600"/>
        </w:rPr>
        <w:t>ATF has unique expertise in the investigation and forensic analysis of fire, arson, and explosives incidents arising from criminal or terrorists acts, and it</w:t>
      </w:r>
      <w:r w:rsidRPr="00762F09">
        <w:rPr>
          <w:b/>
          <w:color w:val="FF0000"/>
          <w:u w:color="FF6600"/>
        </w:rPr>
        <w:t xml:space="preserve"> </w:t>
      </w:r>
      <w:r w:rsidRPr="00762F09">
        <w:rPr>
          <w:u w:color="FF6600"/>
        </w:rPr>
        <w:t xml:space="preserve">shares its technical and scientific expertise and resources with </w:t>
      </w:r>
      <w:r w:rsidR="00D31D89">
        <w:rPr>
          <w:u w:color="FF6600"/>
        </w:rPr>
        <w:t>Federal</w:t>
      </w:r>
      <w:r w:rsidRPr="00762F09">
        <w:rPr>
          <w:u w:color="FF6600"/>
        </w:rPr>
        <w:t xml:space="preserve">, </w:t>
      </w:r>
      <w:r w:rsidR="00D31D89">
        <w:rPr>
          <w:u w:color="FF6600"/>
        </w:rPr>
        <w:t>state</w:t>
      </w:r>
      <w:r w:rsidRPr="00762F09">
        <w:rPr>
          <w:u w:color="FF6600"/>
        </w:rPr>
        <w:t>, local, tribal,</w:t>
      </w:r>
      <w:r w:rsidRPr="00762F09">
        <w:rPr>
          <w:b/>
          <w:color w:val="008000"/>
          <w:u w:color="FF6600"/>
        </w:rPr>
        <w:t xml:space="preserve"> </w:t>
      </w:r>
      <w:r w:rsidRPr="00762F09">
        <w:rPr>
          <w:u w:color="FF6600"/>
        </w:rPr>
        <w:t>and international law enforcement partners and fire service agencies.</w:t>
      </w:r>
      <w:r>
        <w:rPr>
          <w:u w:color="FF6600"/>
        </w:rPr>
        <w:t xml:space="preserve">  </w:t>
      </w:r>
      <w:r w:rsidR="00FA2AAB" w:rsidRPr="00762F09">
        <w:t xml:space="preserve">ATF is the primary </w:t>
      </w:r>
      <w:r w:rsidR="00D31D89">
        <w:t>Federal</w:t>
      </w:r>
      <w:r w:rsidRPr="00762F09">
        <w:t xml:space="preserve"> </w:t>
      </w:r>
      <w:r w:rsidR="00FA2AAB" w:rsidRPr="00762F09">
        <w:t xml:space="preserve">agency responsible for administering and enforcing the regulatory and criminal provisions of </w:t>
      </w:r>
      <w:r w:rsidR="00D31D89">
        <w:t>Federal</w:t>
      </w:r>
      <w:r w:rsidR="00F7187E" w:rsidRPr="00762F09">
        <w:t xml:space="preserve"> </w:t>
      </w:r>
      <w:r w:rsidR="00FA2AAB" w:rsidRPr="00762F09">
        <w:t xml:space="preserve">laws pertaining to destructive devices, explosives, bombs, and arson.  </w:t>
      </w:r>
      <w:r w:rsidR="00FA2AAB" w:rsidRPr="00762F09">
        <w:rPr>
          <w:rFonts w:eastAsia="Arial Unicode MS"/>
        </w:rPr>
        <w:t xml:space="preserve">One of ATF’s greatest strengths is its dual regulatory and criminal enforcement mission.  </w:t>
      </w:r>
    </w:p>
    <w:p w:rsidR="00FA2AAB" w:rsidRDefault="00C979C0" w:rsidP="005027FD">
      <w:pPr>
        <w:spacing w:before="100" w:beforeAutospacing="1" w:after="100" w:afterAutospacing="1"/>
      </w:pPr>
      <w:r w:rsidRPr="00762F09">
        <w:t xml:space="preserve">ATF </w:t>
      </w:r>
      <w:r w:rsidR="00F7187E">
        <w:t>guides and instructs</w:t>
      </w:r>
      <w:r w:rsidRPr="00762F09">
        <w:t xml:space="preserve"> public safety officials, explosives industry members, and </w:t>
      </w:r>
      <w:r w:rsidR="00D31D89">
        <w:t>state</w:t>
      </w:r>
      <w:r w:rsidR="00F7187E" w:rsidRPr="00762F09">
        <w:t xml:space="preserve"> </w:t>
      </w:r>
      <w:r w:rsidRPr="00762F09">
        <w:t>governments on all aspects of explosives law, including the Safe Explosives Act</w:t>
      </w:r>
      <w:r>
        <w:t xml:space="preserve"> (SEA)</w:t>
      </w:r>
      <w:r w:rsidRPr="00762F09">
        <w:t xml:space="preserve">, to make regulation less burdensome and to promote compliance with </w:t>
      </w:r>
      <w:r w:rsidR="00D31D89">
        <w:t>Federal</w:t>
      </w:r>
      <w:r w:rsidR="00F7187E" w:rsidRPr="00762F09">
        <w:t xml:space="preserve"> </w:t>
      </w:r>
      <w:r w:rsidRPr="00762F09">
        <w:t>law.</w:t>
      </w:r>
      <w:r>
        <w:t xml:space="preserve">  </w:t>
      </w:r>
      <w:r w:rsidR="00FA2AAB" w:rsidRPr="00762F09">
        <w:t xml:space="preserve">ATF’s mission </w:t>
      </w:r>
      <w:r w:rsidR="00F7187E">
        <w:t xml:space="preserve">extends to ensuring </w:t>
      </w:r>
      <w:r w:rsidR="00FA2AAB" w:rsidRPr="00762F09">
        <w:t xml:space="preserve">that only qualified and legitimate applicants enter the explosives industry and that licensees </w:t>
      </w:r>
      <w:r w:rsidR="000816FC">
        <w:t>keep</w:t>
      </w:r>
      <w:r w:rsidR="000816FC" w:rsidRPr="00762F09">
        <w:t xml:space="preserve"> </w:t>
      </w:r>
      <w:r w:rsidR="00FA2AAB" w:rsidRPr="00762F09">
        <w:t xml:space="preserve">proper </w:t>
      </w:r>
      <w:r w:rsidR="000816FC">
        <w:t>records</w:t>
      </w:r>
      <w:r w:rsidR="000816FC" w:rsidRPr="00762F09">
        <w:t xml:space="preserve"> </w:t>
      </w:r>
      <w:r w:rsidR="00FA2AAB" w:rsidRPr="00762F09">
        <w:t xml:space="preserve">and </w:t>
      </w:r>
      <w:r w:rsidR="000816FC">
        <w:t xml:space="preserve">use sound </w:t>
      </w:r>
      <w:r w:rsidR="00FA2AAB" w:rsidRPr="00762F09">
        <w:t xml:space="preserve">business practices to help prevent theft, explosives incidents, </w:t>
      </w:r>
      <w:r w:rsidR="000816FC">
        <w:t>or the diversion</w:t>
      </w:r>
      <w:r w:rsidR="00FA2AAB" w:rsidRPr="00762F09">
        <w:t xml:space="preserve"> of explosives </w:t>
      </w:r>
      <w:r w:rsidR="000816FC">
        <w:t>to</w:t>
      </w:r>
      <w:r w:rsidR="000816FC" w:rsidRPr="00762F09">
        <w:t xml:space="preserve"> </w:t>
      </w:r>
      <w:r w:rsidR="00FA2AAB" w:rsidRPr="00762F09">
        <w:t xml:space="preserve">criminal or terrorist purposes.  </w:t>
      </w:r>
    </w:p>
    <w:p w:rsidR="007A79E5" w:rsidRDefault="00A711E9" w:rsidP="007A79E5">
      <w:pPr>
        <w:pStyle w:val="BodyText"/>
        <w:spacing w:before="100" w:beforeAutospacing="1" w:after="100" w:afterAutospacing="1"/>
      </w:pPr>
      <w:r>
        <w:rPr>
          <w:color w:val="000000"/>
        </w:rPr>
        <w:t xml:space="preserve">With its long history of </w:t>
      </w:r>
      <w:r w:rsidR="002A6CA3" w:rsidRPr="00762F09">
        <w:rPr>
          <w:color w:val="000000"/>
        </w:rPr>
        <w:t>investigati</w:t>
      </w:r>
      <w:r w:rsidR="002A6CA3">
        <w:rPr>
          <w:color w:val="000000"/>
        </w:rPr>
        <w:t>ng</w:t>
      </w:r>
      <w:r w:rsidR="002A6CA3" w:rsidRPr="00762F09">
        <w:rPr>
          <w:color w:val="000000"/>
        </w:rPr>
        <w:t xml:space="preserve"> </w:t>
      </w:r>
      <w:r w:rsidR="00C879A6">
        <w:rPr>
          <w:color w:val="000000"/>
        </w:rPr>
        <w:t xml:space="preserve">fires and </w:t>
      </w:r>
      <w:r w:rsidR="00FA2AAB" w:rsidRPr="00762F09">
        <w:rPr>
          <w:color w:val="000000"/>
        </w:rPr>
        <w:t>criminal bombings</w:t>
      </w:r>
      <w:r w:rsidR="00C879A6">
        <w:rPr>
          <w:color w:val="000000"/>
        </w:rPr>
        <w:t>,</w:t>
      </w:r>
      <w:r w:rsidR="00FA2AAB" w:rsidRPr="00762F09">
        <w:rPr>
          <w:color w:val="000000"/>
        </w:rPr>
        <w:t xml:space="preserve"> ATF has the training, experience, and ability to detect, prevent, protect against, and respond to </w:t>
      </w:r>
      <w:r w:rsidR="00C879A6">
        <w:rPr>
          <w:color w:val="000000"/>
        </w:rPr>
        <w:t>such</w:t>
      </w:r>
      <w:r w:rsidR="00FA2AAB" w:rsidRPr="00762F09">
        <w:rPr>
          <w:color w:val="000000"/>
        </w:rPr>
        <w:t xml:space="preserve"> incidents.</w:t>
      </w:r>
      <w:r w:rsidR="007A79E5" w:rsidRPr="007A79E5">
        <w:t xml:space="preserve"> </w:t>
      </w:r>
      <w:r w:rsidR="0071720D">
        <w:t xml:space="preserve"> </w:t>
      </w:r>
      <w:r w:rsidR="007A79E5">
        <w:t>Whether investigating fires at houses of worship, large fires in commercial facilities, fire</w:t>
      </w:r>
      <w:r w:rsidR="000A5375">
        <w:t>s</w:t>
      </w:r>
      <w:r w:rsidR="007A79E5">
        <w:t xml:space="preserve"> involving multiple fatalities, serial arsons, or fire incidental to acts of terrorism</w:t>
      </w:r>
      <w:r w:rsidR="00DA66B9">
        <w:t xml:space="preserve">, </w:t>
      </w:r>
      <w:r w:rsidR="007A79E5">
        <w:t xml:space="preserve">ATF provides one of the most highly proficient and respected response capabilities in the world. </w:t>
      </w:r>
      <w:r w:rsidR="007A79E5" w:rsidRPr="00762F09">
        <w:t xml:space="preserve">  </w:t>
      </w:r>
      <w:r w:rsidR="007A79E5">
        <w:t xml:space="preserve">The following illustrates ATF’s impact </w:t>
      </w:r>
      <w:r w:rsidR="000A5375" w:rsidRPr="002D1D76">
        <w:t xml:space="preserve">relative </w:t>
      </w:r>
      <w:r w:rsidR="007A79E5">
        <w:t>to bombing and explosives inciden</w:t>
      </w:r>
      <w:r w:rsidR="000A5375">
        <w:t>ts</w:t>
      </w:r>
      <w:r w:rsidR="007A79E5">
        <w:t>.</w:t>
      </w:r>
    </w:p>
    <w:p w:rsidR="00A961B8" w:rsidRPr="002D1D76" w:rsidRDefault="00421B00" w:rsidP="00133B1A">
      <w:pPr>
        <w:pStyle w:val="ListParagraph"/>
        <w:numPr>
          <w:ilvl w:val="0"/>
          <w:numId w:val="61"/>
        </w:numPr>
        <w:ind w:left="360" w:right="720" w:firstLine="0"/>
      </w:pPr>
      <w:r w:rsidRPr="002D1D76">
        <w:t>Since 1978, ATF has investigated more than 32,000 bombings and attempted bombings, almost 1,500 accidental explosions, and more than 23,500 incidents involving recovered explosives or explosive devices.  The majority of these criminal bombings involved the use of improvised explosives devices.</w:t>
      </w:r>
    </w:p>
    <w:p w:rsidR="00B81B06" w:rsidRPr="002D1D76" w:rsidRDefault="00FF4654" w:rsidP="00133B1A">
      <w:pPr>
        <w:pStyle w:val="ListParagraph"/>
        <w:numPr>
          <w:ilvl w:val="0"/>
          <w:numId w:val="61"/>
        </w:numPr>
        <w:ind w:left="360" w:right="720" w:firstLine="0"/>
      </w:pPr>
      <w:r w:rsidRPr="002D1D76">
        <w:t>Between 1992 and 2008, 98.5 percent of the 26,919 bombing incidents in the U.S. were determined to be criminal acts.</w:t>
      </w:r>
    </w:p>
    <w:p w:rsidR="00B81B06" w:rsidRDefault="00FF4654" w:rsidP="00133B1A">
      <w:pPr>
        <w:pStyle w:val="ListParagraph"/>
        <w:numPr>
          <w:ilvl w:val="0"/>
          <w:numId w:val="61"/>
        </w:numPr>
        <w:ind w:left="360" w:right="720" w:firstLine="0"/>
      </w:pPr>
      <w:r w:rsidRPr="00FF4654">
        <w:t xml:space="preserve">Using a broad definition of terrorism (to include hate groups, animal rights groups, and reproductive rights motivations), 405 incidents or 1.5% </w:t>
      </w:r>
      <w:r w:rsidR="002A6CA3" w:rsidRPr="007A79E5">
        <w:t>of the total, were identified as terrorist related.</w:t>
      </w:r>
    </w:p>
    <w:p w:rsidR="00717B89" w:rsidRDefault="002A6CA3" w:rsidP="00133B1A">
      <w:pPr>
        <w:pStyle w:val="ListParagraph"/>
        <w:numPr>
          <w:ilvl w:val="0"/>
          <w:numId w:val="61"/>
        </w:numPr>
        <w:ind w:left="360" w:right="720" w:firstLine="0"/>
      </w:pPr>
      <w:r w:rsidRPr="007A79E5">
        <w:t xml:space="preserve">Since 1978, ATF’s National Response Team (NRT) has responded to more than </w:t>
      </w:r>
      <w:r w:rsidR="00C879A6" w:rsidRPr="007A79E5">
        <w:t>700</w:t>
      </w:r>
      <w:r w:rsidRPr="007A79E5">
        <w:t xml:space="preserve"> significant incidents throughout the U.S., including the Oklahoma City Bombing</w:t>
      </w:r>
      <w:r w:rsidR="00FF4654" w:rsidRPr="00FF4654">
        <w:t>, the 1993 World Trade Center bombing, and the September 11, 2001 attack on the Pentagon.</w:t>
      </w:r>
    </w:p>
    <w:p w:rsidR="00FA2AAB" w:rsidRPr="00762F09" w:rsidRDefault="00FA2AAB" w:rsidP="005027FD">
      <w:pPr>
        <w:pStyle w:val="Heading3"/>
        <w:keepNext w:val="0"/>
        <w:spacing w:before="100" w:beforeAutospacing="1" w:after="100" w:afterAutospacing="1"/>
        <w:rPr>
          <w:rFonts w:ascii="Times New Roman" w:hAnsi="Times New Roman" w:cs="Times New Roman"/>
          <w:i/>
          <w:u w:val="none"/>
        </w:rPr>
      </w:pPr>
      <w:bookmarkStart w:id="17" w:name="_Toc215989281"/>
      <w:bookmarkStart w:id="18" w:name="_Toc216172456"/>
      <w:bookmarkStart w:id="19" w:name="_Toc224026875"/>
      <w:r w:rsidRPr="00762F09">
        <w:rPr>
          <w:rFonts w:ascii="Times New Roman" w:hAnsi="Times New Roman" w:cs="Times New Roman"/>
          <w:i/>
          <w:u w:val="none"/>
        </w:rPr>
        <w:t>Participation in Joint Terrorism Task Forces (JTTFs)</w:t>
      </w:r>
      <w:bookmarkEnd w:id="17"/>
      <w:bookmarkEnd w:id="18"/>
      <w:bookmarkEnd w:id="19"/>
    </w:p>
    <w:p w:rsidR="00503873" w:rsidRDefault="00FA2AAB" w:rsidP="00F033D1">
      <w:pPr>
        <w:pStyle w:val="BodyText"/>
      </w:pPr>
      <w:r w:rsidRPr="002D1D76">
        <w:t xml:space="preserve">ATF fully supports </w:t>
      </w:r>
      <w:r w:rsidRPr="002D1D76">
        <w:rPr>
          <w:color w:val="000000"/>
        </w:rPr>
        <w:t>G</w:t>
      </w:r>
      <w:r w:rsidRPr="002D1D76">
        <w:t>overnment anti-terrorism efforts</w:t>
      </w:r>
      <w:r w:rsidR="002A6CA3" w:rsidRPr="002D1D76">
        <w:t>,</w:t>
      </w:r>
      <w:r w:rsidRPr="002D1D76">
        <w:t xml:space="preserve"> </w:t>
      </w:r>
      <w:r w:rsidR="002A6CA3" w:rsidRPr="002D1D76">
        <w:t xml:space="preserve">especially </w:t>
      </w:r>
      <w:r w:rsidRPr="002D1D76">
        <w:t xml:space="preserve">the FBI-led JTTFs.  </w:t>
      </w:r>
      <w:r w:rsidR="00421B00" w:rsidRPr="002D1D76">
        <w:t>ATF participates in all 106 JTTFs, and assigns one ATF agent to the National JTTF at</w:t>
      </w:r>
      <w:r w:rsidRPr="002D1D76">
        <w:t xml:space="preserve"> the National Counter-</w:t>
      </w:r>
      <w:r w:rsidR="00E223CC" w:rsidRPr="002D1D76">
        <w:t>T</w:t>
      </w:r>
      <w:r w:rsidRPr="002D1D76">
        <w:t xml:space="preserve">errorism Center.  In working with the JTTF, ATF </w:t>
      </w:r>
      <w:r w:rsidR="002A6CA3" w:rsidRPr="002D1D76">
        <w:t xml:space="preserve">plays </w:t>
      </w:r>
      <w:r w:rsidRPr="002D1D76">
        <w:t>an important part in terrorism cases that involve firearms smuggling, bombs, illegal explosive possession, and tobacco diversion.</w:t>
      </w:r>
    </w:p>
    <w:p w:rsidR="00FA2AAB" w:rsidRPr="00762F09" w:rsidRDefault="00FA2AAB" w:rsidP="005027FD">
      <w:pPr>
        <w:pStyle w:val="Heading3"/>
        <w:keepNext w:val="0"/>
        <w:spacing w:before="100" w:beforeAutospacing="1" w:after="100" w:afterAutospacing="1"/>
        <w:rPr>
          <w:rFonts w:ascii="Times New Roman" w:hAnsi="Times New Roman" w:cs="Times New Roman"/>
          <w:i/>
          <w:u w:val="none"/>
        </w:rPr>
      </w:pPr>
      <w:bookmarkStart w:id="20" w:name="_Toc215989283"/>
      <w:bookmarkStart w:id="21" w:name="_Toc216172458"/>
      <w:bookmarkStart w:id="22" w:name="_Toc224026877"/>
      <w:r w:rsidRPr="00762F09">
        <w:rPr>
          <w:rFonts w:ascii="Times New Roman" w:hAnsi="Times New Roman" w:cs="Times New Roman"/>
          <w:i/>
          <w:u w:val="none"/>
        </w:rPr>
        <w:t>Terrorist Explosive Device Analytical Center (TEDAC</w:t>
      </w:r>
      <w:bookmarkEnd w:id="20"/>
      <w:bookmarkEnd w:id="21"/>
      <w:r w:rsidRPr="00762F09">
        <w:rPr>
          <w:rFonts w:ascii="Times New Roman" w:hAnsi="Times New Roman" w:cs="Times New Roman"/>
          <w:i/>
          <w:u w:val="none"/>
        </w:rPr>
        <w:t>)</w:t>
      </w:r>
      <w:bookmarkEnd w:id="22"/>
    </w:p>
    <w:p w:rsidR="00D27887" w:rsidRDefault="00FA2AAB" w:rsidP="005027FD">
      <w:pPr>
        <w:pStyle w:val="BodyText"/>
        <w:spacing w:before="100" w:beforeAutospacing="1" w:after="100" w:afterAutospacing="1"/>
      </w:pPr>
      <w:r w:rsidRPr="00762F09">
        <w:t xml:space="preserve">An ATF special agent serves as the deputy director of the </w:t>
      </w:r>
      <w:r w:rsidRPr="00762F09">
        <w:rPr>
          <w:rStyle w:val="Strong"/>
          <w:b w:val="0"/>
        </w:rPr>
        <w:t xml:space="preserve">TEDAC.  </w:t>
      </w:r>
      <w:r w:rsidR="007148F1">
        <w:rPr>
          <w:rStyle w:val="Strong"/>
          <w:b w:val="0"/>
        </w:rPr>
        <w:t xml:space="preserve">Jointly, ATF and the FBI </w:t>
      </w:r>
      <w:r w:rsidRPr="00762F09">
        <w:t xml:space="preserve">coordinate and manage the </w:t>
      </w:r>
      <w:r w:rsidR="007148F1">
        <w:t xml:space="preserve">TEDAC providing </w:t>
      </w:r>
      <w:r w:rsidRPr="00762F09">
        <w:t xml:space="preserve">technical and forensic analysis of evidence recovered from </w:t>
      </w:r>
      <w:r w:rsidR="00D83D76">
        <w:t>improvised explosive devices (</w:t>
      </w:r>
      <w:r w:rsidRPr="00762F09">
        <w:t>IEDs</w:t>
      </w:r>
      <w:r w:rsidR="00D83D76">
        <w:t>)</w:t>
      </w:r>
      <w:r w:rsidRPr="00762F09">
        <w:t xml:space="preserve"> of interest to the U.S. Government (principally derived from CEXC activities in the Iraq and Afghanistan conflicts)</w:t>
      </w:r>
      <w:r>
        <w:t>.</w:t>
      </w:r>
      <w:r w:rsidRPr="00762F09">
        <w:t xml:space="preserve">  The TEDAC combines law enforcement, military, and intelligence assets to classify the operation, </w:t>
      </w:r>
      <w:r>
        <w:t>bomb components</w:t>
      </w:r>
      <w:r w:rsidRPr="00762F09">
        <w:t>, and deployment of IEDs.  These efforts help prevent IED detonations, protect our armed forces, and identify those who manufacture and place these devices</w:t>
      </w:r>
      <w:r w:rsidRPr="008C2518">
        <w:t xml:space="preserve">. </w:t>
      </w:r>
    </w:p>
    <w:p w:rsidR="00F033D1" w:rsidRDefault="00F033D1" w:rsidP="005027FD">
      <w:pPr>
        <w:pStyle w:val="BodyText"/>
        <w:spacing w:before="100" w:beforeAutospacing="1" w:after="100" w:afterAutospacing="1"/>
      </w:pPr>
      <w:r w:rsidRPr="00F033D1">
        <w:rPr>
          <w:b/>
          <w:bCs/>
        </w:rPr>
        <w:t>Boxes of Collected Items Submitted to TEDAC</w:t>
      </w:r>
    </w:p>
    <w:p w:rsidR="00F033D1" w:rsidRDefault="00B111CE" w:rsidP="005027FD">
      <w:pPr>
        <w:pStyle w:val="BodyText"/>
        <w:spacing w:before="100" w:beforeAutospacing="1" w:after="100" w:afterAutospacing="1"/>
      </w:pPr>
      <w:r w:rsidRPr="00B111CE">
        <w:rPr>
          <w:noProof/>
        </w:rPr>
        <w:drawing>
          <wp:inline distT="0" distB="0" distL="0" distR="0">
            <wp:extent cx="4456062" cy="2482973"/>
            <wp:effectExtent l="19050" t="0" r="1638" b="0"/>
            <wp:docPr id="556" name="Picture 1" descr="The graphic on page 37 is a bar chart displaying the boxes of collected items as a result of explosive incidents  submitted from either Iraq or Afghanisistan om a quarterly basis from FY 2005 to FY 2011.  The graphic indicates a decrease from Iraq and a corresponding increase from Afghanistan beginning in 2009."/>
            <wp:cNvGraphicFramePr/>
            <a:graphic xmlns:a="http://schemas.openxmlformats.org/drawingml/2006/main">
              <a:graphicData uri="http://schemas.openxmlformats.org/drawingml/2006/picture">
                <pic:pic xmlns:pic="http://schemas.openxmlformats.org/drawingml/2006/picture">
                  <pic:nvPicPr>
                    <pic:cNvPr id="11271" name="Picture 4"/>
                    <pic:cNvPicPr>
                      <a:picLocks noChangeAspect="1" noChangeArrowheads="1"/>
                    </pic:cNvPicPr>
                  </pic:nvPicPr>
                  <pic:blipFill>
                    <a:blip r:embed="rId41" cstate="print"/>
                    <a:srcRect/>
                    <a:stretch>
                      <a:fillRect/>
                    </a:stretch>
                  </pic:blipFill>
                  <pic:spPr bwMode="auto">
                    <a:xfrm>
                      <a:off x="0" y="0"/>
                      <a:ext cx="4465428" cy="2488192"/>
                    </a:xfrm>
                    <a:prstGeom prst="rect">
                      <a:avLst/>
                    </a:prstGeom>
                    <a:noFill/>
                    <a:ln w="9525">
                      <a:noFill/>
                      <a:miter lim="800000"/>
                      <a:headEnd/>
                      <a:tailEnd/>
                    </a:ln>
                  </pic:spPr>
                </pic:pic>
              </a:graphicData>
            </a:graphic>
          </wp:inline>
        </w:drawing>
      </w:r>
    </w:p>
    <w:p w:rsidR="00FA2AAB" w:rsidRDefault="00F033D1" w:rsidP="005027FD">
      <w:pPr>
        <w:pStyle w:val="BodyText"/>
        <w:spacing w:before="100" w:beforeAutospacing="1" w:after="100" w:afterAutospacing="1"/>
      </w:pPr>
      <w:r w:rsidRPr="00F033D1">
        <w:t xml:space="preserve">From inception through October 27, 2011 the TEDAC has received 77,298 boxes of collected items, primarily from Iraq and Afghanistan. </w:t>
      </w:r>
    </w:p>
    <w:p w:rsidR="00A769E2" w:rsidRDefault="00A769E2" w:rsidP="005027FD">
      <w:pPr>
        <w:pStyle w:val="BodyText"/>
        <w:spacing w:before="100" w:beforeAutospacing="1" w:after="100" w:afterAutospacing="1"/>
      </w:pPr>
      <w:r w:rsidRPr="00A769E2">
        <w:rPr>
          <w:b/>
          <w:bCs/>
        </w:rPr>
        <w:t>TEDAC F</w:t>
      </w:r>
      <w:r>
        <w:rPr>
          <w:b/>
          <w:bCs/>
        </w:rPr>
        <w:t>orensic Operation Unit (F</w:t>
      </w:r>
      <w:r w:rsidRPr="00A769E2">
        <w:rPr>
          <w:b/>
          <w:bCs/>
        </w:rPr>
        <w:t>OU</w:t>
      </w:r>
      <w:r>
        <w:rPr>
          <w:b/>
          <w:bCs/>
        </w:rPr>
        <w:t>)</w:t>
      </w:r>
      <w:r w:rsidRPr="00A769E2">
        <w:rPr>
          <w:b/>
          <w:bCs/>
        </w:rPr>
        <w:t xml:space="preserve"> Biometric Identification of Dawar Gul</w:t>
      </w:r>
    </w:p>
    <w:p w:rsidR="00A769E2" w:rsidRDefault="00B111CE" w:rsidP="005027FD">
      <w:pPr>
        <w:pStyle w:val="BodyText"/>
        <w:spacing w:before="100" w:beforeAutospacing="1" w:after="100" w:afterAutospacing="1"/>
      </w:pPr>
      <w:r>
        <w:rPr>
          <w:noProof/>
        </w:rPr>
        <w:drawing>
          <wp:inline distT="0" distB="0" distL="0" distR="0">
            <wp:extent cx="5974080" cy="3566160"/>
            <wp:effectExtent l="19050" t="0" r="7620" b="0"/>
            <wp:docPr id="831" name="Picture 831" descr="The graphic on page 38 portrays the steps that occured in the identification and permanent detention of Dawar Gul, as a suspected terrorist in Afghanistan.  This is an example of how TEDAC Forenssic Operations Unit  contributes to America's counterterrorism efforts, and specifically, how evidence from IEDs can match suspects with terrorist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42" cstate="print"/>
                    <a:srcRect/>
                    <a:stretch>
                      <a:fillRect/>
                    </a:stretch>
                  </pic:blipFill>
                  <pic:spPr bwMode="auto">
                    <a:xfrm>
                      <a:off x="0" y="0"/>
                      <a:ext cx="5974080" cy="3566160"/>
                    </a:xfrm>
                    <a:prstGeom prst="rect">
                      <a:avLst/>
                    </a:prstGeom>
                    <a:noFill/>
                  </pic:spPr>
                </pic:pic>
              </a:graphicData>
            </a:graphic>
          </wp:inline>
        </w:drawing>
      </w:r>
    </w:p>
    <w:p w:rsidR="00A769E2" w:rsidRDefault="00A769E2" w:rsidP="005027FD">
      <w:pPr>
        <w:pStyle w:val="BodyText"/>
        <w:spacing w:before="100" w:beforeAutospacing="1" w:after="100" w:afterAutospacing="1"/>
      </w:pPr>
      <w:r>
        <w:t>TEDAC’s forensic exploitation at the intersection of law enforcement, intelligence, and the military, provides a key perspective from which to research the science and technology of improvised explosive devices (IEDs).  TEDAC research and testing program supports IED detection, countermeasures and post-blast analysis.  TEDAC identifies emerging international IED threats such as concentrated hydrogen peroxide liquid explosives and chemical initiators before they we</w:t>
      </w:r>
      <w:r w:rsidR="00814872">
        <w:t>re ever used in attacks on the h</w:t>
      </w:r>
      <w:r>
        <w:t>omeland.</w:t>
      </w:r>
    </w:p>
    <w:p w:rsidR="00814872" w:rsidRPr="001B1BB0" w:rsidRDefault="00814872" w:rsidP="00814872">
      <w:pPr>
        <w:pStyle w:val="BodyText"/>
        <w:spacing w:before="100" w:beforeAutospacing="1" w:after="100" w:afterAutospacing="1"/>
        <w:rPr>
          <w:b/>
          <w:i/>
        </w:rPr>
      </w:pPr>
      <w:r w:rsidRPr="001B1BB0">
        <w:rPr>
          <w:b/>
          <w:i/>
          <w:szCs w:val="24"/>
        </w:rPr>
        <w:t>U.S. Bomb Data Center (USBDC)</w:t>
      </w:r>
      <w:bookmarkStart w:id="23" w:name="_Toc215989166"/>
    </w:p>
    <w:p w:rsidR="00814872" w:rsidRDefault="00814872" w:rsidP="00814872">
      <w:pPr>
        <w:pStyle w:val="Heading2"/>
        <w:keepNext w:val="0"/>
        <w:spacing w:before="100" w:beforeAutospacing="1" w:after="100" w:afterAutospacing="1"/>
      </w:pPr>
      <w:r w:rsidRPr="001B1BB0">
        <w:rPr>
          <w:rFonts w:ascii="Times New Roman" w:hAnsi="Times New Roman" w:cs="Times New Roman"/>
          <w:b w:val="0"/>
          <w:i w:val="0"/>
          <w:sz w:val="24"/>
          <w:szCs w:val="24"/>
        </w:rPr>
        <w:t>ATF has been collecting, storing, and analyzing data on explosives and arson incidents since 1976.  ATF, through the U.S. Department of the Treasury, was mandated by Congress pursuant to Public Law 104-208, the 1997 Omnibus Consolidated Appropriations Act, to establish a national repository for incidents involving arson and the criminal misuse of explosives.  This authority, as contained in 18 U.S.C. § 846(b) and delegated to ATF by the Secretary of the Treasury, was moved with ATF to the authority of the Attorney General by the Homeland Security Act of 2002.</w:t>
      </w:r>
    </w:p>
    <w:p w:rsidR="00814872" w:rsidRDefault="00814872" w:rsidP="00814872">
      <w:pPr>
        <w:pStyle w:val="BodyText"/>
      </w:pPr>
      <w:r w:rsidRPr="00762F09">
        <w:t>The USBDC collect</w:t>
      </w:r>
      <w:r>
        <w:t>s</w:t>
      </w:r>
      <w:r w:rsidRPr="00762F09">
        <w:t>, analyze</w:t>
      </w:r>
      <w:r>
        <w:t>s</w:t>
      </w:r>
      <w:r w:rsidRPr="00762F09">
        <w:t>, and disseminate</w:t>
      </w:r>
      <w:r>
        <w:t>s</w:t>
      </w:r>
      <w:r w:rsidRPr="00762F09">
        <w:t xml:space="preserve"> timely information and relevant tactical and statistical intelligence within ATF</w:t>
      </w:r>
      <w:r>
        <w:t xml:space="preserve">, and </w:t>
      </w:r>
      <w:r w:rsidRPr="00762F09">
        <w:t xml:space="preserve">to external </w:t>
      </w:r>
      <w:r>
        <w:t>Federal, state</w:t>
      </w:r>
      <w:r w:rsidRPr="00762F09">
        <w:t>, local, tribal, military</w:t>
      </w:r>
      <w:r>
        <w:t>,</w:t>
      </w:r>
      <w:r w:rsidRPr="00762F09">
        <w:t xml:space="preserve"> and international partners.  The USBDC provides statistical analyses of current trends and patterns to </w:t>
      </w:r>
      <w:r>
        <w:t>help</w:t>
      </w:r>
      <w:r w:rsidRPr="00762F09">
        <w:t xml:space="preserve"> prevent criminal misuse of explosives.</w:t>
      </w:r>
      <w:r>
        <w:t xml:space="preserve">  </w:t>
      </w:r>
      <w:r w:rsidRPr="001C0FEC">
        <w:t xml:space="preserve">The U.S. </w:t>
      </w:r>
      <w:r w:rsidR="00D338D3">
        <w:t>uses</w:t>
      </w:r>
      <w:r w:rsidRPr="001C0FEC">
        <w:t xml:space="preserve"> approximately </w:t>
      </w:r>
      <w:r w:rsidRPr="00D338D3">
        <w:t xml:space="preserve">six </w:t>
      </w:r>
      <w:r w:rsidRPr="001C0FEC">
        <w:t>billion pounds of explosive materials annually.</w:t>
      </w:r>
      <w:r>
        <w:t xml:space="preserve">  </w:t>
      </w:r>
      <w:r w:rsidRPr="001C0FEC">
        <w:t>Each year, eight billion pounds of ammonium nitrate are produced, of which half is used for explosives.</w:t>
      </w:r>
    </w:p>
    <w:p w:rsidR="00874A4E" w:rsidRDefault="00874A4E" w:rsidP="00814872">
      <w:pPr>
        <w:pStyle w:val="BodyText"/>
      </w:pPr>
    </w:p>
    <w:p w:rsidR="00874A4E" w:rsidRDefault="006C7F18" w:rsidP="00814872">
      <w:pPr>
        <w:pStyle w:val="BodyText"/>
        <w:rPr>
          <w:b/>
          <w:sz w:val="20"/>
        </w:rPr>
      </w:pPr>
      <w:r>
        <w:rPr>
          <w:b/>
          <w:noProof/>
          <w:sz w:val="20"/>
        </w:rPr>
        <w:pict>
          <v:shapetype id="_x0000_t32" coordsize="21600,21600" o:spt="32" o:oned="t" path="m,l21600,21600e" filled="f">
            <v:path arrowok="t" fillok="f" o:connecttype="none"/>
            <o:lock v:ext="edit" shapetype="t"/>
          </v:shapetype>
          <v:shape id="_x0000_s1058" type="#_x0000_t32" style="position:absolute;margin-left:229.65pt;margin-top:56.7pt;width:104.75pt;height:63.7pt;flip:x;z-index:251662336" o:connectortype="straight" strokecolor="red" strokeweight="2.5pt">
            <v:stroke endarrow="block"/>
          </v:shape>
        </w:pict>
      </w:r>
      <w:r>
        <w:rPr>
          <w:b/>
          <w:noProof/>
          <w:sz w:val="20"/>
          <w:lang w:eastAsia="zh-TW"/>
        </w:rPr>
        <w:pict>
          <v:shape id="_x0000_s1057" type="#_x0000_t202" style="position:absolute;margin-left:334.4pt;margin-top:33.2pt;width:130.2pt;height:1in;z-index:251661312;mso-width-relative:margin;mso-height-relative:margin">
            <v:textbox>
              <w:txbxContent>
                <w:p w:rsidR="0091746E" w:rsidRDefault="0091746E">
                  <w:r>
                    <w:t>BATS GIS capability identifies and maps the incident location.</w:t>
                  </w:r>
                </w:p>
              </w:txbxContent>
            </v:textbox>
          </v:shape>
        </w:pict>
      </w:r>
      <w:r w:rsidR="00B111CE">
        <w:rPr>
          <w:b/>
          <w:noProof/>
          <w:sz w:val="20"/>
        </w:rPr>
        <w:drawing>
          <wp:inline distT="0" distB="0" distL="0" distR="0">
            <wp:extent cx="3604260" cy="2712720"/>
            <wp:effectExtent l="19050" t="0" r="0" b="0"/>
            <wp:docPr id="832" name="Picture 832" descr="The graphic on page 39 is a Google map indicating the location  of an explosives incident provideind by the Bomb Arson Tracking System (BATS) Geospatioal Information Systems (GIS) cap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43" cstate="print"/>
                    <a:srcRect/>
                    <a:stretch>
                      <a:fillRect/>
                    </a:stretch>
                  </pic:blipFill>
                  <pic:spPr bwMode="auto">
                    <a:xfrm>
                      <a:off x="0" y="0"/>
                      <a:ext cx="3604260" cy="2712720"/>
                    </a:xfrm>
                    <a:prstGeom prst="rect">
                      <a:avLst/>
                    </a:prstGeom>
                    <a:noFill/>
                  </pic:spPr>
                </pic:pic>
              </a:graphicData>
            </a:graphic>
          </wp:inline>
        </w:drawing>
      </w:r>
    </w:p>
    <w:p w:rsidR="00874A4E" w:rsidRDefault="00874A4E" w:rsidP="00814872">
      <w:pPr>
        <w:pStyle w:val="BodyText"/>
        <w:rPr>
          <w:b/>
          <w:sz w:val="20"/>
        </w:rPr>
      </w:pPr>
    </w:p>
    <w:p w:rsidR="00874A4E" w:rsidRPr="00874A4E" w:rsidRDefault="00874A4E" w:rsidP="00814872">
      <w:pPr>
        <w:pStyle w:val="BodyText"/>
      </w:pPr>
      <w:r w:rsidRPr="00874A4E">
        <w:rPr>
          <w:b/>
          <w:sz w:val="20"/>
        </w:rPr>
        <w:t>BATS Geospatial Information System (GIS) Mapping Capability</w:t>
      </w:r>
    </w:p>
    <w:p w:rsidR="00814872" w:rsidRPr="00762F09" w:rsidRDefault="00814872" w:rsidP="00814872">
      <w:pPr>
        <w:pStyle w:val="BodyText"/>
        <w:spacing w:before="100" w:beforeAutospacing="1" w:after="100" w:afterAutospacing="1"/>
      </w:pPr>
      <w:r>
        <w:t>The USBDC is the sole repository for arson and explosives related incident data, and</w:t>
      </w:r>
      <w:r w:rsidRPr="00762F09">
        <w:t xml:space="preserve"> contains information on more than </w:t>
      </w:r>
      <w:r>
        <w:t>2</w:t>
      </w:r>
      <w:r w:rsidR="008043EE">
        <w:t xml:space="preserve">41,188 </w:t>
      </w:r>
      <w:r w:rsidRPr="00762F09">
        <w:t xml:space="preserve">arson and explosives incidents investigated by ATF and other </w:t>
      </w:r>
      <w:r>
        <w:t>Federal</w:t>
      </w:r>
      <w:r w:rsidRPr="00762F09">
        <w:t xml:space="preserve">, </w:t>
      </w:r>
      <w:r>
        <w:t>state</w:t>
      </w:r>
      <w:r w:rsidRPr="00762F09">
        <w:t>, and local law enforcement and fire investigation agencies.  The USBDC’s Bomb Arson Tracking System (BATS) is the explosives and arson investigator’s link to the USBDC and all the information there</w:t>
      </w:r>
      <w:r>
        <w:t>in</w:t>
      </w:r>
      <w:r w:rsidRPr="00762F09">
        <w:t>.  Investigators use BATS to perform trend analysis and compare incidents for similarities in motives, device components, suspects, and crime methodologies for possible investigative leads nationwide.  Images of arson scenes, improvised explosive devices</w:t>
      </w:r>
      <w:r>
        <w:t>,</w:t>
      </w:r>
      <w:r w:rsidRPr="00762F09">
        <w:t xml:space="preserve"> and crime scenes can be shared through the BATS secure web connection.</w:t>
      </w:r>
    </w:p>
    <w:p w:rsidR="00814872" w:rsidRPr="00762F09" w:rsidRDefault="00814872" w:rsidP="00814872">
      <w:pPr>
        <w:pStyle w:val="BodyText"/>
        <w:spacing w:before="100" w:beforeAutospacing="1" w:after="100" w:afterAutospacing="1"/>
      </w:pPr>
      <w:r w:rsidRPr="00762F09">
        <w:t>Investigators capture details of bomb and arson cases, including the area of origin or device placement, casualties, dollar losses, fire descriptors, collateral crimes, device components</w:t>
      </w:r>
      <w:r>
        <w:t>,</w:t>
      </w:r>
      <w:r w:rsidRPr="00762F09">
        <w:t xml:space="preserve"> and descriptions of how the device was delivered.  BATS also </w:t>
      </w:r>
      <w:r>
        <w:t xml:space="preserve">functions </w:t>
      </w:r>
      <w:r w:rsidRPr="00762F09">
        <w:t xml:space="preserve">as a case management system, allowing </w:t>
      </w:r>
      <w:r>
        <w:t>investigators</w:t>
      </w:r>
      <w:r w:rsidRPr="00762F09">
        <w:t xml:space="preserve"> to build </w:t>
      </w:r>
      <w:r>
        <w:t>cases</w:t>
      </w:r>
      <w:r w:rsidRPr="00762F09">
        <w:t xml:space="preserve"> in</w:t>
      </w:r>
      <w:r>
        <w:t xml:space="preserve"> the</w:t>
      </w:r>
      <w:r w:rsidRPr="00762F09">
        <w:t xml:space="preserve"> BATS</w:t>
      </w:r>
      <w:r>
        <w:t xml:space="preserve"> application</w:t>
      </w:r>
      <w:r w:rsidRPr="00762F09">
        <w:t xml:space="preserve"> while maintaining critical operational security.</w:t>
      </w:r>
    </w:p>
    <w:p w:rsidR="00814872" w:rsidRDefault="00814872" w:rsidP="00814872">
      <w:pPr>
        <w:pStyle w:val="BodyText"/>
        <w:spacing w:before="100" w:beforeAutospacing="1" w:after="100" w:afterAutospacing="1"/>
      </w:pPr>
      <w:r w:rsidRPr="00762F09">
        <w:t xml:space="preserve">The USBDC provides explosives </w:t>
      </w:r>
      <w:r w:rsidRPr="00496EAC">
        <w:t>tracing</w:t>
      </w:r>
      <w:r w:rsidRPr="00762F09">
        <w:t xml:space="preserve"> services to authorized law enforcement agencies in the </w:t>
      </w:r>
      <w:r>
        <w:t>U.S.</w:t>
      </w:r>
      <w:r w:rsidRPr="00762F09">
        <w:t xml:space="preserve"> and in foreign countries.  Tracing is the systematic tracking of explosives from manufacturer to purchaser (or possessor) to aid law enforcement officials in identifying suspects involved in criminal violations, establishing stolen status, and proving ownership.  Explosives manufacturers, importers, wholesalers, and retail dealers in the </w:t>
      </w:r>
      <w:r>
        <w:t>U.S.</w:t>
      </w:r>
      <w:r w:rsidRPr="00762F09">
        <w:t xml:space="preserve"> and foreign countries cooperate in tracing by providing, on request, specific information from their records of manufacture, importation, or sale.  Because of its licensing authority, ATF is the only </w:t>
      </w:r>
      <w:r>
        <w:t>Federal</w:t>
      </w:r>
      <w:r w:rsidRPr="00762F09">
        <w:t xml:space="preserve"> agency authorized access to these records.</w:t>
      </w:r>
    </w:p>
    <w:p w:rsidR="00814872" w:rsidRDefault="00814872" w:rsidP="00814872">
      <w:pPr>
        <w:pStyle w:val="BodyText"/>
        <w:spacing w:before="100" w:beforeAutospacing="1" w:after="100" w:afterAutospacing="1"/>
      </w:pPr>
      <w:r>
        <w:t>ATF serves as the Secretary for the International Bomb Data Center Working Group (IBDCWG) and the co-representative for the Americas.   ATF also serves as the Administrator for the IBDCWG Portal (developed and maintained by the USBDC).  Significant ATF partners at the USBDC include the U.S. Secret Service, the U.S. Capitol Police and the DoD.</w:t>
      </w:r>
    </w:p>
    <w:p w:rsidR="00814872" w:rsidRPr="00762F09" w:rsidRDefault="00814872" w:rsidP="00814872">
      <w:pPr>
        <w:pStyle w:val="Heading2"/>
        <w:keepNext w:val="0"/>
        <w:spacing w:before="100" w:beforeAutospacing="1" w:after="100" w:afterAutospacing="1"/>
        <w:rPr>
          <w:rFonts w:ascii="Times New Roman" w:hAnsi="Times New Roman" w:cs="Times New Roman"/>
          <w:sz w:val="24"/>
          <w:szCs w:val="24"/>
        </w:rPr>
      </w:pPr>
      <w:bookmarkStart w:id="24" w:name="_Toc224026883"/>
      <w:r w:rsidRPr="00762F09">
        <w:rPr>
          <w:rFonts w:ascii="Times New Roman" w:hAnsi="Times New Roman" w:cs="Times New Roman"/>
          <w:sz w:val="24"/>
          <w:szCs w:val="24"/>
        </w:rPr>
        <w:t>ATF National Center for Explosives Training and Research (NCETR)</w:t>
      </w:r>
      <w:bookmarkEnd w:id="23"/>
      <w:bookmarkEnd w:id="24"/>
    </w:p>
    <w:p w:rsidR="00814872" w:rsidRPr="00762F09" w:rsidRDefault="00814872" w:rsidP="00814872">
      <w:pPr>
        <w:pStyle w:val="BodyText"/>
        <w:spacing w:before="100" w:beforeAutospacing="1" w:after="100" w:afterAutospacing="1"/>
      </w:pPr>
      <w:r w:rsidRPr="00762F09">
        <w:t>Established as a result of the 2002 Homeland Security Act, NCETR deliver</w:t>
      </w:r>
      <w:r>
        <w:t>s</w:t>
      </w:r>
      <w:r w:rsidRPr="00762F09">
        <w:t xml:space="preserve"> basic and advanced courses on </w:t>
      </w:r>
      <w:r>
        <w:t>various</w:t>
      </w:r>
      <w:r w:rsidRPr="00762F09">
        <w:t xml:space="preserve"> explosives topics to ATF personnel, law enforcement partners, the U.S. military, and other </w:t>
      </w:r>
      <w:r>
        <w:t>Federal</w:t>
      </w:r>
      <w:r w:rsidRPr="00762F09">
        <w:t xml:space="preserve"> agencies.  </w:t>
      </w:r>
      <w:r>
        <w:t>In 2010, the NCETR moved from its original site at Ft. A.P. Hill in Bowling Green, Virginia, to a permanent location at the Redstone Arsenal in Huntsville, Alabama.</w:t>
      </w:r>
      <w:r w:rsidRPr="00762F09">
        <w:t xml:space="preserve"> </w:t>
      </w:r>
      <w:r>
        <w:t xml:space="preserve"> T</w:t>
      </w:r>
      <w:r w:rsidRPr="00762F09">
        <w:t>he NCETR consolidat</w:t>
      </w:r>
      <w:r>
        <w:t>es</w:t>
      </w:r>
      <w:r w:rsidRPr="00762F09">
        <w:t xml:space="preserve"> ATF explosives expertise and research, </w:t>
      </w:r>
      <w:r>
        <w:t xml:space="preserve">thereby </w:t>
      </w:r>
      <w:r w:rsidRPr="00762F09">
        <w:t>developing and enhancing technical knowledge</w:t>
      </w:r>
      <w:r>
        <w:t xml:space="preserve"> and</w:t>
      </w:r>
      <w:r w:rsidRPr="00762F09">
        <w:t xml:space="preserve"> building partnerships for the dissemination of this knowledge across </w:t>
      </w:r>
      <w:r>
        <w:t>Federal</w:t>
      </w:r>
      <w:r w:rsidRPr="00762F09">
        <w:t xml:space="preserve">, </w:t>
      </w:r>
      <w:r>
        <w:t>state</w:t>
      </w:r>
      <w:r w:rsidRPr="00762F09">
        <w:t xml:space="preserve">, </w:t>
      </w:r>
      <w:r>
        <w:t xml:space="preserve">and </w:t>
      </w:r>
      <w:r w:rsidRPr="00762F09">
        <w:t>local law enforcement agencies.</w:t>
      </w:r>
    </w:p>
    <w:p w:rsidR="005C3544" w:rsidRDefault="005C3544" w:rsidP="005C3544">
      <w:r>
        <w:t xml:space="preserve">The centerpiece of </w:t>
      </w:r>
      <w:r w:rsidRPr="003A7199">
        <w:t xml:space="preserve">NCETR </w:t>
      </w:r>
      <w:r>
        <w:t xml:space="preserve">is </w:t>
      </w:r>
      <w:r>
        <w:rPr>
          <w:rFonts w:eastAsia="Batang"/>
          <w:color w:val="000000"/>
        </w:rPr>
        <w:t xml:space="preserve">an 83,500 square foot conference, training and research facility.  The main NCETR building, other supplemental facilities, and over 1,000 acres of explosives ranges make NCETR an extremely unique resource in the fight against explosives-related violent crime and the whole-of-Government counter-IED effort.  The main facility houses </w:t>
      </w:r>
      <w:r w:rsidRPr="003A7199">
        <w:t xml:space="preserve">eight classrooms, </w:t>
      </w:r>
      <w:r>
        <w:t xml:space="preserve">14,000 square feet of </w:t>
      </w:r>
      <w:r w:rsidRPr="003A7199">
        <w:t xml:space="preserve">laboratories, a conference facility, and office space for ATF personnel and </w:t>
      </w:r>
      <w:r>
        <w:t xml:space="preserve">other Government </w:t>
      </w:r>
      <w:r w:rsidRPr="003A7199">
        <w:t xml:space="preserve">partners.  </w:t>
      </w:r>
      <w:r>
        <w:t>The e</w:t>
      </w:r>
      <w:r w:rsidRPr="003A7199">
        <w:t xml:space="preserve">stablishment of NCETR </w:t>
      </w:r>
      <w:r>
        <w:t xml:space="preserve">has allowed </w:t>
      </w:r>
      <w:r w:rsidRPr="003A7199">
        <w:t>A</w:t>
      </w:r>
      <w:r>
        <w:t xml:space="preserve">TF to bring together its </w:t>
      </w:r>
      <w:r w:rsidRPr="003A7199">
        <w:t xml:space="preserve">explosives </w:t>
      </w:r>
      <w:r>
        <w:t xml:space="preserve">programs, </w:t>
      </w:r>
      <w:r w:rsidRPr="003A7199">
        <w:t xml:space="preserve">training, research, and information-sharing activities, affording maximum synergy across these inter-related disciplines.  </w:t>
      </w:r>
      <w:r>
        <w:t>Several other Governmental agencies have taken notice of this unique resource and are partnering with ATF to conduct explosives training and research at NCETR.</w:t>
      </w:r>
    </w:p>
    <w:p w:rsidR="005C3544" w:rsidRPr="003A7199" w:rsidRDefault="005C3544" w:rsidP="005C3544">
      <w:pPr>
        <w:spacing w:before="100" w:beforeAutospacing="1" w:after="100" w:afterAutospacing="1"/>
      </w:pPr>
      <w:r>
        <w:t>A</w:t>
      </w:r>
      <w:r w:rsidRPr="003A7199">
        <w:t>TF</w:t>
      </w:r>
      <w:r>
        <w:t xml:space="preserve"> equips its explosive personnel at the NCETR with the tools to respond to criminal activity </w:t>
      </w:r>
      <w:r w:rsidRPr="003A7199">
        <w:t>with layers of specialized personnel</w:t>
      </w:r>
      <w:r>
        <w:t xml:space="preserve"> training</w:t>
      </w:r>
      <w:r w:rsidRPr="003A7199">
        <w:t>, techniques, technology, and forensic support. These include:</w:t>
      </w:r>
    </w:p>
    <w:p w:rsidR="005C3544" w:rsidRPr="003A7199" w:rsidRDefault="005C3544" w:rsidP="00D27887">
      <w:pPr>
        <w:pStyle w:val="ListParagraph"/>
        <w:numPr>
          <w:ilvl w:val="0"/>
          <w:numId w:val="67"/>
        </w:numPr>
        <w:spacing w:before="100" w:beforeAutospacing="1" w:after="100" w:afterAutospacing="1"/>
        <w:ind w:right="720"/>
      </w:pPr>
      <w:r w:rsidRPr="003A7199">
        <w:t>Special agent C</w:t>
      </w:r>
      <w:r w:rsidR="00096D74">
        <w:t>ertified Explosives Specialist (C</w:t>
      </w:r>
      <w:r w:rsidRPr="003A7199">
        <w:t>ESs</w:t>
      </w:r>
      <w:r w:rsidR="00096D74">
        <w:t>)</w:t>
      </w:r>
      <w:r w:rsidRPr="003A7199">
        <w:t xml:space="preserve">, who average over 12 years of relevant experience in </w:t>
      </w:r>
      <w:r>
        <w:t>post-blast</w:t>
      </w:r>
      <w:r w:rsidRPr="003A7199">
        <w:t xml:space="preserve"> investigation.</w:t>
      </w:r>
    </w:p>
    <w:p w:rsidR="005C3544" w:rsidRPr="003A7199" w:rsidRDefault="005C3544" w:rsidP="00D27887">
      <w:pPr>
        <w:pStyle w:val="ListParagraph"/>
        <w:numPr>
          <w:ilvl w:val="0"/>
          <w:numId w:val="67"/>
        </w:numPr>
        <w:spacing w:before="100" w:beforeAutospacing="1" w:after="100" w:afterAutospacing="1"/>
        <w:ind w:right="720"/>
      </w:pPr>
      <w:r w:rsidRPr="003A7199">
        <w:t xml:space="preserve">Special agent explosives detection canine handlers (who are also CESs), who provide preventive detection and </w:t>
      </w:r>
      <w:r>
        <w:t>post-blast</w:t>
      </w:r>
      <w:r w:rsidRPr="003A7199">
        <w:t xml:space="preserve"> evidence recovery capabilities applicable to explosives and firearms investigations.</w:t>
      </w:r>
    </w:p>
    <w:p w:rsidR="005C3544" w:rsidRPr="003A7199" w:rsidRDefault="005C3544" w:rsidP="00D27887">
      <w:pPr>
        <w:pStyle w:val="ListParagraph"/>
        <w:numPr>
          <w:ilvl w:val="0"/>
          <w:numId w:val="67"/>
        </w:numPr>
        <w:spacing w:before="100" w:beforeAutospacing="1" w:after="100" w:afterAutospacing="1"/>
        <w:ind w:right="720"/>
      </w:pPr>
      <w:r w:rsidRPr="003A7199">
        <w:t>E</w:t>
      </w:r>
      <w:r w:rsidR="00096D74">
        <w:t>xplosives Enforcement Officers (E</w:t>
      </w:r>
      <w:r w:rsidRPr="003A7199">
        <w:t>EOs</w:t>
      </w:r>
      <w:r w:rsidR="00096D74">
        <w:t>)</w:t>
      </w:r>
      <w:r w:rsidRPr="003A7199">
        <w:t xml:space="preserve">, most of whom are former military explosive ordnance disposal (EOD) personnel with extensive experience in render safe techniques and explosives technology. </w:t>
      </w:r>
    </w:p>
    <w:p w:rsidR="005C3544" w:rsidRPr="003A7199" w:rsidRDefault="005C3544" w:rsidP="00D27887">
      <w:pPr>
        <w:pStyle w:val="ListParagraph"/>
        <w:numPr>
          <w:ilvl w:val="0"/>
          <w:numId w:val="67"/>
        </w:numPr>
        <w:spacing w:before="100" w:beforeAutospacing="1" w:after="100" w:afterAutospacing="1"/>
        <w:ind w:right="720"/>
      </w:pPr>
      <w:r w:rsidRPr="003A7199">
        <w:t>The National Response Team (NRT), a multi-disciplinary team composed of vet</w:t>
      </w:r>
      <w:r w:rsidR="00096D74">
        <w:t>eran special agents, CESs, and Certified Fire I</w:t>
      </w:r>
      <w:r w:rsidRPr="003A7199">
        <w:t xml:space="preserve">nvestigators (CFIs) having </w:t>
      </w:r>
      <w:r>
        <w:t>post-blast</w:t>
      </w:r>
      <w:r w:rsidRPr="003A7199">
        <w:t xml:space="preserve"> and fire </w:t>
      </w:r>
      <w:r>
        <w:t xml:space="preserve">origin and </w:t>
      </w:r>
      <w:r w:rsidRPr="003A7199">
        <w:t>cause</w:t>
      </w:r>
      <w:r>
        <w:t xml:space="preserve"> </w:t>
      </w:r>
      <w:r w:rsidRPr="003A7199">
        <w:t>expertise, forensic chemists, EEOs, fire protection engineers, and accelerant</w:t>
      </w:r>
      <w:r>
        <w:t>-</w:t>
      </w:r>
      <w:r w:rsidRPr="003A7199">
        <w:t xml:space="preserve"> and explosives</w:t>
      </w:r>
      <w:r>
        <w:t>-</w:t>
      </w:r>
      <w:r w:rsidRPr="003A7199">
        <w:t>detection canines.  The NRT respond</w:t>
      </w:r>
      <w:r>
        <w:t>s</w:t>
      </w:r>
      <w:r w:rsidRPr="003A7199">
        <w:t xml:space="preserve"> in less than 24 hours with a full range of capabilities and ha</w:t>
      </w:r>
      <w:r>
        <w:t>s</w:t>
      </w:r>
      <w:r w:rsidRPr="003A7199">
        <w:t xml:space="preserve"> processed over 685 of this country’s most complex fire and explosion scenes since its inception. </w:t>
      </w:r>
    </w:p>
    <w:p w:rsidR="00596BFE" w:rsidRDefault="005C3544" w:rsidP="00D27887">
      <w:pPr>
        <w:pStyle w:val="ListParagraph"/>
        <w:numPr>
          <w:ilvl w:val="0"/>
          <w:numId w:val="67"/>
        </w:numPr>
        <w:spacing w:before="100" w:beforeAutospacing="1" w:after="100" w:afterAutospacing="1"/>
        <w:ind w:right="720"/>
      </w:pPr>
      <w:r w:rsidRPr="003A7199">
        <w:t>IOIs, who regularly interact with Federal explosives licensees (FELs) and permittees who manufacture, import, sell, or store explosives in the United States.</w:t>
      </w:r>
    </w:p>
    <w:p w:rsidR="005C3544" w:rsidRPr="003A7199" w:rsidRDefault="005C3544" w:rsidP="00596BFE">
      <w:pPr>
        <w:pStyle w:val="ListParagraph"/>
        <w:spacing w:before="100" w:beforeAutospacing="1" w:after="100" w:afterAutospacing="1"/>
        <w:ind w:right="720"/>
      </w:pPr>
      <w:r w:rsidRPr="003A7199">
        <w:t xml:space="preserve"> </w:t>
      </w:r>
    </w:p>
    <w:p w:rsidR="005C3544" w:rsidRPr="003A7199" w:rsidRDefault="005C3544" w:rsidP="00D27887">
      <w:pPr>
        <w:pStyle w:val="ListParagraph"/>
        <w:numPr>
          <w:ilvl w:val="0"/>
          <w:numId w:val="67"/>
        </w:numPr>
        <w:spacing w:before="100" w:beforeAutospacing="1" w:after="100" w:afterAutospacing="1"/>
        <w:ind w:right="720"/>
      </w:pPr>
      <w:r w:rsidRPr="003A7199">
        <w:t>Forensic laborator</w:t>
      </w:r>
      <w:r>
        <w:t>y personnel</w:t>
      </w:r>
      <w:r w:rsidRPr="003A7199">
        <w:t xml:space="preserve">, which </w:t>
      </w:r>
      <w:r w:rsidRPr="00F3336D">
        <w:t>specialize</w:t>
      </w:r>
      <w:r>
        <w:t xml:space="preserve"> in processing explosive-related</w:t>
      </w:r>
      <w:r w:rsidRPr="003A7199">
        <w:t xml:space="preserve"> evidence</w:t>
      </w:r>
      <w:r>
        <w:t>, such as forensic chemists, electrical engineers, etc.</w:t>
      </w:r>
      <w:r w:rsidRPr="003A7199">
        <w:t xml:space="preserve"> </w:t>
      </w:r>
    </w:p>
    <w:p w:rsidR="005C3544" w:rsidRDefault="005C3544" w:rsidP="00D27887">
      <w:pPr>
        <w:pStyle w:val="ListParagraph"/>
        <w:numPr>
          <w:ilvl w:val="0"/>
          <w:numId w:val="67"/>
        </w:numPr>
        <w:spacing w:before="100" w:beforeAutospacing="1" w:after="100" w:afterAutospacing="1"/>
        <w:ind w:right="720"/>
      </w:pPr>
      <w:r w:rsidRPr="003A7199">
        <w:t>A range of intelligence, legal, forensic audit, and technical support services.</w:t>
      </w:r>
    </w:p>
    <w:p w:rsidR="00E1794A" w:rsidRPr="00D338D3" w:rsidRDefault="00E1794A" w:rsidP="00D338D3">
      <w:r w:rsidRPr="00DE754E">
        <w:t xml:space="preserve">ATF is the only agency with authority to inspect the storage of explosives by Federal explosives licensees and to track thefts, losses, and recoveries of explosives.  </w:t>
      </w:r>
      <w:r>
        <w:t xml:space="preserve">ATF’s </w:t>
      </w:r>
      <w:r w:rsidRPr="00DE754E">
        <w:t>criminal e</w:t>
      </w:r>
      <w:r>
        <w:t xml:space="preserve">nforcement mission, combined with ATF’s </w:t>
      </w:r>
      <w:r w:rsidRPr="00DE754E">
        <w:t xml:space="preserve">regulatory responsibility, </w:t>
      </w:r>
      <w:r>
        <w:t>gives ATF a</w:t>
      </w:r>
      <w:r w:rsidRPr="00DE754E">
        <w:t xml:space="preserve"> </w:t>
      </w:r>
      <w:r>
        <w:t xml:space="preserve">unique </w:t>
      </w:r>
      <w:r w:rsidRPr="00DE754E">
        <w:t xml:space="preserve">perspective on activity involving explosives in this country.  This perspective allows ATF to impact public safety through the identification and correction of explosives storage violations that, unchecked, could pose significant risk to the public, to investigate </w:t>
      </w:r>
      <w:r>
        <w:t xml:space="preserve">and prosecute </w:t>
      </w:r>
      <w:r w:rsidRPr="00DE754E">
        <w:t xml:space="preserve">those who use explosives for criminal purposes, and to </w:t>
      </w:r>
      <w:r>
        <w:t>provide unique explosives-related training to a wide audience of ATF personnel; other Federal, State and local law enforcement personnel; U.S. military personnel; and many international law enforcement and military explosives specialists.</w:t>
      </w:r>
    </w:p>
    <w:p w:rsidR="00003F45" w:rsidRPr="00762F09" w:rsidRDefault="00003F45" w:rsidP="00003F45">
      <w:pPr>
        <w:spacing w:before="100" w:beforeAutospacing="1" w:after="100" w:afterAutospacing="1"/>
        <w:rPr>
          <w:b/>
          <w:i/>
        </w:rPr>
      </w:pPr>
      <w:r w:rsidRPr="00762F09">
        <w:rPr>
          <w:b/>
          <w:i/>
        </w:rPr>
        <w:t>Certified Explosives Specialists (CES)</w:t>
      </w:r>
    </w:p>
    <w:p w:rsidR="00003F45" w:rsidRDefault="00003F45" w:rsidP="00003F45">
      <w:pPr>
        <w:spacing w:before="100" w:beforeAutospacing="1" w:after="100" w:afterAutospacing="1"/>
      </w:pPr>
      <w:r w:rsidRPr="00762F09">
        <w:t xml:space="preserve">ATF’s CESs </w:t>
      </w:r>
      <w:r>
        <w:t>conduct</w:t>
      </w:r>
      <w:r w:rsidRPr="00762F09">
        <w:t xml:space="preserve"> expert explosives crime scene examinations</w:t>
      </w:r>
      <w:r>
        <w:t>;</w:t>
      </w:r>
      <w:r w:rsidRPr="00762F09">
        <w:t xml:space="preserve"> lend expertise in support of security measures at special events</w:t>
      </w:r>
      <w:r>
        <w:t>;</w:t>
      </w:r>
      <w:r w:rsidRPr="00762F09">
        <w:t xml:space="preserve"> and assist ATF’s law enforcement counterparts at the </w:t>
      </w:r>
      <w:r>
        <w:t>Federal</w:t>
      </w:r>
      <w:r w:rsidRPr="00762F09">
        <w:t xml:space="preserve">, </w:t>
      </w:r>
      <w:r>
        <w:t>state</w:t>
      </w:r>
      <w:r w:rsidRPr="00762F09">
        <w:t>, local, and international levels in investigat</w:t>
      </w:r>
      <w:r>
        <w:t>ions of</w:t>
      </w:r>
      <w:r w:rsidRPr="00762F09">
        <w:t xml:space="preserve"> explosives-related incidents.  ATF’s CESs acquired expertise in post-blast analysis through years of experience in the field.  Their training consists of a multiphase program</w:t>
      </w:r>
      <w:r>
        <w:t xml:space="preserve"> that</w:t>
      </w:r>
      <w:r w:rsidRPr="00081B48">
        <w:t xml:space="preserve"> </w:t>
      </w:r>
      <w:r>
        <w:t xml:space="preserve">includes </w:t>
      </w:r>
      <w:r w:rsidRPr="00081B48">
        <w:t>a two-year candidacy,</w:t>
      </w:r>
      <w:r w:rsidRPr="00762F09">
        <w:t xml:space="preserve"> </w:t>
      </w:r>
      <w:r>
        <w:t xml:space="preserve">ensuring </w:t>
      </w:r>
      <w:r w:rsidRPr="00762F09">
        <w:t>their continued proficiency in all aspects of explosives handling, instruction, identification, demonstration, and destruction, as well as training in the chemistry of pyrotechnics, hazardous materials incident response operations, advanced explosives destruction techniques, and advanced IEDs.</w:t>
      </w:r>
    </w:p>
    <w:p w:rsidR="00003F45" w:rsidRPr="00762F09" w:rsidRDefault="00003F45" w:rsidP="00003F45">
      <w:pPr>
        <w:spacing w:before="100" w:beforeAutospacing="1" w:after="100" w:afterAutospacing="1"/>
        <w:rPr>
          <w:b/>
          <w:i/>
        </w:rPr>
      </w:pPr>
      <w:r w:rsidRPr="00762F09">
        <w:rPr>
          <w:b/>
          <w:i/>
        </w:rPr>
        <w:t>Explosives Enforcement Officers (EEO)</w:t>
      </w:r>
    </w:p>
    <w:p w:rsidR="00064259" w:rsidRPr="0032011B" w:rsidRDefault="009E6741" w:rsidP="00064259">
      <w:pPr>
        <w:spacing w:before="100" w:beforeAutospacing="1" w:after="100" w:afterAutospacing="1"/>
      </w:pPr>
      <w:r w:rsidRPr="0032011B">
        <w:t>EEOs are ATF’s explosives technology experts. They have extensive knowledge and experience in explosives, explosives weapons systems, and bomb disposal.  They render explosive devices safe and/or disassemble explosive and incendiary devices,</w:t>
      </w:r>
      <w:r w:rsidRPr="0032011B">
        <w:rPr>
          <w:u w:color="FF0000"/>
        </w:rPr>
        <w:t xml:space="preserve"> author destructive device determinations,</w:t>
      </w:r>
      <w:r w:rsidRPr="0032011B">
        <w:t xml:space="preserve"> coordinate with ATF special agents and prosecutors on prosecution strategy re</w:t>
      </w:r>
      <w:r w:rsidR="00DE080F">
        <w:t>lated to device determinations</w:t>
      </w:r>
      <w:r w:rsidRPr="0032011B">
        <w:t xml:space="preserve"> and give expert testimony in support of such determinations in Federal and state criminal court proceedings.  EEOs provide expert analysis and onsite investigative technical assistance at bomb scenes and where explosions of an undetermined nature have occurred and they classify explosives materials for the industry.  Determining what constitutes an explosive, incendiary, or destructive device under Federal explosives laws and the NFA involves highly technical examinations and analysis.  EEOs also provide assistance and training in all aspects of explosives handling, usage, and destruction; threat vulnerability assessments; and all other explosives-related matters for ATF, Federal, state, local and international law enforcement agencies.</w:t>
      </w:r>
    </w:p>
    <w:p w:rsidR="005C3544" w:rsidRDefault="00003F45" w:rsidP="00003F45">
      <w:pPr>
        <w:pStyle w:val="BodyText"/>
        <w:spacing w:before="100" w:beforeAutospacing="1" w:after="100" w:afterAutospacing="1"/>
        <w:rPr>
          <w:b/>
          <w:i/>
        </w:rPr>
      </w:pPr>
      <w:bookmarkStart w:id="25" w:name="_Toc215989164"/>
      <w:bookmarkStart w:id="26" w:name="_Toc216172462"/>
      <w:bookmarkStart w:id="27" w:name="_Toc216248489"/>
      <w:bookmarkStart w:id="28" w:name="_Toc224026881"/>
      <w:r w:rsidRPr="001B1BB0">
        <w:rPr>
          <w:b/>
          <w:i/>
        </w:rPr>
        <w:t>Explosives Industry Regulation</w:t>
      </w:r>
      <w:bookmarkEnd w:id="25"/>
      <w:bookmarkEnd w:id="26"/>
      <w:bookmarkEnd w:id="27"/>
      <w:bookmarkEnd w:id="28"/>
      <w:r>
        <w:rPr>
          <w:b/>
          <w:i/>
        </w:rPr>
        <w:t xml:space="preserve">  </w:t>
      </w:r>
    </w:p>
    <w:p w:rsidR="00003F45" w:rsidRPr="001B1BB0" w:rsidRDefault="00003F45" w:rsidP="00003F45">
      <w:pPr>
        <w:pStyle w:val="BodyText"/>
        <w:spacing w:before="100" w:beforeAutospacing="1" w:after="100" w:afterAutospacing="1"/>
      </w:pPr>
      <w:r>
        <w:t>Federal</w:t>
      </w:r>
      <w:r w:rsidRPr="00762F09">
        <w:t xml:space="preserve"> law requires that any manufacturer, importer, or dealer of explosives must have a </w:t>
      </w:r>
      <w:r>
        <w:t>Federal</w:t>
      </w:r>
      <w:r w:rsidRPr="00762F09">
        <w:t xml:space="preserve"> explosives license, and anyone who acquires for use or transports explosives must hold a </w:t>
      </w:r>
      <w:r>
        <w:t>Federal</w:t>
      </w:r>
      <w:r w:rsidRPr="00762F09">
        <w:t xml:space="preserve"> explosives permit or license.  ATF’s criminal and regulatory programs are a key means by which the U.S. Government enforces </w:t>
      </w:r>
      <w:r>
        <w:t>Federal</w:t>
      </w:r>
      <w:r w:rsidRPr="00762F09">
        <w:t xml:space="preserve"> explosives laws and prevents criminals and terrorists from obtaining explosives for use in bombings.  </w:t>
      </w:r>
    </w:p>
    <w:p w:rsidR="00003F45" w:rsidRPr="0032011B" w:rsidRDefault="00003F45" w:rsidP="00003F45">
      <w:pPr>
        <w:pStyle w:val="BodyText"/>
        <w:spacing w:before="100" w:beforeAutospacing="1" w:after="100" w:afterAutospacing="1"/>
      </w:pPr>
      <w:r w:rsidRPr="0032011B">
        <w:t xml:space="preserve">ATF’s IOIs conduct compliance inspections of the nearly 11,000 explosives licensees and permittees nationwide to detect, investigate and prevent diversion, and promote the safe and secure storage of explosives.  The Federal Explosives Licensing Center (FELC) screens license and permit applicants, in conjunction with the FBI, to ensure applicants’ eligibility to lawfully receive and use explosives.  It further screens employees of such licensees and permittees to ensure prohibited persons do not have access to explosives.  ATF established standards applicable to all licensees and permittees for the storage of explosives materials and related record keeping requirements, which helps to ensure that explosives are properly accounted for and tracked.  In FY </w:t>
      </w:r>
      <w:r w:rsidR="0071720D" w:rsidRPr="0032011B">
        <w:t>2011,</w:t>
      </w:r>
      <w:r w:rsidRPr="0032011B">
        <w:t xml:space="preserve"> ATF:</w:t>
      </w:r>
    </w:p>
    <w:p w:rsidR="00003F45" w:rsidRPr="0032011B" w:rsidRDefault="00003F45" w:rsidP="00D27887">
      <w:pPr>
        <w:pStyle w:val="ListParagraph"/>
        <w:numPr>
          <w:ilvl w:val="0"/>
          <w:numId w:val="62"/>
        </w:numPr>
        <w:ind w:right="720"/>
      </w:pPr>
      <w:r w:rsidRPr="0032011B">
        <w:t>Conducted</w:t>
      </w:r>
      <w:r w:rsidR="007C0EB5" w:rsidRPr="0032011B">
        <w:t xml:space="preserve"> </w:t>
      </w:r>
      <w:r w:rsidR="0071720D" w:rsidRPr="0032011B">
        <w:t>4,320</w:t>
      </w:r>
      <w:r w:rsidRPr="0032011B">
        <w:t xml:space="preserve"> explosives licensee and permittee compliance inspections that identified and corrected </w:t>
      </w:r>
      <w:r w:rsidR="0071720D" w:rsidRPr="0032011B">
        <w:t>1,392</w:t>
      </w:r>
      <w:r w:rsidRPr="0032011B">
        <w:t xml:space="preserve"> public safety violations.</w:t>
      </w:r>
    </w:p>
    <w:p w:rsidR="00003F45" w:rsidRPr="0032011B" w:rsidRDefault="00003F45" w:rsidP="00D27887">
      <w:pPr>
        <w:pStyle w:val="ListParagraph"/>
        <w:numPr>
          <w:ilvl w:val="0"/>
          <w:numId w:val="62"/>
        </w:numPr>
        <w:ind w:right="720"/>
      </w:pPr>
      <w:r w:rsidRPr="0032011B">
        <w:t>Completed 1,176 FEL applicant inspections</w:t>
      </w:r>
    </w:p>
    <w:p w:rsidR="00003F45" w:rsidRPr="0032011B" w:rsidRDefault="00003F45" w:rsidP="00D27887">
      <w:pPr>
        <w:pStyle w:val="ListParagraph"/>
        <w:numPr>
          <w:ilvl w:val="0"/>
          <w:numId w:val="62"/>
        </w:numPr>
        <w:ind w:right="720"/>
      </w:pPr>
      <w:r w:rsidRPr="0032011B">
        <w:t>Processed 2,711 FEL applications (New &amp; Renewal)</w:t>
      </w:r>
    </w:p>
    <w:p w:rsidR="00003F45" w:rsidRPr="0032011B" w:rsidRDefault="00003F45" w:rsidP="00D27887">
      <w:pPr>
        <w:pStyle w:val="ListParagraph"/>
        <w:numPr>
          <w:ilvl w:val="0"/>
          <w:numId w:val="62"/>
        </w:numPr>
        <w:ind w:right="720"/>
      </w:pPr>
      <w:r w:rsidRPr="0032011B">
        <w:t>Completed 56,113 Explosives Employee/Possessor Background Checks</w:t>
      </w:r>
    </w:p>
    <w:p w:rsidR="00003F45" w:rsidRPr="0032011B" w:rsidRDefault="00003F45" w:rsidP="00D27887">
      <w:pPr>
        <w:pStyle w:val="ListParagraph"/>
        <w:numPr>
          <w:ilvl w:val="0"/>
          <w:numId w:val="62"/>
        </w:numPr>
        <w:ind w:right="720"/>
      </w:pPr>
      <w:r w:rsidRPr="0032011B">
        <w:t>Completed 9,197 Explosives Responsible Persons Background Checks</w:t>
      </w:r>
    </w:p>
    <w:p w:rsidR="00003F45" w:rsidRPr="0032011B" w:rsidRDefault="00003F45" w:rsidP="00003F45"/>
    <w:p w:rsidR="00003F45" w:rsidRDefault="00003F45" w:rsidP="00003F45">
      <w:r w:rsidRPr="00762F09">
        <w:t xml:space="preserve">The amount of time </w:t>
      </w:r>
      <w:r>
        <w:t>IOI</w:t>
      </w:r>
      <w:r w:rsidRPr="00762F09">
        <w:t xml:space="preserve">s </w:t>
      </w:r>
      <w:r>
        <w:t xml:space="preserve">must </w:t>
      </w:r>
      <w:r w:rsidRPr="00762F09">
        <w:t>dedicate to explosives application and compliance inspection work has increased since the enactment of the SEA of 2002.  The initial requirement to inspect 100 percent of the licensees and permittees within their three-year license</w:t>
      </w:r>
      <w:r>
        <w:t>/permit</w:t>
      </w:r>
      <w:r w:rsidR="007C0EB5">
        <w:t xml:space="preserve"> </w:t>
      </w:r>
      <w:r w:rsidRPr="00762F09">
        <w:t>cycle has resulted in between 25 percent and 41 percent of available IOI resources being devoted to SEA work in any given year.</w:t>
      </w:r>
      <w:bookmarkStart w:id="29" w:name="_Toc215989165"/>
      <w:bookmarkStart w:id="30" w:name="_Toc216172463"/>
      <w:bookmarkStart w:id="31" w:name="_Toc216248490"/>
      <w:bookmarkStart w:id="32" w:name="_Toc224026882"/>
    </w:p>
    <w:bookmarkEnd w:id="29"/>
    <w:bookmarkEnd w:id="30"/>
    <w:bookmarkEnd w:id="31"/>
    <w:bookmarkEnd w:id="32"/>
    <w:p w:rsidR="00503873" w:rsidRDefault="00503873" w:rsidP="00503873">
      <w:pPr>
        <w:pStyle w:val="Heading3"/>
        <w:spacing w:before="100" w:beforeAutospacing="1" w:after="100" w:afterAutospacing="1"/>
        <w:rPr>
          <w:rFonts w:ascii="Times New Roman" w:hAnsi="Times New Roman" w:cs="Times New Roman"/>
          <w:i/>
          <w:u w:val="none"/>
        </w:rPr>
      </w:pPr>
      <w:r w:rsidRPr="00503873">
        <w:rPr>
          <w:rFonts w:ascii="Times New Roman" w:hAnsi="Times New Roman" w:cs="Times New Roman"/>
          <w:i/>
          <w:u w:val="none"/>
        </w:rPr>
        <w:t>Arson Program</w:t>
      </w:r>
    </w:p>
    <w:p w:rsidR="00122812" w:rsidRPr="00122812" w:rsidRDefault="00503873" w:rsidP="00122812">
      <w:pPr>
        <w:pStyle w:val="PlainText"/>
        <w:rPr>
          <w:rFonts w:ascii="Times New Roman" w:hAnsi="Times New Roman"/>
          <w:sz w:val="24"/>
          <w:szCs w:val="24"/>
        </w:rPr>
      </w:pPr>
      <w:r w:rsidRPr="00122812">
        <w:rPr>
          <w:rFonts w:ascii="Times New Roman" w:hAnsi="Times New Roman"/>
          <w:sz w:val="24"/>
          <w:szCs w:val="24"/>
        </w:rPr>
        <w:t xml:space="preserve">ATF is the </w:t>
      </w:r>
      <w:r w:rsidRPr="00122812">
        <w:rPr>
          <w:rFonts w:ascii="Times New Roman" w:hAnsi="Times New Roman"/>
          <w:sz w:val="24"/>
          <w:szCs w:val="24"/>
          <w:u w:val="single"/>
        </w:rPr>
        <w:t>sole</w:t>
      </w:r>
      <w:r w:rsidRPr="00122812">
        <w:rPr>
          <w:rFonts w:ascii="Times New Roman" w:hAnsi="Times New Roman"/>
          <w:sz w:val="24"/>
          <w:szCs w:val="24"/>
        </w:rPr>
        <w:t xml:space="preserve"> Federal law enforcement entity with the expertise, experience, and specialized resources necessary to address arson crimes.  ATF's combination of Certified Fire Investigators, Accelerant Detection Canines, National Response Team, Financial Auditors, and the Fire Research Lab provide a basis for investigating arson crimes.  The loss of lives and property that result from arson cases in the United States each year remains significant.  </w:t>
      </w:r>
    </w:p>
    <w:p w:rsidR="00122812" w:rsidRDefault="00122812" w:rsidP="00122812">
      <w:pPr>
        <w:pStyle w:val="PlainText"/>
      </w:pPr>
    </w:p>
    <w:p w:rsidR="00122812" w:rsidRPr="00122812" w:rsidRDefault="00122812" w:rsidP="00122812">
      <w:pPr>
        <w:pStyle w:val="PlainText"/>
        <w:tabs>
          <w:tab w:val="left" w:pos="8100"/>
        </w:tabs>
        <w:ind w:left="720" w:right="1260"/>
        <w:rPr>
          <w:rFonts w:ascii="Times New Roman" w:hAnsi="Times New Roman"/>
          <w:i/>
          <w:sz w:val="24"/>
          <w:szCs w:val="24"/>
        </w:rPr>
      </w:pPr>
      <w:r>
        <w:rPr>
          <w:rFonts w:ascii="Times New Roman" w:hAnsi="Times New Roman"/>
          <w:i/>
          <w:sz w:val="24"/>
          <w:szCs w:val="24"/>
        </w:rPr>
        <w:t>“</w:t>
      </w:r>
      <w:r w:rsidRPr="00122812">
        <w:rPr>
          <w:rFonts w:ascii="Times New Roman" w:hAnsi="Times New Roman"/>
          <w:i/>
          <w:sz w:val="24"/>
          <w:szCs w:val="24"/>
        </w:rPr>
        <w:t>In 2009, an estimated 278,900 fires were reported to U.S. fire departments, with associated losses of 400 civilian deaths, 1,310 civilian injuries, and $1.4 billion in direct property damage.  Also in 2009, 6 firefighters were fatally injured at the scene or during response to/from intentional fires, and there were 5,800 firefighter injuries at the scene of intentional fires</w:t>
      </w:r>
      <w:r>
        <w:rPr>
          <w:rFonts w:ascii="Times New Roman" w:hAnsi="Times New Roman"/>
          <w:i/>
          <w:sz w:val="24"/>
          <w:szCs w:val="24"/>
        </w:rPr>
        <w:t>.”</w:t>
      </w:r>
    </w:p>
    <w:p w:rsidR="00122812" w:rsidRPr="00122812" w:rsidRDefault="00122812" w:rsidP="00122812">
      <w:pPr>
        <w:rPr>
          <w:i/>
        </w:rPr>
      </w:pPr>
    </w:p>
    <w:p w:rsidR="00D44B8C" w:rsidRDefault="00122812" w:rsidP="00D44B8C">
      <w:pPr>
        <w:ind w:left="2250" w:hanging="720"/>
      </w:pPr>
      <w:r w:rsidRPr="00122812">
        <w:t xml:space="preserve">Source:  </w:t>
      </w:r>
      <w:r w:rsidRPr="00407775">
        <w:rPr>
          <w:iCs/>
          <w:u w:val="single"/>
        </w:rPr>
        <w:t>Intentional Fires</w:t>
      </w:r>
      <w:r w:rsidRPr="00122812">
        <w:t xml:space="preserve"> by Ben Evarts, N</w:t>
      </w:r>
      <w:r w:rsidR="00D44B8C">
        <w:t xml:space="preserve">ational </w:t>
      </w:r>
      <w:r w:rsidRPr="00122812">
        <w:t>F</w:t>
      </w:r>
      <w:r w:rsidR="00D44B8C">
        <w:t xml:space="preserve">ire </w:t>
      </w:r>
      <w:r w:rsidRPr="00122812">
        <w:t>P</w:t>
      </w:r>
      <w:r w:rsidR="00D44B8C">
        <w:t xml:space="preserve">rotection </w:t>
      </w:r>
      <w:r w:rsidRPr="00122812">
        <w:t>A</w:t>
      </w:r>
      <w:r w:rsidR="00D44B8C">
        <w:t>ssociation</w:t>
      </w:r>
      <w:r w:rsidRPr="00122812">
        <w:t xml:space="preserve"> </w:t>
      </w:r>
    </w:p>
    <w:p w:rsidR="00122812" w:rsidRPr="00122812" w:rsidRDefault="00122812" w:rsidP="00D44B8C">
      <w:pPr>
        <w:ind w:left="2430"/>
      </w:pPr>
      <w:r w:rsidRPr="00122812">
        <w:t>Quincy</w:t>
      </w:r>
      <w:r w:rsidR="00FC39F3">
        <w:t>,</w:t>
      </w:r>
      <w:r w:rsidRPr="00122812">
        <w:t xml:space="preserve"> MA, January 2012</w:t>
      </w:r>
    </w:p>
    <w:p w:rsidR="00BE0E9C" w:rsidRDefault="00BE0E9C" w:rsidP="00503873">
      <w:pPr>
        <w:ind w:right="720"/>
      </w:pPr>
    </w:p>
    <w:p w:rsidR="00503873" w:rsidRDefault="00503873" w:rsidP="00503873">
      <w:pPr>
        <w:ind w:right="720"/>
        <w:rPr>
          <w:bCs/>
        </w:rPr>
      </w:pPr>
      <w:r w:rsidRPr="0024647F">
        <w:rPr>
          <w:bCs/>
        </w:rPr>
        <w:t xml:space="preserve">The vast majority of those fires are investigated at the local level.  However, in </w:t>
      </w:r>
      <w:r>
        <w:rPr>
          <w:bCs/>
        </w:rPr>
        <w:t xml:space="preserve">many </w:t>
      </w:r>
      <w:r w:rsidRPr="0024647F">
        <w:rPr>
          <w:bCs/>
        </w:rPr>
        <w:t xml:space="preserve">significant cases, only the knowledge, technical resources, forensic capabilities, and jurisdictional reach of the Federal Government are adequate to solve crimes and remove arsonists from communities. </w:t>
      </w:r>
    </w:p>
    <w:p w:rsidR="00503873" w:rsidRDefault="00503873" w:rsidP="00503873">
      <w:pPr>
        <w:spacing w:before="100" w:beforeAutospacing="1" w:after="100" w:afterAutospacing="1"/>
      </w:pPr>
      <w:r>
        <w:t>ATF</w:t>
      </w:r>
      <w:r w:rsidRPr="00762F09">
        <w:rPr>
          <w:b/>
          <w:color w:val="FF6600"/>
        </w:rPr>
        <w:t xml:space="preserve"> </w:t>
      </w:r>
      <w:r>
        <w:t>agents</w:t>
      </w:r>
      <w:r w:rsidRPr="00762F09">
        <w:t xml:space="preserve"> investigate potential acts of arson motivated by profit, ideology or other criminal intent.  The</w:t>
      </w:r>
      <w:r>
        <w:t>y also</w:t>
      </w:r>
      <w:r w:rsidRPr="00762F09">
        <w:t xml:space="preserve"> train </w:t>
      </w:r>
      <w:r>
        <w:t>f</w:t>
      </w:r>
      <w:r w:rsidRPr="00762F09">
        <w:t xml:space="preserve">ederal, </w:t>
      </w:r>
      <w:r>
        <w:t>s</w:t>
      </w:r>
      <w:r w:rsidRPr="00762F09">
        <w:t>tate, local, and international law enforcement agencies on how to investigate and</w:t>
      </w:r>
      <w:r w:rsidRPr="00762F09">
        <w:rPr>
          <w:b/>
        </w:rPr>
        <w:t xml:space="preserve"> </w:t>
      </w:r>
      <w:r w:rsidRPr="00762F09">
        <w:t xml:space="preserve">solve such crimes.  </w:t>
      </w:r>
      <w:r>
        <w:t xml:space="preserve">In FY </w:t>
      </w:r>
      <w:r w:rsidRPr="0054254D">
        <w:t>20</w:t>
      </w:r>
      <w:r>
        <w:t>11, ATF spent approximately $41</w:t>
      </w:r>
      <w:r w:rsidRPr="0024647F">
        <w:t>.</w:t>
      </w:r>
      <w:r>
        <w:t>9</w:t>
      </w:r>
      <w:r w:rsidRPr="0024647F">
        <w:t xml:space="preserve"> million on arson/fire enforcement activities</w:t>
      </w:r>
      <w:r>
        <w:t xml:space="preserve">, including salaries and overhead costs.  </w:t>
      </w:r>
      <w:r w:rsidRPr="00762F09">
        <w:t xml:space="preserve">ATF is recognized for its expertise in fire investigations, in conducting research to help investigators reconstruct fire and explosives incidents, and in conducting financial </w:t>
      </w:r>
      <w:r>
        <w:t>investigations</w:t>
      </w:r>
      <w:r w:rsidRPr="00762F09">
        <w:t xml:space="preserve"> to identify illegal arson</w:t>
      </w:r>
      <w:r>
        <w:t>-</w:t>
      </w:r>
      <w:r w:rsidRPr="00762F09">
        <w:t>for</w:t>
      </w:r>
      <w:r>
        <w:t>-</w:t>
      </w:r>
      <w:r w:rsidRPr="00762F09">
        <w:t xml:space="preserve">profit schemes.  </w:t>
      </w:r>
      <w:r>
        <w:t xml:space="preserve">Additionally, ATF continues to employ its authorities and assets to investigate and resolve arsons of houses of worship.  ATF’s arrest rate for church arsons is more than twice the national average for such cases.  </w:t>
      </w:r>
    </w:p>
    <w:p w:rsidR="00FA2AAB" w:rsidRPr="00762F09" w:rsidRDefault="00FA2AAB" w:rsidP="005027FD">
      <w:pPr>
        <w:pStyle w:val="Heading3"/>
        <w:spacing w:before="100" w:beforeAutospacing="1" w:after="100" w:afterAutospacing="1"/>
        <w:rPr>
          <w:rFonts w:ascii="Times New Roman" w:hAnsi="Times New Roman" w:cs="Times New Roman"/>
          <w:i/>
          <w:u w:val="none"/>
        </w:rPr>
      </w:pPr>
      <w:bookmarkStart w:id="33" w:name="_Toc215989276"/>
      <w:bookmarkStart w:id="34" w:name="_Toc216172459"/>
      <w:bookmarkStart w:id="35" w:name="_Toc224026878"/>
      <w:r w:rsidRPr="00762F09">
        <w:rPr>
          <w:rFonts w:ascii="Times New Roman" w:hAnsi="Times New Roman" w:cs="Times New Roman"/>
          <w:i/>
          <w:u w:val="none"/>
        </w:rPr>
        <w:t>Arson Task Forces</w:t>
      </w:r>
      <w:bookmarkEnd w:id="33"/>
      <w:bookmarkEnd w:id="34"/>
      <w:bookmarkEnd w:id="35"/>
    </w:p>
    <w:p w:rsidR="00FA2AAB" w:rsidRDefault="00B81B06" w:rsidP="005027FD">
      <w:pPr>
        <w:pStyle w:val="BodyText"/>
        <w:spacing w:before="100" w:beforeAutospacing="1" w:after="100" w:afterAutospacing="1"/>
      </w:pPr>
      <w:r>
        <w:t>For over 30 years</w:t>
      </w:r>
      <w:r w:rsidR="004323C5">
        <w:t xml:space="preserve">, ATF has led or participated in formal and informal task forces in major cities </w:t>
      </w:r>
      <w:r w:rsidR="00E223CC">
        <w:t xml:space="preserve">that have </w:t>
      </w:r>
      <w:r w:rsidR="004323C5">
        <w:t>significant arson problem</w:t>
      </w:r>
      <w:r w:rsidR="00E223CC">
        <w:t>s</w:t>
      </w:r>
      <w:r w:rsidR="004323C5">
        <w:t xml:space="preserve">. Each task force is configured based on the available resources and specific needs of the particular city.  In addition to ATF special agents, including certified fire investigators and ATF </w:t>
      </w:r>
      <w:r w:rsidR="009B63DD">
        <w:t xml:space="preserve">forensic </w:t>
      </w:r>
      <w:r w:rsidR="004323C5">
        <w:t xml:space="preserve">auditors, task forces typically include local fire officials, arson investigators, and police. </w:t>
      </w:r>
      <w:r w:rsidR="00FA2AAB" w:rsidRPr="00762F09">
        <w:t xml:space="preserve"> </w:t>
      </w:r>
    </w:p>
    <w:p w:rsidR="009221CE" w:rsidRPr="00762F09" w:rsidRDefault="009221CE" w:rsidP="009221CE">
      <w:pPr>
        <w:pStyle w:val="Heading3"/>
        <w:spacing w:before="100" w:beforeAutospacing="1" w:after="100" w:afterAutospacing="1"/>
        <w:rPr>
          <w:rFonts w:ascii="Times New Roman" w:hAnsi="Times New Roman" w:cs="Times New Roman"/>
          <w:i/>
          <w:u w:val="none"/>
        </w:rPr>
      </w:pPr>
      <w:bookmarkStart w:id="36" w:name="_Toc215989163"/>
      <w:bookmarkStart w:id="37" w:name="_Toc216172461"/>
      <w:bookmarkStart w:id="38" w:name="_Toc224026880"/>
      <w:r w:rsidRPr="00762F09">
        <w:rPr>
          <w:rFonts w:ascii="Times New Roman" w:hAnsi="Times New Roman" w:cs="Times New Roman"/>
          <w:i/>
          <w:u w:val="none"/>
        </w:rPr>
        <w:t>National and International Response Teams</w:t>
      </w:r>
      <w:bookmarkEnd w:id="36"/>
      <w:bookmarkEnd w:id="37"/>
      <w:bookmarkEnd w:id="38"/>
      <w:r w:rsidRPr="00762F09">
        <w:rPr>
          <w:rFonts w:ascii="Times New Roman" w:hAnsi="Times New Roman" w:cs="Times New Roman"/>
          <w:i/>
          <w:u w:val="none"/>
        </w:rPr>
        <w:t xml:space="preserve"> </w:t>
      </w:r>
    </w:p>
    <w:p w:rsidR="009221CE" w:rsidRDefault="009221CE" w:rsidP="009221CE">
      <w:pPr>
        <w:pStyle w:val="BodyText"/>
        <w:spacing w:before="100" w:beforeAutospacing="1" w:after="100" w:afterAutospacing="1"/>
      </w:pPr>
      <w:r>
        <w:t xml:space="preserve">As an integral part of ATF’s overall violent crime reduction strategy, ATF provides vital resources to local communities to investigate explosives and fire incidents.  ATF’s arson and explosives National Response Team (NRT) was formed in 1978 to help meet the needs of those who are responding to and investigating complex incidents.  The NRT was designed to bring together all of ATF’s expertise and experience to work alongside state and local officials in reconstructing the scene, identifying the seat of the blast or origin of the fire, conducting interviews, sifting through debris to obtain evidence related to the explosion and/or fire, participating in the ensuing investigation, and providing expert court testimony. </w:t>
      </w:r>
    </w:p>
    <w:p w:rsidR="009221CE" w:rsidRDefault="009221CE" w:rsidP="005027FD">
      <w:pPr>
        <w:pStyle w:val="BodyText"/>
        <w:spacing w:before="100" w:beforeAutospacing="1" w:after="100" w:afterAutospacing="1"/>
      </w:pPr>
      <w:r>
        <w:t>The NRT consists of three regional response units.  Each unit is comprised of veteran special agents having post-blast and fire origin and cause expertise, including certified explosives,, specialists, certified fire investigators, forensic chemists, explosives enforcement officers, fire protection engineers, and accelerant–and explosives-detection canines.  Further complementing the team’s efforts are intelligence, forensic audit, technical, and legal support.  NRT members are trained in all levels of personal protective equipment, up to and including Level A protection, and HAZMAT certified.  A fleet of fully equipped response vehicles provides logistical support.</w:t>
      </w:r>
    </w:p>
    <w:p w:rsidR="00D44B8C" w:rsidRPr="0032011B" w:rsidRDefault="009E6741" w:rsidP="00D44B8C">
      <w:pPr>
        <w:pStyle w:val="BodyText"/>
        <w:spacing w:before="100" w:beforeAutospacing="1" w:after="100" w:afterAutospacing="1"/>
        <w:rPr>
          <w:szCs w:val="24"/>
        </w:rPr>
      </w:pPr>
      <w:r w:rsidRPr="0032011B">
        <w:rPr>
          <w:bCs/>
          <w:szCs w:val="24"/>
        </w:rPr>
        <w:t>A Federal response to fire incidents can mean the difference between identifying and prosecuting suspects and leaving violent offenders on the streets</w:t>
      </w:r>
      <w:r w:rsidR="00D44B8C" w:rsidRPr="0032011B">
        <w:rPr>
          <w:bCs/>
          <w:szCs w:val="24"/>
        </w:rPr>
        <w:t>:</w:t>
      </w:r>
      <w:r w:rsidRPr="0032011B">
        <w:rPr>
          <w:strike/>
          <w:szCs w:val="24"/>
        </w:rPr>
        <w:t xml:space="preserve"> </w:t>
      </w:r>
    </w:p>
    <w:p w:rsidR="000A5375" w:rsidRPr="0032011B" w:rsidRDefault="009E6741" w:rsidP="00D44B8C">
      <w:pPr>
        <w:pStyle w:val="BodyText"/>
        <w:numPr>
          <w:ilvl w:val="0"/>
          <w:numId w:val="72"/>
        </w:numPr>
        <w:spacing w:before="100" w:beforeAutospacing="1" w:after="100" w:afterAutospacing="1"/>
        <w:rPr>
          <w:szCs w:val="24"/>
        </w:rPr>
      </w:pPr>
      <w:r w:rsidRPr="0032011B">
        <w:rPr>
          <w:szCs w:val="24"/>
        </w:rPr>
        <w:t>In August 2010, a fire at a block of retail stores in Detroit, MI, injured seven firefighters, including three who were so seriously wounded they were forced into disability retirements, one of whom remains paralyzed in a wheelchair.  The investigation, which involved personnel from ATF’s Detroit Field Division, the NRT (including Certified Fire Investigators), and the Fire Research Laboratory (FRL) revealed that the fire was an arson and identified those responsible.  To date, two defendants have been convicted in Federal Court; one was sentenced to 15 years’ imprisonment, and the other is facing up to 40 years’ imprisonment at his upcoming sentencing.  A third Federal Court indictment charging additional defendants is anticipated.</w:t>
      </w:r>
    </w:p>
    <w:p w:rsidR="00D16FA9" w:rsidRPr="00D44B8C" w:rsidRDefault="009E6741" w:rsidP="00D44B8C">
      <w:pPr>
        <w:pStyle w:val="ListParagraph"/>
        <w:numPr>
          <w:ilvl w:val="0"/>
          <w:numId w:val="71"/>
        </w:numPr>
        <w:shd w:val="clear" w:color="auto" w:fill="FFFFFF"/>
        <w:spacing w:after="240"/>
        <w:rPr>
          <w:szCs w:val="20"/>
        </w:rPr>
      </w:pPr>
      <w:r w:rsidRPr="00D44B8C">
        <w:rPr>
          <w:szCs w:val="20"/>
        </w:rPr>
        <w:t xml:space="preserve">The NRT was called to investigate a string of arson fires in several locations throughout Los Angeles. </w:t>
      </w:r>
      <w:r w:rsidR="003E2F44" w:rsidRPr="00D44B8C">
        <w:rPr>
          <w:szCs w:val="20"/>
        </w:rPr>
        <w:t xml:space="preserve">  </w:t>
      </w:r>
      <w:r w:rsidRPr="00D44B8C">
        <w:rPr>
          <w:szCs w:val="20"/>
        </w:rPr>
        <w:t xml:space="preserve">The arson fires began on Friday, Dec. 30, 2011 and ended Monday, Jan. 2, which resulted in more than $2 million of damage to vehicles and structures. </w:t>
      </w:r>
      <w:r w:rsidR="003E2F44" w:rsidRPr="00D44B8C">
        <w:rPr>
          <w:szCs w:val="20"/>
        </w:rPr>
        <w:t xml:space="preserve"> </w:t>
      </w:r>
      <w:r w:rsidRPr="00D44B8C">
        <w:rPr>
          <w:szCs w:val="20"/>
        </w:rPr>
        <w:t xml:space="preserve">In addition to the damage, one fire fighter and one citizen were injured. No fatalities were reported. The NRT was called to collect evidence, review reports, and work with the Los Angeles Fire Department to file criminal charges in the investigation. </w:t>
      </w:r>
    </w:p>
    <w:p w:rsidR="00FA2AAB" w:rsidRPr="00762F09" w:rsidRDefault="0065620E" w:rsidP="005027FD">
      <w:pPr>
        <w:pStyle w:val="Heading3"/>
        <w:keepNext w:val="0"/>
        <w:spacing w:before="100" w:beforeAutospacing="1" w:after="100" w:afterAutospacing="1"/>
        <w:rPr>
          <w:rFonts w:ascii="Times New Roman" w:hAnsi="Times New Roman" w:cs="Times New Roman"/>
          <w:i/>
          <w:u w:val="none"/>
        </w:rPr>
      </w:pPr>
      <w:bookmarkStart w:id="39" w:name="_Toc215989277"/>
      <w:bookmarkStart w:id="40" w:name="_Toc216172460"/>
      <w:bookmarkStart w:id="41" w:name="_Toc224026879"/>
      <w:r>
        <w:rPr>
          <w:rFonts w:ascii="Times New Roman" w:hAnsi="Times New Roman" w:cs="Times New Roman"/>
          <w:i/>
          <w:u w:val="none"/>
        </w:rPr>
        <w:t xml:space="preserve">Investigating </w:t>
      </w:r>
      <w:r w:rsidR="00FA2AAB" w:rsidRPr="00762F09">
        <w:rPr>
          <w:rFonts w:ascii="Times New Roman" w:hAnsi="Times New Roman" w:cs="Times New Roman"/>
          <w:i/>
          <w:u w:val="none"/>
        </w:rPr>
        <w:t>Fires and Bombings at Houses of Worship</w:t>
      </w:r>
      <w:bookmarkEnd w:id="39"/>
      <w:bookmarkEnd w:id="40"/>
      <w:bookmarkEnd w:id="41"/>
    </w:p>
    <w:p w:rsidR="009221CE" w:rsidRDefault="00AF03C7" w:rsidP="00C47EE8">
      <w:pPr>
        <w:pStyle w:val="BodyText"/>
        <w:spacing w:before="100" w:beforeAutospacing="1" w:after="100" w:afterAutospacing="1"/>
      </w:pPr>
      <w:r>
        <w:t>ATF is accountable to the Department of Justice and Congress for tracking and reporting all church fire or bombing investigations</w:t>
      </w:r>
      <w:r w:rsidR="00E223CC">
        <w:t xml:space="preserve"> relative to</w:t>
      </w:r>
      <w:r>
        <w:t xml:space="preserve"> any </w:t>
      </w:r>
      <w:r w:rsidR="00D31D89">
        <w:t>Federal</w:t>
      </w:r>
      <w:r>
        <w:t xml:space="preserve"> or </w:t>
      </w:r>
      <w:r w:rsidR="00D31D89">
        <w:t>state</w:t>
      </w:r>
      <w:r>
        <w:t xml:space="preserve"> civil rights violations (hate crimes) against any of these institutions, and continues to monitor and assist in investigations of house of worship incidents. </w:t>
      </w:r>
      <w:r w:rsidR="00C47EE8">
        <w:t xml:space="preserve"> ATF’s NRT</w:t>
      </w:r>
      <w:r w:rsidR="00C47EE8" w:rsidRPr="00210637">
        <w:t xml:space="preserve"> investigation</w:t>
      </w:r>
      <w:r w:rsidR="00C47EE8">
        <w:t>s</w:t>
      </w:r>
      <w:r w:rsidR="00C47EE8" w:rsidRPr="00210637">
        <w:t xml:space="preserve"> of 16 </w:t>
      </w:r>
      <w:r w:rsidR="00C47EE8">
        <w:t xml:space="preserve">church </w:t>
      </w:r>
      <w:r w:rsidR="00C47EE8" w:rsidRPr="00210637">
        <w:t xml:space="preserve">fires in Texas </w:t>
      </w:r>
      <w:r w:rsidR="00C47EE8">
        <w:t>in early 2010 were effectively utilized to identify two defendants</w:t>
      </w:r>
      <w:r w:rsidR="00C47EE8" w:rsidRPr="00C47EE8">
        <w:t xml:space="preserve"> </w:t>
      </w:r>
      <w:r w:rsidR="00C47EE8" w:rsidRPr="00210637">
        <w:t>sentenced to life in prison</w:t>
      </w:r>
      <w:r w:rsidR="00C47EE8">
        <w:t xml:space="preserve"> i</w:t>
      </w:r>
      <w:r w:rsidR="00C47EE8" w:rsidRPr="00210637">
        <w:t>n January 2011, for multiple</w:t>
      </w:r>
      <w:r w:rsidR="00C47EE8">
        <w:t xml:space="preserve"> arson convictions.</w:t>
      </w:r>
      <w:r w:rsidR="00C47EE8" w:rsidRPr="00210637">
        <w:t xml:space="preserve">  ATF</w:t>
      </w:r>
      <w:r w:rsidR="00C47EE8">
        <w:t xml:space="preserve"> lead a</w:t>
      </w:r>
      <w:r w:rsidR="00C47EE8" w:rsidRPr="00210637">
        <w:t xml:space="preserve"> multi-agency task force to investi</w:t>
      </w:r>
      <w:r w:rsidR="004475B7">
        <w:t>gate the fires, which quickly identified two suspects charged and held over for trial</w:t>
      </w:r>
      <w:r w:rsidR="00C47EE8">
        <w:t xml:space="preserve">. The </w:t>
      </w:r>
      <w:r w:rsidR="00C47EE8" w:rsidRPr="00210637">
        <w:t>evidence in fire scenes can deteriorate quickly</w:t>
      </w:r>
      <w:r w:rsidR="004475B7">
        <w:t xml:space="preserve">. </w:t>
      </w:r>
      <w:r w:rsidR="00C47EE8" w:rsidRPr="00210637">
        <w:t xml:space="preserve"> </w:t>
      </w:r>
      <w:r w:rsidR="004475B7">
        <w:t xml:space="preserve">ATF’s </w:t>
      </w:r>
      <w:r w:rsidR="00C47EE8" w:rsidRPr="00210637">
        <w:t xml:space="preserve">rapid response and investigation </w:t>
      </w:r>
      <w:r w:rsidR="004475B7">
        <w:t xml:space="preserve">by the NRT </w:t>
      </w:r>
      <w:r w:rsidR="00C47EE8" w:rsidRPr="00210637">
        <w:t xml:space="preserve">means the difference between identifying and prosecuting suspects and leaving violent offenders on the streets. </w:t>
      </w:r>
    </w:p>
    <w:p w:rsidR="009221CE" w:rsidRDefault="0065620E" w:rsidP="009221CE">
      <w:pPr>
        <w:pStyle w:val="BodyText"/>
        <w:spacing w:before="100" w:beforeAutospacing="1" w:after="100" w:afterAutospacing="1"/>
      </w:pPr>
      <w:r>
        <w:rPr>
          <w:b/>
          <w:i/>
        </w:rPr>
        <w:t xml:space="preserve">Investigating </w:t>
      </w:r>
      <w:r w:rsidR="009221CE" w:rsidRPr="00210637">
        <w:rPr>
          <w:b/>
          <w:i/>
        </w:rPr>
        <w:t>Complex or Large-Scale Commercial Fires</w:t>
      </w:r>
      <w:r w:rsidR="009221CE" w:rsidRPr="00210637">
        <w:t xml:space="preserve">  </w:t>
      </w:r>
    </w:p>
    <w:p w:rsidR="009221CE" w:rsidRDefault="009221CE" w:rsidP="009221CE">
      <w:pPr>
        <w:pStyle w:val="BodyText"/>
        <w:spacing w:before="100" w:beforeAutospacing="1" w:after="100" w:afterAutospacing="1"/>
      </w:pPr>
      <w:r w:rsidRPr="00210637">
        <w:t>In October 2010, a fire caused over $50 million in damage to the Westfield Galleria, a large shopping mall in Roseville, CA.  The investigation, which involved personnel from ATF’s San Francisco Field Division, the NRT and CFI programs, and th</w:t>
      </w:r>
      <w:r w:rsidR="00DE080F">
        <w:t xml:space="preserve">e FRL confirmed the fire </w:t>
      </w:r>
      <w:r w:rsidRPr="00210637">
        <w:t xml:space="preserve">was arson and recovered key evidence against a suspect who had already been arrested on local charges.  During the investigation, evidence was found that the suspect had committed another arson at a nearby </w:t>
      </w:r>
      <w:r w:rsidR="00DE080F">
        <w:t>Walm</w:t>
      </w:r>
      <w:r w:rsidR="00DE080F" w:rsidRPr="00210637">
        <w:t>art</w:t>
      </w:r>
      <w:r w:rsidRPr="00210637">
        <w:t xml:space="preserve"> store.  The defendant subsequently pled guilty in Federal Court and was sentenced to 15 years in prison. </w:t>
      </w:r>
    </w:p>
    <w:p w:rsidR="00FA2AAB" w:rsidRPr="00762F09" w:rsidRDefault="00FA2AAB" w:rsidP="005027FD">
      <w:pPr>
        <w:pStyle w:val="Heading2"/>
        <w:keepNext w:val="0"/>
        <w:spacing w:before="100" w:beforeAutospacing="1" w:after="100" w:afterAutospacing="1"/>
        <w:rPr>
          <w:rFonts w:ascii="Times New Roman" w:hAnsi="Times New Roman" w:cs="Times New Roman"/>
          <w:sz w:val="24"/>
          <w:szCs w:val="24"/>
        </w:rPr>
      </w:pPr>
      <w:bookmarkStart w:id="42" w:name="_Toc216167695"/>
      <w:bookmarkStart w:id="43" w:name="_Toc215989167"/>
      <w:bookmarkStart w:id="44" w:name="_Toc216172465"/>
      <w:bookmarkStart w:id="45" w:name="_Toc216248492"/>
      <w:bookmarkStart w:id="46" w:name="_Toc224026884"/>
      <w:bookmarkEnd w:id="42"/>
      <w:r w:rsidRPr="00762F09">
        <w:rPr>
          <w:rFonts w:ascii="Times New Roman" w:hAnsi="Times New Roman" w:cs="Times New Roman"/>
          <w:sz w:val="24"/>
          <w:szCs w:val="24"/>
        </w:rPr>
        <w:t>Arson and Explosives Detection Canine Training</w:t>
      </w:r>
      <w:bookmarkEnd w:id="43"/>
      <w:bookmarkEnd w:id="44"/>
      <w:bookmarkEnd w:id="45"/>
      <w:bookmarkEnd w:id="46"/>
    </w:p>
    <w:p w:rsidR="00FC49FC" w:rsidRPr="0032011B" w:rsidRDefault="009E6741" w:rsidP="00064259">
      <w:pPr>
        <w:rPr>
          <w:rFonts w:eastAsia="Calibri"/>
        </w:rPr>
      </w:pPr>
      <w:r w:rsidRPr="0032011B">
        <w:t>The ATF Canine Program is the only canine program in the United States supported by a laboratory and has the first, and only, federally accredited explosive detection canine program.   T</w:t>
      </w:r>
      <w:r w:rsidRPr="0032011B">
        <w:rPr>
          <w:rFonts w:eastAsia="Calibri"/>
        </w:rPr>
        <w:t xml:space="preserve">he ATF National Forensic Laboratory supports the ATF Canine Program in the research and development of explosive and accelerant compounds and compositions for canine training, third party testing and certification on the mandated odors, instruction into the properties and chemical breakdown of accelerant and explosives and support in all forensic related issues.  </w:t>
      </w:r>
    </w:p>
    <w:p w:rsidR="00FC49FC" w:rsidRPr="0032011B" w:rsidRDefault="00FC49FC" w:rsidP="00064259">
      <w:pPr>
        <w:rPr>
          <w:rFonts w:eastAsia="Calibri"/>
        </w:rPr>
      </w:pPr>
    </w:p>
    <w:p w:rsidR="00064259" w:rsidRPr="0032011B" w:rsidRDefault="009E6741" w:rsidP="00064259">
      <w:pPr>
        <w:rPr>
          <w:rFonts w:eastAsia="Calibri"/>
        </w:rPr>
      </w:pPr>
      <w:r w:rsidRPr="0032011B">
        <w:rPr>
          <w:rFonts w:eastAsia="Calibri"/>
        </w:rPr>
        <w:t>The ATF Canine Program conducts evaluation and analysis of all new and emerging facets within the explosives detection canine arena. In turn the ATF Canine Program shares this vital information with other handlers and programs in the related fields in a concerted effort to provide the best tools possible for safety and security in the fight against violent crime and terrorism.  The ATF Canine Program</w:t>
      </w:r>
      <w:r w:rsidRPr="0032011B">
        <w:t xml:space="preserve"> is</w:t>
      </w:r>
      <w:r w:rsidRPr="0032011B">
        <w:rPr>
          <w:rFonts w:eastAsia="Calibri"/>
        </w:rPr>
        <w:t xml:space="preserve"> also supported by the ATF Explosives Technology Branch, the ATF National Center for Explosives Training and Research (NCETR) and the U.S. Bomb Data Center. </w:t>
      </w:r>
    </w:p>
    <w:p w:rsidR="00FC49FC" w:rsidRPr="0032011B" w:rsidRDefault="009E6741" w:rsidP="00064259">
      <w:pPr>
        <w:pStyle w:val="BodyText"/>
        <w:spacing w:before="100" w:beforeAutospacing="1" w:after="100" w:afterAutospacing="1"/>
      </w:pPr>
      <w:r w:rsidRPr="0032011B">
        <w:rPr>
          <w:szCs w:val="24"/>
        </w:rPr>
        <w:t>In 2009</w:t>
      </w:r>
      <w:r w:rsidR="00FC49FC" w:rsidRPr="0032011B">
        <w:rPr>
          <w:szCs w:val="24"/>
        </w:rPr>
        <w:t>,</w:t>
      </w:r>
      <w:r w:rsidRPr="0032011B">
        <w:rPr>
          <w:szCs w:val="24"/>
        </w:rPr>
        <w:t xml:space="preserve"> ATF began working with the Department of Defense to provide Homemade Explosives (HME) imprint training for Military Working Dogs (MWD) before deployment to Afghanistan, Iraq and other undisclosed locations.  To date, ATF has trained over 1</w:t>
      </w:r>
      <w:r w:rsidR="0065620E">
        <w:rPr>
          <w:szCs w:val="24"/>
        </w:rPr>
        <w:t>,</w:t>
      </w:r>
      <w:r w:rsidRPr="0032011B">
        <w:rPr>
          <w:szCs w:val="24"/>
        </w:rPr>
        <w:t>672 MWDs.</w:t>
      </w:r>
      <w:r w:rsidRPr="0032011B">
        <w:t xml:space="preserve">  This effort is of critical importance to combating the IED threat in Afghanistan.  </w:t>
      </w:r>
    </w:p>
    <w:p w:rsidR="00064259" w:rsidRPr="0032011B" w:rsidRDefault="009E6741" w:rsidP="00064259">
      <w:pPr>
        <w:pStyle w:val="BodyText"/>
        <w:spacing w:before="100" w:beforeAutospacing="1" w:after="100" w:afterAutospacing="1"/>
      </w:pPr>
      <w:r w:rsidRPr="0032011B">
        <w:t xml:space="preserve">There are 29 ATF-trained explosives detection canine teams </w:t>
      </w:r>
      <w:r w:rsidR="00FC49FC" w:rsidRPr="0032011B">
        <w:t xml:space="preserve">and 57 ATF-trained accelerant detection canine teams currently active in the U.S. </w:t>
      </w:r>
      <w:r w:rsidRPr="0032011B">
        <w:t xml:space="preserve"> </w:t>
      </w:r>
      <w:r w:rsidR="00FC49FC" w:rsidRPr="0032011B">
        <w:t xml:space="preserve">There are </w:t>
      </w:r>
      <w:r w:rsidRPr="0032011B">
        <w:t>127 ATF-trained explosives detection canine teams deployed throughout the U.S. with other Federal, state and local agencies</w:t>
      </w:r>
      <w:r w:rsidR="00FC49FC" w:rsidRPr="0032011B">
        <w:t xml:space="preserve">. </w:t>
      </w:r>
      <w:r w:rsidR="00486364" w:rsidRPr="0032011B">
        <w:t xml:space="preserve">ATF has </w:t>
      </w:r>
      <w:r w:rsidR="00FC49FC" w:rsidRPr="0032011B">
        <w:t>trained</w:t>
      </w:r>
      <w:r w:rsidRPr="0032011B">
        <w:t xml:space="preserve"> </w:t>
      </w:r>
      <w:r w:rsidR="00486364" w:rsidRPr="0032011B">
        <w:t xml:space="preserve">366 </w:t>
      </w:r>
      <w:r w:rsidRPr="0032011B">
        <w:t xml:space="preserve">international </w:t>
      </w:r>
      <w:r w:rsidR="00FC49FC" w:rsidRPr="0032011B">
        <w:t xml:space="preserve">canine </w:t>
      </w:r>
      <w:r w:rsidRPr="0032011B">
        <w:t>teams in 21 foreign countries</w:t>
      </w:r>
      <w:r w:rsidR="00486364" w:rsidRPr="0032011B">
        <w:t xml:space="preserve"> in partnership with the Department of State</w:t>
      </w:r>
      <w:r w:rsidRPr="0032011B">
        <w:t xml:space="preserve">.   ATF </w:t>
      </w:r>
      <w:r w:rsidR="00486364" w:rsidRPr="0032011B">
        <w:t xml:space="preserve">remains </w:t>
      </w:r>
      <w:r w:rsidRPr="0032011B">
        <w:t>at the forefront of combating violent crime through such innovative programs as training other Federal, state, local, and international law enforcement explosives detection canines in peroxide explosives</w:t>
      </w:r>
      <w:r w:rsidR="00486364" w:rsidRPr="0032011B">
        <w:t xml:space="preserve"> and standardized national odor recognition testing</w:t>
      </w:r>
      <w:r w:rsidRPr="0032011B">
        <w:t>.</w:t>
      </w:r>
    </w:p>
    <w:p w:rsidR="00FA2AAB" w:rsidRPr="00762F09" w:rsidRDefault="00FA2AAB" w:rsidP="005027FD">
      <w:pPr>
        <w:spacing w:before="100" w:beforeAutospacing="1" w:after="100" w:afterAutospacing="1"/>
        <w:rPr>
          <w:b/>
          <w:i/>
        </w:rPr>
      </w:pPr>
      <w:r w:rsidRPr="0032011B">
        <w:rPr>
          <w:b/>
          <w:i/>
        </w:rPr>
        <w:t>Certified</w:t>
      </w:r>
      <w:r w:rsidRPr="00762F09">
        <w:rPr>
          <w:b/>
          <w:i/>
        </w:rPr>
        <w:t xml:space="preserve"> Fire Investigators (CFI)</w:t>
      </w:r>
    </w:p>
    <w:p w:rsidR="00FA2AAB" w:rsidRDefault="00FA2AAB" w:rsidP="005027FD">
      <w:pPr>
        <w:spacing w:before="100" w:beforeAutospacing="1" w:after="100" w:afterAutospacing="1"/>
      </w:pPr>
      <w:r w:rsidRPr="00762F09">
        <w:t xml:space="preserve">ATF’s CFIs are </w:t>
      </w:r>
      <w:r>
        <w:t>agents</w:t>
      </w:r>
      <w:r w:rsidRPr="00762F09">
        <w:t xml:space="preserve"> who have completed an extensive two-year training program in advanced fire scene examination with an emphasis on the modern principles of fire dynamics.  They conduct fire scene examinations and render origin and cause determinations on behalf of ATF, provide expert testimony on fire scene determinations, and provide technical support and analysis to assist other </w:t>
      </w:r>
      <w:r>
        <w:t>agents</w:t>
      </w:r>
      <w:r w:rsidRPr="00762F09">
        <w:t xml:space="preserve"> and prosecutors with court preparation, presentation of evidence, and technical interpretation of fire-related information.  The agents lend technical guidance in support of field arson investigative activities</w:t>
      </w:r>
      <w:r w:rsidR="00F94F22">
        <w:t>;</w:t>
      </w:r>
      <w:r w:rsidRPr="00762F09">
        <w:t xml:space="preserve"> conduct arson-related training for ATF </w:t>
      </w:r>
      <w:r>
        <w:t>agents</w:t>
      </w:r>
      <w:r w:rsidRPr="00762F09">
        <w:t xml:space="preserve"> and other </w:t>
      </w:r>
      <w:r w:rsidR="00D31D89">
        <w:t>Federal</w:t>
      </w:r>
      <w:r w:rsidRPr="00762F09">
        <w:t xml:space="preserve">, </w:t>
      </w:r>
      <w:r w:rsidR="00D31D89">
        <w:t>state</w:t>
      </w:r>
      <w:r w:rsidRPr="00762F09">
        <w:t>, and local fire investigators</w:t>
      </w:r>
      <w:r w:rsidR="00F94F22">
        <w:t>;</w:t>
      </w:r>
      <w:r w:rsidRPr="00762F09">
        <w:t xml:space="preserve"> and conduct research to identify trends and patterns in fire incidents.  The CFIs are supported in their investigations by the ATF Fire Research Laboratory, which has the unique capability to re-create fire scenarios, both large and small, in its fire testing facility.</w:t>
      </w:r>
    </w:p>
    <w:p w:rsidR="00064259" w:rsidRPr="0032011B" w:rsidRDefault="009E6741" w:rsidP="00064259">
      <w:pPr>
        <w:spacing w:before="100" w:beforeAutospacing="1" w:after="100" w:afterAutospacing="1"/>
      </w:pPr>
      <w:r w:rsidRPr="0032011B">
        <w:t xml:space="preserve">CFIs were instrumental to the successful prosecution of the defendant in </w:t>
      </w:r>
      <w:r w:rsidR="00486364" w:rsidRPr="0032011B">
        <w:t xml:space="preserve">an </w:t>
      </w:r>
      <w:r w:rsidRPr="0032011B">
        <w:t xml:space="preserve">April 2010 arson at a fur and leather goods distributor in Glendale, CO.   CFIs and other ATF agents were able to link the arson to a similar </w:t>
      </w:r>
      <w:r w:rsidR="00486364" w:rsidRPr="0032011B">
        <w:t xml:space="preserve">incident </w:t>
      </w:r>
      <w:r w:rsidRPr="0032011B">
        <w:t xml:space="preserve">at a leather goods manufacturer and distributor that occurred in Salt Lake City, UT, in June 2010, and to a third arson </w:t>
      </w:r>
      <w:r w:rsidR="00486364" w:rsidRPr="0032011B">
        <w:t xml:space="preserve">incident </w:t>
      </w:r>
      <w:r w:rsidRPr="0032011B">
        <w:t>at a restaurant in Salt Lake City in July 2010.  The subject was charged in Federal Court and in 2011 was convicted and sentenced to 7 years in prison.</w:t>
      </w:r>
    </w:p>
    <w:p w:rsidR="00486364" w:rsidRPr="00DA4745" w:rsidRDefault="00486364" w:rsidP="005027FD">
      <w:pPr>
        <w:pStyle w:val="BodyText"/>
        <w:keepNext/>
        <w:spacing w:before="100" w:beforeAutospacing="1" w:after="100" w:afterAutospacing="1"/>
        <w:rPr>
          <w:b/>
        </w:rPr>
      </w:pPr>
      <w:r w:rsidRPr="00DA4745">
        <w:rPr>
          <w:b/>
        </w:rPr>
        <w:t>ATF Technical and Outreach Capabilities in Support of the Mission</w:t>
      </w:r>
    </w:p>
    <w:p w:rsidR="00DA4745" w:rsidRPr="00122812" w:rsidRDefault="00DA4745" w:rsidP="00DA4745">
      <w:pPr>
        <w:pStyle w:val="PlainText"/>
        <w:tabs>
          <w:tab w:val="left" w:pos="8100"/>
        </w:tabs>
        <w:ind w:left="720" w:right="1260"/>
        <w:rPr>
          <w:rFonts w:ascii="Times New Roman" w:hAnsi="Times New Roman"/>
          <w:i/>
          <w:sz w:val="24"/>
          <w:szCs w:val="24"/>
        </w:rPr>
      </w:pPr>
      <w:r>
        <w:rPr>
          <w:rFonts w:ascii="Times New Roman" w:hAnsi="Times New Roman"/>
          <w:i/>
          <w:sz w:val="24"/>
          <w:szCs w:val="24"/>
        </w:rPr>
        <w:t>“Strengthen the Department’s intelligence base and analytical capability to assess and respond to intelligence threats.”</w:t>
      </w:r>
    </w:p>
    <w:p w:rsidR="00DA4745" w:rsidRPr="00122812" w:rsidRDefault="00DA4745" w:rsidP="00DA4745">
      <w:pPr>
        <w:rPr>
          <w:i/>
        </w:rPr>
      </w:pPr>
    </w:p>
    <w:p w:rsidR="00DA4745" w:rsidRDefault="00DA4745" w:rsidP="00DA4745">
      <w:pPr>
        <w:ind w:left="360"/>
        <w:jc w:val="right"/>
      </w:pPr>
      <w:r>
        <w:t xml:space="preserve">Source: </w:t>
      </w:r>
      <w:r w:rsidRPr="00407775">
        <w:rPr>
          <w:u w:val="single"/>
        </w:rPr>
        <w:t>US Department of Justice Fiscal Years 2012-2016 Strategic Plan</w:t>
      </w:r>
      <w:r>
        <w:t>, page 15</w:t>
      </w:r>
    </w:p>
    <w:p w:rsidR="00486364" w:rsidRPr="00DA4745" w:rsidRDefault="00486364" w:rsidP="005027FD">
      <w:pPr>
        <w:pStyle w:val="BodyText"/>
        <w:keepNext/>
        <w:spacing w:before="100" w:beforeAutospacing="1" w:after="100" w:afterAutospacing="1"/>
        <w:rPr>
          <w:b/>
          <w:i/>
        </w:rPr>
      </w:pPr>
      <w:r w:rsidRPr="00DA4745">
        <w:rPr>
          <w:b/>
          <w:i/>
        </w:rPr>
        <w:t>Cybercrime Detection and Analysis</w:t>
      </w:r>
    </w:p>
    <w:p w:rsidR="00DA4745" w:rsidRPr="00DA4745" w:rsidRDefault="00DA4745" w:rsidP="00DA4745">
      <w:pPr>
        <w:rPr>
          <w:bCs/>
        </w:rPr>
      </w:pPr>
      <w:r w:rsidRPr="00DA4745">
        <w:rPr>
          <w:bCs/>
        </w:rPr>
        <w:t xml:space="preserve">In response to the increase in Internet-based criminal activity, ATF established a Cyber Crime Unit (CCU).  The CCU addresses Internet-based criminal activity involving violations of statutes enforced by ATF.  The CCU collects and processes Internet-based intelligence in order to identify those individuals, businesses and organizations involved in potential criminal activity, as well as their methods and means of operation.  The unit provides targets for investigation to the appropriate field divisions, refers Internet-based leads to investigators, provides guidance and technical support for Internet investigations and undercover operations, assists with the preparation of Internet-related search warrants and subpoenas, develops guidelines concerning Internet investigations and provides Internet investigation training.  </w:t>
      </w:r>
      <w:r>
        <w:rPr>
          <w:bCs/>
        </w:rPr>
        <w:t>The scale of data availability ha</w:t>
      </w:r>
      <w:r w:rsidR="00252DE7">
        <w:rPr>
          <w:bCs/>
        </w:rPr>
        <w:t>s</w:t>
      </w:r>
      <w:r>
        <w:rPr>
          <w:bCs/>
        </w:rPr>
        <w:t xml:space="preserve"> </w:t>
      </w:r>
      <w:r w:rsidRPr="00DA4745">
        <w:rPr>
          <w:bCs/>
        </w:rPr>
        <w:t>limited ATF’s ability to fully exploit Internet and cyber-based crimes and to investigate regulated commodity-based violations of the Federal firearms, explosives and tobacco statutes.</w:t>
      </w:r>
    </w:p>
    <w:p w:rsidR="00FA2AAB" w:rsidRPr="00762F09" w:rsidRDefault="00FA2AAB" w:rsidP="005027FD">
      <w:pPr>
        <w:pStyle w:val="BodyText"/>
        <w:keepNext/>
        <w:spacing w:before="100" w:beforeAutospacing="1" w:after="100" w:afterAutospacing="1"/>
        <w:rPr>
          <w:b/>
          <w:i/>
          <w:szCs w:val="24"/>
        </w:rPr>
      </w:pPr>
      <w:r w:rsidRPr="00762F09">
        <w:rPr>
          <w:b/>
          <w:i/>
          <w:szCs w:val="24"/>
        </w:rPr>
        <w:t>ATF Laboratories</w:t>
      </w:r>
    </w:p>
    <w:p w:rsidR="00042BE3" w:rsidRDefault="00695145" w:rsidP="005027FD">
      <w:pPr>
        <w:pStyle w:val="BodyText"/>
        <w:spacing w:before="100" w:beforeAutospacing="1" w:after="100" w:afterAutospacing="1"/>
        <w:rPr>
          <w:szCs w:val="24"/>
        </w:rPr>
      </w:pPr>
      <w:r>
        <w:rPr>
          <w:szCs w:val="24"/>
        </w:rPr>
        <w:t xml:space="preserve">ATF laboratories play a critical role in meeting the mission of ATF by providing </w:t>
      </w:r>
      <w:r w:rsidR="00FA2AAB" w:rsidRPr="00762F09">
        <w:rPr>
          <w:szCs w:val="24"/>
        </w:rPr>
        <w:t>analytical examination</w:t>
      </w:r>
      <w:r>
        <w:rPr>
          <w:szCs w:val="24"/>
        </w:rPr>
        <w:t>s</w:t>
      </w:r>
      <w:r w:rsidR="00FA2AAB" w:rsidRPr="00762F09">
        <w:rPr>
          <w:szCs w:val="24"/>
        </w:rPr>
        <w:t xml:space="preserve"> of evidence and </w:t>
      </w:r>
      <w:r w:rsidR="00AE375D">
        <w:rPr>
          <w:szCs w:val="24"/>
        </w:rPr>
        <w:t>scientific validation for many ATF programs</w:t>
      </w:r>
      <w:r w:rsidR="00FA2AAB" w:rsidRPr="00762F09">
        <w:rPr>
          <w:szCs w:val="24"/>
        </w:rPr>
        <w:t xml:space="preserve">.  Our examiners </w:t>
      </w:r>
      <w:r>
        <w:rPr>
          <w:szCs w:val="24"/>
        </w:rPr>
        <w:t xml:space="preserve">play an integral role </w:t>
      </w:r>
      <w:r w:rsidR="00FA2AAB" w:rsidRPr="00762F09">
        <w:rPr>
          <w:szCs w:val="24"/>
        </w:rPr>
        <w:t>support</w:t>
      </w:r>
      <w:r>
        <w:rPr>
          <w:szCs w:val="24"/>
        </w:rPr>
        <w:t xml:space="preserve">ing </w:t>
      </w:r>
      <w:r w:rsidR="00FA2AAB" w:rsidRPr="00762F09">
        <w:rPr>
          <w:szCs w:val="24"/>
        </w:rPr>
        <w:t xml:space="preserve">the NRT, </w:t>
      </w:r>
      <w:r>
        <w:rPr>
          <w:szCs w:val="24"/>
        </w:rPr>
        <w:t xml:space="preserve">the canine program, and homemade explosives programs, </w:t>
      </w:r>
      <w:r w:rsidR="00634B09">
        <w:rPr>
          <w:szCs w:val="24"/>
        </w:rPr>
        <w:t>facilitat</w:t>
      </w:r>
      <w:r w:rsidR="008002C8">
        <w:rPr>
          <w:szCs w:val="24"/>
        </w:rPr>
        <w:t xml:space="preserve">ing technical </w:t>
      </w:r>
      <w:r w:rsidR="00FA2AAB" w:rsidRPr="00762F09">
        <w:rPr>
          <w:szCs w:val="24"/>
        </w:rPr>
        <w:t>training exercises in all mission related functions, and provid</w:t>
      </w:r>
      <w:r w:rsidR="008002C8">
        <w:rPr>
          <w:szCs w:val="24"/>
        </w:rPr>
        <w:t>ing</w:t>
      </w:r>
      <w:r w:rsidR="00FA2AAB" w:rsidRPr="00762F09">
        <w:rPr>
          <w:szCs w:val="24"/>
        </w:rPr>
        <w:t xml:space="preserve"> expert witness testimony.  </w:t>
      </w:r>
    </w:p>
    <w:p w:rsidR="00FA2AAB" w:rsidRPr="00762F09" w:rsidRDefault="00634B09" w:rsidP="005027FD">
      <w:pPr>
        <w:pStyle w:val="BodyText"/>
        <w:spacing w:before="100" w:beforeAutospacing="1" w:after="100" w:afterAutospacing="1"/>
        <w:rPr>
          <w:szCs w:val="24"/>
        </w:rPr>
      </w:pPr>
      <w:r>
        <w:rPr>
          <w:szCs w:val="24"/>
        </w:rPr>
        <w:t xml:space="preserve">ATF’s </w:t>
      </w:r>
      <w:r w:rsidR="00FA2AAB" w:rsidRPr="00762F09">
        <w:rPr>
          <w:szCs w:val="24"/>
        </w:rPr>
        <w:t xml:space="preserve">Laboratory Services </w:t>
      </w:r>
      <w:r>
        <w:rPr>
          <w:szCs w:val="24"/>
        </w:rPr>
        <w:t xml:space="preserve">personnel collectively </w:t>
      </w:r>
      <w:r w:rsidR="00FA2AAB" w:rsidRPr="00762F09">
        <w:rPr>
          <w:szCs w:val="24"/>
        </w:rPr>
        <w:t xml:space="preserve">average over 1,000 days </w:t>
      </w:r>
      <w:r w:rsidR="008002C8">
        <w:rPr>
          <w:szCs w:val="24"/>
        </w:rPr>
        <w:t xml:space="preserve">annually </w:t>
      </w:r>
      <w:r w:rsidR="00FA2AAB" w:rsidRPr="00762F09">
        <w:rPr>
          <w:szCs w:val="24"/>
        </w:rPr>
        <w:t xml:space="preserve">out of the laboratory providing </w:t>
      </w:r>
      <w:r w:rsidRPr="00762F09">
        <w:rPr>
          <w:szCs w:val="24"/>
        </w:rPr>
        <w:t>th</w:t>
      </w:r>
      <w:r>
        <w:rPr>
          <w:szCs w:val="24"/>
        </w:rPr>
        <w:t>ese</w:t>
      </w:r>
      <w:r w:rsidRPr="00762F09">
        <w:rPr>
          <w:szCs w:val="24"/>
        </w:rPr>
        <w:t xml:space="preserve"> </w:t>
      </w:r>
      <w:r w:rsidR="00FA2AAB" w:rsidRPr="00762F09">
        <w:rPr>
          <w:szCs w:val="24"/>
        </w:rPr>
        <w:t>service</w:t>
      </w:r>
      <w:r>
        <w:rPr>
          <w:szCs w:val="24"/>
        </w:rPr>
        <w:t>s</w:t>
      </w:r>
      <w:r w:rsidR="00FA2AAB" w:rsidRPr="00762F09">
        <w:rPr>
          <w:szCs w:val="24"/>
        </w:rPr>
        <w:t xml:space="preserve">.  Laboratory Services </w:t>
      </w:r>
      <w:r>
        <w:rPr>
          <w:szCs w:val="24"/>
        </w:rPr>
        <w:t>has</w:t>
      </w:r>
      <w:r w:rsidR="00FA2AAB" w:rsidRPr="00762F09">
        <w:rPr>
          <w:szCs w:val="24"/>
        </w:rPr>
        <w:t xml:space="preserve"> four organizational groups: the Forensic Science Laboratory (FSL) in </w:t>
      </w:r>
      <w:r w:rsidR="00F94F22">
        <w:rPr>
          <w:szCs w:val="24"/>
        </w:rPr>
        <w:t xml:space="preserve">the </w:t>
      </w:r>
      <w:r w:rsidR="00FA2AAB" w:rsidRPr="00762F09">
        <w:rPr>
          <w:szCs w:val="24"/>
        </w:rPr>
        <w:t>Atlanta, San Francisco, and Washington</w:t>
      </w:r>
      <w:r w:rsidR="00FA2AAB">
        <w:rPr>
          <w:szCs w:val="24"/>
        </w:rPr>
        <w:t xml:space="preserve"> metropolitan area</w:t>
      </w:r>
      <w:r w:rsidR="00F94F22">
        <w:rPr>
          <w:szCs w:val="24"/>
        </w:rPr>
        <w:t>s</w:t>
      </w:r>
      <w:r w:rsidR="00FA2AAB" w:rsidRPr="00762F09">
        <w:rPr>
          <w:szCs w:val="24"/>
        </w:rPr>
        <w:t xml:space="preserve"> and the Fire Research Laboratory (FRL).  The National Laboratory Center houses the FSL in Washington </w:t>
      </w:r>
      <w:r w:rsidR="00FA2AAB">
        <w:rPr>
          <w:szCs w:val="24"/>
        </w:rPr>
        <w:t xml:space="preserve">metropolitan area </w:t>
      </w:r>
      <w:r w:rsidR="008002C8">
        <w:rPr>
          <w:szCs w:val="24"/>
        </w:rPr>
        <w:t xml:space="preserve">the NIBIN Branch </w:t>
      </w:r>
      <w:r w:rsidR="00FA2AAB" w:rsidRPr="00762F09">
        <w:rPr>
          <w:szCs w:val="24"/>
        </w:rPr>
        <w:t>and the FRL</w:t>
      </w:r>
      <w:r>
        <w:rPr>
          <w:szCs w:val="24"/>
        </w:rPr>
        <w:t>,</w:t>
      </w:r>
      <w:r w:rsidR="00FA2AAB" w:rsidRPr="00762F09">
        <w:rPr>
          <w:szCs w:val="24"/>
        </w:rPr>
        <w:t xml:space="preserve"> and serves as the administrative center for Laboratory Services.  Laboratory staff is composed of </w:t>
      </w:r>
      <w:r w:rsidR="008002C8">
        <w:rPr>
          <w:szCs w:val="24"/>
        </w:rPr>
        <w:t xml:space="preserve">approximately </w:t>
      </w:r>
      <w:r w:rsidR="00FA2AAB" w:rsidRPr="00762F09">
        <w:rPr>
          <w:szCs w:val="24"/>
        </w:rPr>
        <w:t>100 biologists, chemists, scientists, engineers, fingerprint specialists, firearm and tool mark examiners, document examiners</w:t>
      </w:r>
      <w:r>
        <w:rPr>
          <w:szCs w:val="24"/>
        </w:rPr>
        <w:t>,</w:t>
      </w:r>
      <w:r w:rsidR="00FA2AAB" w:rsidRPr="00762F09">
        <w:rPr>
          <w:szCs w:val="24"/>
        </w:rPr>
        <w:t xml:space="preserve"> and </w:t>
      </w:r>
      <w:r w:rsidR="008002C8">
        <w:rPr>
          <w:szCs w:val="24"/>
        </w:rPr>
        <w:t>technical specialists</w:t>
      </w:r>
      <w:r w:rsidR="00FA2AAB" w:rsidRPr="00762F09">
        <w:rPr>
          <w:szCs w:val="24"/>
        </w:rPr>
        <w:t xml:space="preserve">.  </w:t>
      </w:r>
      <w:r w:rsidR="00AE375D">
        <w:rPr>
          <w:szCs w:val="24"/>
        </w:rPr>
        <w:t>These examiners have hundreds of years of combined experience in the examination of fire, explosive, tobacco</w:t>
      </w:r>
      <w:r w:rsidR="00F94F22">
        <w:rPr>
          <w:szCs w:val="24"/>
        </w:rPr>
        <w:t>,</w:t>
      </w:r>
      <w:r w:rsidR="00AE375D">
        <w:rPr>
          <w:szCs w:val="24"/>
        </w:rPr>
        <w:t xml:space="preserve"> and firearms cases.  </w:t>
      </w:r>
    </w:p>
    <w:p w:rsidR="00FA2AAB" w:rsidRPr="00762F09" w:rsidRDefault="00FA2AAB" w:rsidP="005027FD">
      <w:pPr>
        <w:pStyle w:val="BodyText"/>
        <w:spacing w:before="100" w:beforeAutospacing="1" w:after="100" w:afterAutospacing="1"/>
        <w:rPr>
          <w:szCs w:val="24"/>
        </w:rPr>
      </w:pPr>
      <w:r w:rsidRPr="00762F09">
        <w:rPr>
          <w:szCs w:val="24"/>
        </w:rPr>
        <w:t>All of the ATF Laboratories are accredited by the American Society of Crime Laboratory Directors – Laboratory Accreditation Board (ASCLD-LAB</w:t>
      </w:r>
      <w:r w:rsidR="00723A3F" w:rsidRPr="00762F09">
        <w:rPr>
          <w:szCs w:val="24"/>
        </w:rPr>
        <w:t>)</w:t>
      </w:r>
      <w:r w:rsidR="00723A3F">
        <w:rPr>
          <w:szCs w:val="24"/>
        </w:rPr>
        <w:t>,</w:t>
      </w:r>
      <w:r w:rsidR="00723A3F" w:rsidRPr="00762F09">
        <w:rPr>
          <w:szCs w:val="24"/>
        </w:rPr>
        <w:t> </w:t>
      </w:r>
      <w:r w:rsidRPr="00762F09">
        <w:rPr>
          <w:szCs w:val="24"/>
        </w:rPr>
        <w:t xml:space="preserve">a voluntary program in which crime laboratories participate to demonstrate that their management, operations, personnel, procedures, equipment, physical plant, security, and safety meet the industry standards.  ASCLD-LAB accreditation </w:t>
      </w:r>
      <w:r w:rsidR="0065620E">
        <w:rPr>
          <w:szCs w:val="24"/>
        </w:rPr>
        <w:t>is</w:t>
      </w:r>
      <w:r w:rsidRPr="00762F09">
        <w:rPr>
          <w:szCs w:val="24"/>
        </w:rPr>
        <w:t xml:space="preserve"> renewed every five years.  The ATF Laboratories recently added </w:t>
      </w:r>
      <w:r w:rsidR="00723A3F">
        <w:rPr>
          <w:szCs w:val="24"/>
        </w:rPr>
        <w:t>DNA and tobacco analysis</w:t>
      </w:r>
      <w:r w:rsidRPr="00762F09">
        <w:rPr>
          <w:szCs w:val="24"/>
        </w:rPr>
        <w:t xml:space="preserve"> in support of ATF investigations.  DNA analysis has added significant capability for linking a suspect to a crime.  Tobacco analysis was developed to support Bureau needs for analysis of counterfeit and contraband tobacco products and tax stamps.</w:t>
      </w:r>
    </w:p>
    <w:p w:rsidR="00252DE7" w:rsidRPr="00252DE7" w:rsidRDefault="00252DE7" w:rsidP="005027FD">
      <w:pPr>
        <w:spacing w:before="100" w:beforeAutospacing="1" w:after="100" w:afterAutospacing="1"/>
        <w:rPr>
          <w:b/>
          <w:i/>
        </w:rPr>
      </w:pPr>
      <w:r w:rsidRPr="00252DE7">
        <w:rPr>
          <w:b/>
          <w:i/>
        </w:rPr>
        <w:t>Fire Research Laboratory</w:t>
      </w:r>
    </w:p>
    <w:p w:rsidR="00EA5FB0" w:rsidRPr="00762F09" w:rsidRDefault="00FA2AAB" w:rsidP="005027FD">
      <w:pPr>
        <w:spacing w:before="100" w:beforeAutospacing="1" w:after="100" w:afterAutospacing="1"/>
      </w:pPr>
      <w:r w:rsidRPr="00762F09">
        <w:t>A critical component of ATF’s fire investigation mission is ATF’s FRL, a one-of-a-kind fire testing facility able to replicate fire scenarios under controlled conditions.  This facility support</w:t>
      </w:r>
      <w:r w:rsidR="00723A3F">
        <w:t>s</w:t>
      </w:r>
      <w:r w:rsidRPr="00762F09">
        <w:t xml:space="preserve"> ATF’s arson investigative requirements </w:t>
      </w:r>
      <w:r w:rsidR="00723A3F">
        <w:t>and functions as</w:t>
      </w:r>
      <w:r w:rsidRPr="00762F09">
        <w:t xml:space="preserve"> a unique and innovative resource for law enforcement, fire services, public safety agencies, industry, and academia.  </w:t>
      </w:r>
      <w:r w:rsidR="00723A3F">
        <w:t>FRL</w:t>
      </w:r>
      <w:r w:rsidR="00723A3F" w:rsidRPr="00762F09">
        <w:t xml:space="preserve"> </w:t>
      </w:r>
      <w:r w:rsidRPr="00762F09">
        <w:t xml:space="preserve">scientists use the most advanced scientific, technical, educational, and training methods to </w:t>
      </w:r>
      <w:r w:rsidR="00723A3F">
        <w:t>distinguish</w:t>
      </w:r>
      <w:r w:rsidR="00723A3F" w:rsidRPr="00762F09">
        <w:t xml:space="preserve"> </w:t>
      </w:r>
      <w:r w:rsidRPr="00762F09">
        <w:t xml:space="preserve">ATF and its partners </w:t>
      </w:r>
      <w:r w:rsidR="00723A3F">
        <w:t xml:space="preserve">as </w:t>
      </w:r>
      <w:r w:rsidRPr="00762F09">
        <w:t>leaders in fire investigation science.</w:t>
      </w:r>
    </w:p>
    <w:p w:rsidR="00FA2AAB" w:rsidRPr="00762F09" w:rsidRDefault="00735B97" w:rsidP="005027FD">
      <w:pPr>
        <w:spacing w:before="100" w:beforeAutospacing="1" w:after="100" w:afterAutospacing="1"/>
        <w:rPr>
          <w:b/>
          <w:i/>
        </w:rPr>
      </w:pPr>
      <w:r>
        <w:rPr>
          <w:b/>
          <w:i/>
        </w:rPr>
        <w:t>Financial Investigations</w:t>
      </w:r>
    </w:p>
    <w:p w:rsidR="00144F80" w:rsidRDefault="00144F80" w:rsidP="00496EAC">
      <w:pPr>
        <w:autoSpaceDE w:val="0"/>
        <w:autoSpaceDN w:val="0"/>
        <w:adjustRightInd w:val="0"/>
        <w:spacing w:before="100" w:beforeAutospacing="1" w:after="100" w:afterAutospacing="1"/>
      </w:pPr>
      <w:bookmarkStart w:id="47" w:name="_Toc224026886"/>
      <w:r>
        <w:t>ATF forensic auditors provide support for a full range of ATF programs including arson-for-profit, alcohol and tobacco diversion, firearms and narcotics trafficking cases, the use of explosives and bombings in the furtherance of financial frauds, counter-terrorism, threats to public safety, as well as investigations into gang and other organized criminal enterprises, and complex investigations involving money laundering.  ATF forensic auditors focus on the financial infrastructure that supports targeted criminal organizations and individuals with the goal of taking the profits of crimes through asset identification and forfeiture, and also identifying and eliminating sources of terrorist funding.</w:t>
      </w:r>
    </w:p>
    <w:p w:rsidR="00FA2AAB" w:rsidRPr="00762F09" w:rsidRDefault="0065620E" w:rsidP="005027FD">
      <w:pPr>
        <w:spacing w:before="100" w:beforeAutospacing="1" w:after="100" w:afterAutospacing="1"/>
        <w:outlineLvl w:val="0"/>
        <w:rPr>
          <w:b/>
          <w:i/>
        </w:rPr>
      </w:pPr>
      <w:r>
        <w:rPr>
          <w:b/>
          <w:i/>
        </w:rPr>
        <w:t xml:space="preserve">National </w:t>
      </w:r>
      <w:r w:rsidR="00FA2AAB" w:rsidRPr="00762F09">
        <w:rPr>
          <w:b/>
          <w:i/>
        </w:rPr>
        <w:t>Outreach Activities</w:t>
      </w:r>
      <w:bookmarkEnd w:id="47"/>
      <w:r w:rsidR="00FA2AAB" w:rsidRPr="00762F09">
        <w:rPr>
          <w:b/>
          <w:i/>
        </w:rPr>
        <w:t xml:space="preserve"> </w:t>
      </w:r>
    </w:p>
    <w:p w:rsidR="009B6D04" w:rsidRDefault="00FA2AAB" w:rsidP="005027FD">
      <w:pPr>
        <w:pStyle w:val="BodyText"/>
        <w:spacing w:before="100" w:beforeAutospacing="1" w:after="100" w:afterAutospacing="1"/>
        <w:rPr>
          <w:szCs w:val="24"/>
        </w:rPr>
      </w:pPr>
      <w:r w:rsidRPr="00865B9E">
        <w:rPr>
          <w:szCs w:val="24"/>
        </w:rPr>
        <w:t xml:space="preserve">ATF </w:t>
      </w:r>
      <w:r w:rsidR="005879C3" w:rsidRPr="00865B9E">
        <w:rPr>
          <w:szCs w:val="24"/>
        </w:rPr>
        <w:t>provides</w:t>
      </w:r>
      <w:r w:rsidR="006C7DF9" w:rsidRPr="00865B9E">
        <w:rPr>
          <w:szCs w:val="24"/>
        </w:rPr>
        <w:t xml:space="preserve"> </w:t>
      </w:r>
      <w:r w:rsidRPr="00865B9E">
        <w:rPr>
          <w:szCs w:val="24"/>
        </w:rPr>
        <w:t xml:space="preserve">services such as NRT responses, guidance, and advice to arson </w:t>
      </w:r>
      <w:r w:rsidR="003223F4" w:rsidRPr="00865B9E">
        <w:rPr>
          <w:szCs w:val="24"/>
        </w:rPr>
        <w:t xml:space="preserve">and explosives </w:t>
      </w:r>
      <w:r w:rsidRPr="00865B9E">
        <w:rPr>
          <w:szCs w:val="24"/>
        </w:rPr>
        <w:t xml:space="preserve">programs customers and </w:t>
      </w:r>
      <w:r w:rsidR="003223F4" w:rsidRPr="00865B9E">
        <w:rPr>
          <w:szCs w:val="24"/>
        </w:rPr>
        <w:t xml:space="preserve">to </w:t>
      </w:r>
      <w:r w:rsidRPr="00865B9E">
        <w:rPr>
          <w:szCs w:val="24"/>
        </w:rPr>
        <w:t xml:space="preserve">explosives industry members.  </w:t>
      </w:r>
      <w:r w:rsidR="00042BE3">
        <w:rPr>
          <w:szCs w:val="24"/>
        </w:rPr>
        <w:t xml:space="preserve">Through partnership with the U.S. Fire Administration’s (USFA) National Fire Academy (NFA), ATF has developed a cutting-edge program that offers the best science-based technical fire investigation training available to </w:t>
      </w:r>
      <w:r w:rsidR="00D31D89">
        <w:rPr>
          <w:szCs w:val="24"/>
        </w:rPr>
        <w:t>state</w:t>
      </w:r>
      <w:r w:rsidR="00042BE3">
        <w:rPr>
          <w:szCs w:val="24"/>
        </w:rPr>
        <w:t xml:space="preserve"> and local fire investigators. </w:t>
      </w:r>
      <w:r w:rsidR="004852D5">
        <w:rPr>
          <w:szCs w:val="24"/>
        </w:rPr>
        <w:t xml:space="preserve"> </w:t>
      </w:r>
      <w:r w:rsidR="00042BE3">
        <w:rPr>
          <w:szCs w:val="24"/>
        </w:rPr>
        <w:t xml:space="preserve">Since its first pilot delivery in July 2007, the ATF Arson Training Branch has delivered Fire/Arson Origin and Cause training to more than 1,000 </w:t>
      </w:r>
      <w:r w:rsidR="00D31D89">
        <w:rPr>
          <w:szCs w:val="24"/>
        </w:rPr>
        <w:t>state</w:t>
      </w:r>
      <w:r w:rsidR="00042BE3">
        <w:rPr>
          <w:szCs w:val="24"/>
        </w:rPr>
        <w:t xml:space="preserve"> and local fire investigators. </w:t>
      </w:r>
      <w:r w:rsidR="004852D5">
        <w:rPr>
          <w:szCs w:val="24"/>
        </w:rPr>
        <w:t xml:space="preserve"> </w:t>
      </w:r>
    </w:p>
    <w:p w:rsidR="00330F2C" w:rsidRPr="00865B9E" w:rsidRDefault="008565F4" w:rsidP="005027FD">
      <w:pPr>
        <w:pStyle w:val="BodyText"/>
        <w:spacing w:before="100" w:beforeAutospacing="1" w:after="100" w:afterAutospacing="1"/>
        <w:rPr>
          <w:szCs w:val="24"/>
        </w:rPr>
      </w:pPr>
      <w:r>
        <w:rPr>
          <w:szCs w:val="24"/>
        </w:rPr>
        <w:t xml:space="preserve">ATF has recently entered into the </w:t>
      </w:r>
      <w:r w:rsidR="00064259" w:rsidRPr="002D1D76">
        <w:rPr>
          <w:szCs w:val="24"/>
        </w:rPr>
        <w:t>fifth</w:t>
      </w:r>
      <w:r w:rsidR="00064259">
        <w:rPr>
          <w:color w:val="996633"/>
          <w:szCs w:val="24"/>
        </w:rPr>
        <w:t xml:space="preserve"> </w:t>
      </w:r>
      <w:r>
        <w:rPr>
          <w:szCs w:val="24"/>
        </w:rPr>
        <w:t xml:space="preserve">year of the cooperative effort with the </w:t>
      </w:r>
      <w:r w:rsidR="00CA100E" w:rsidRPr="00D611E7">
        <w:rPr>
          <w:szCs w:val="24"/>
        </w:rPr>
        <w:t>U.S.</w:t>
      </w:r>
      <w:r w:rsidR="008024DB">
        <w:rPr>
          <w:szCs w:val="24"/>
        </w:rPr>
        <w:t xml:space="preserve"> </w:t>
      </w:r>
      <w:r>
        <w:rPr>
          <w:szCs w:val="24"/>
        </w:rPr>
        <w:t>Fire Administration.</w:t>
      </w:r>
      <w:r w:rsidR="00DF5046">
        <w:rPr>
          <w:szCs w:val="24"/>
        </w:rPr>
        <w:t xml:space="preserve"> </w:t>
      </w:r>
      <w:r w:rsidR="00144F80">
        <w:rPr>
          <w:szCs w:val="24"/>
        </w:rPr>
        <w:t xml:space="preserve"> Students are given a solid foundation in the areas of fire dynamics, cause and origin determination, investigation methodology and legal concepts pertaining to the successful prosecution of criminal acts involving fire.  ATF Laboratory Services plays a critical role in this training.  FRL engineers provide fire dynamics instruction both in the class room and through practical exercises.  For many students this is their first time interacting with an engineer in the field of fire science.  Case studies and lessons learned from years of fire testing and engineering analyses are incorporated into presentations to enhance students understanding of otherwise complex material. </w:t>
      </w:r>
      <w:r w:rsidR="004852D5">
        <w:rPr>
          <w:szCs w:val="24"/>
        </w:rPr>
        <w:t xml:space="preserve"> </w:t>
      </w:r>
      <w:r w:rsidR="00144F80">
        <w:rPr>
          <w:szCs w:val="24"/>
        </w:rPr>
        <w:t>Chemists from FSL instruct students on the proper collection of evidence and the science behind sample analysis.</w:t>
      </w:r>
    </w:p>
    <w:p w:rsidR="0086342E" w:rsidRDefault="0086342E" w:rsidP="0086342E">
      <w:pPr>
        <w:spacing w:before="100" w:beforeAutospacing="1" w:after="100" w:afterAutospacing="1"/>
      </w:pPr>
      <w:r w:rsidRPr="00762F09">
        <w:t>ATF communicates with the fire and explosives investigation community through arson and explosives advisory groups, the National Bomb Squad Commander Advisory Board (NBSCAB) and the International Bomb Data Center Working Group (IBDCWG</w:t>
      </w:r>
      <w:r w:rsidR="004C629C">
        <w:t>)</w:t>
      </w:r>
      <w:r w:rsidRPr="00762F09">
        <w:t xml:space="preserve"> meetings.  Each week, the USBDC provides information on ATF’s arson and explosives investigative activity.  The advisory reports are distributed to other </w:t>
      </w:r>
      <w:r w:rsidR="00D31D89">
        <w:t>Federal</w:t>
      </w:r>
      <w:r w:rsidRPr="00762F09">
        <w:t xml:space="preserve">, </w:t>
      </w:r>
      <w:r w:rsidR="00D31D89">
        <w:t>state</w:t>
      </w:r>
      <w:r w:rsidRPr="00762F09">
        <w:t>, and local law enforcement agencies.  The USBDC also publishes explosives theft advisory reports and periodic advisories highlighting specific or emerging threats to public safety or the bomb technician community.</w:t>
      </w:r>
      <w:r w:rsidRPr="0086342E">
        <w:t xml:space="preserve"> </w:t>
      </w:r>
    </w:p>
    <w:p w:rsidR="00B160B9" w:rsidRDefault="00664145" w:rsidP="00F6491D">
      <w:pPr>
        <w:spacing w:before="100" w:beforeAutospacing="1" w:after="100" w:afterAutospacing="1"/>
      </w:pPr>
      <w:r>
        <w:t xml:space="preserve">ATF laboratory experts have played an integral part in international training through active partnerships with the ILEA, CARSI, ICITAP, and the U.S. </w:t>
      </w:r>
      <w:r w:rsidR="00D31D89">
        <w:t>State</w:t>
      </w:r>
      <w:r>
        <w:t xml:space="preserve"> Department.  </w:t>
      </w:r>
      <w:r w:rsidR="00536A21">
        <w:t>Due to</w:t>
      </w:r>
      <w:r>
        <w:t xml:space="preserve"> their recognized leadership worldwide in the profession, ATF forensic examiners have provided scientific and technical training to foreign law enforcement personnel in the Netherlands, Thailand, Canada, Morocco, and Botswana.  Laboratory personnel have </w:t>
      </w:r>
      <w:r w:rsidR="009B6D04">
        <w:t xml:space="preserve">assessed </w:t>
      </w:r>
      <w:r>
        <w:t xml:space="preserve">foreign laboratory capabilities and share their expertise in El Salvador, Costa Rica, and </w:t>
      </w:r>
      <w:r w:rsidR="009B6D04">
        <w:t xml:space="preserve">in Russia.  </w:t>
      </w:r>
    </w:p>
    <w:p w:rsidR="00B74C21" w:rsidRDefault="00B74C21" w:rsidP="00B74C21">
      <w:pPr>
        <w:spacing w:before="100" w:beforeAutospacing="1" w:after="100" w:afterAutospacing="1"/>
        <w:rPr>
          <w:b/>
          <w:bCs/>
        </w:rPr>
      </w:pPr>
    </w:p>
    <w:p w:rsidR="00B74C21" w:rsidRDefault="00B74C21" w:rsidP="00B74C21">
      <w:pPr>
        <w:spacing w:before="100" w:beforeAutospacing="1" w:after="100" w:afterAutospacing="1"/>
        <w:rPr>
          <w:b/>
          <w:bCs/>
        </w:rPr>
      </w:pPr>
    </w:p>
    <w:p w:rsidR="00B74C21" w:rsidRDefault="00B74C21" w:rsidP="00B74C21">
      <w:pPr>
        <w:spacing w:before="100" w:beforeAutospacing="1" w:after="100" w:afterAutospacing="1"/>
        <w:rPr>
          <w:b/>
          <w:bCs/>
        </w:rPr>
      </w:pPr>
    </w:p>
    <w:p w:rsidR="00B74C21" w:rsidRDefault="00B74C21" w:rsidP="00B74C21">
      <w:pPr>
        <w:spacing w:before="100" w:beforeAutospacing="1" w:after="100" w:afterAutospacing="1"/>
        <w:rPr>
          <w:b/>
          <w:bCs/>
        </w:rPr>
      </w:pPr>
    </w:p>
    <w:p w:rsidR="00B74C21" w:rsidRDefault="00B74C21" w:rsidP="00B74C21">
      <w:pPr>
        <w:spacing w:before="100" w:beforeAutospacing="1" w:after="100" w:afterAutospacing="1"/>
        <w:rPr>
          <w:b/>
          <w:bCs/>
        </w:rPr>
      </w:pPr>
    </w:p>
    <w:p w:rsidR="00B74C21" w:rsidRDefault="00B74C21" w:rsidP="00B74C21">
      <w:pPr>
        <w:spacing w:before="100" w:beforeAutospacing="1" w:after="100" w:afterAutospacing="1"/>
        <w:rPr>
          <w:b/>
          <w:bCs/>
        </w:rPr>
      </w:pPr>
    </w:p>
    <w:p w:rsidR="00B74C21" w:rsidRDefault="00B74C21" w:rsidP="00B74C21">
      <w:pPr>
        <w:spacing w:before="100" w:beforeAutospacing="1" w:after="100" w:afterAutospacing="1"/>
        <w:rPr>
          <w:b/>
          <w:bCs/>
        </w:rPr>
      </w:pPr>
    </w:p>
    <w:p w:rsidR="00B74C21" w:rsidRDefault="00B74C21" w:rsidP="00B74C21">
      <w:pPr>
        <w:spacing w:before="100" w:beforeAutospacing="1" w:after="100" w:afterAutospacing="1"/>
        <w:rPr>
          <w:b/>
          <w:bCs/>
        </w:rPr>
      </w:pPr>
    </w:p>
    <w:p w:rsidR="00B74C21" w:rsidRDefault="00B74C21" w:rsidP="00B74C21">
      <w:pPr>
        <w:spacing w:before="100" w:beforeAutospacing="1" w:after="100" w:afterAutospacing="1"/>
        <w:rPr>
          <w:b/>
          <w:bCs/>
        </w:rPr>
      </w:pPr>
    </w:p>
    <w:p w:rsidR="005C3540" w:rsidRDefault="005C3540">
      <w:pPr>
        <w:sectPr w:rsidR="005C3540" w:rsidSect="00717B89">
          <w:pgSz w:w="12240" w:h="15840" w:code="1"/>
          <w:pgMar w:top="1440" w:right="1440" w:bottom="1440" w:left="1440" w:header="720" w:footer="720" w:gutter="0"/>
          <w:cols w:space="720"/>
          <w:docGrid w:linePitch="360"/>
        </w:sectPr>
      </w:pPr>
    </w:p>
    <w:p w:rsidR="007D4B70" w:rsidRDefault="00923354" w:rsidP="007D4B70">
      <w:pPr>
        <w:spacing w:before="100" w:beforeAutospacing="1" w:after="100" w:afterAutospacing="1"/>
        <w:rPr>
          <w:b/>
          <w:bCs/>
        </w:rPr>
      </w:pPr>
      <w:r>
        <w:rPr>
          <w:b/>
          <w:bCs/>
        </w:rPr>
        <w:t xml:space="preserve">2.  </w:t>
      </w:r>
      <w:r w:rsidRPr="00581887">
        <w:rPr>
          <w:b/>
          <w:bCs/>
        </w:rPr>
        <w:t>Performance Tables -</w:t>
      </w:r>
      <w:r w:rsidR="007D4B70" w:rsidRPr="00581887">
        <w:rPr>
          <w:b/>
          <w:bCs/>
        </w:rPr>
        <w:t xml:space="preserve"> Arson and Explosives</w:t>
      </w:r>
      <w:r w:rsidR="002D1D76">
        <w:rPr>
          <w:b/>
          <w:bCs/>
        </w:rPr>
        <w:t xml:space="preserve"> </w:t>
      </w:r>
    </w:p>
    <w:p w:rsidR="004A42AA" w:rsidRPr="00762F09" w:rsidRDefault="004A42AA" w:rsidP="007D4B70">
      <w:pPr>
        <w:spacing w:before="100" w:beforeAutospacing="1" w:after="100" w:afterAutospacing="1"/>
      </w:pPr>
    </w:p>
    <w:tbl>
      <w:tblPr>
        <w:tblpPr w:leftFromText="180" w:rightFromText="180" w:vertAnchor="text" w:horzAnchor="margin" w:tblpXSpec="center" w:tblpY="-84"/>
        <w:tblW w:w="5544" w:type="pct"/>
        <w:tblLayout w:type="fixed"/>
        <w:tblCellMar>
          <w:left w:w="0" w:type="dxa"/>
          <w:right w:w="0" w:type="dxa"/>
        </w:tblCellMar>
        <w:tblLook w:val="0000"/>
      </w:tblPr>
      <w:tblGrid>
        <w:gridCol w:w="4681"/>
        <w:gridCol w:w="709"/>
        <w:gridCol w:w="1060"/>
        <w:gridCol w:w="714"/>
        <w:gridCol w:w="1077"/>
        <w:gridCol w:w="714"/>
        <w:gridCol w:w="1077"/>
        <w:gridCol w:w="735"/>
        <w:gridCol w:w="1484"/>
        <w:gridCol w:w="723"/>
        <w:gridCol w:w="1429"/>
      </w:tblGrid>
      <w:tr w:rsidR="007D4B70" w:rsidRPr="00762F09" w:rsidTr="00C6433C">
        <w:trPr>
          <w:trHeight w:val="505"/>
        </w:trPr>
        <w:tc>
          <w:tcPr>
            <w:tcW w:w="5000" w:type="pct"/>
            <w:gridSpan w:val="11"/>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bottom"/>
          </w:tcPr>
          <w:p w:rsidR="007D4B70" w:rsidRPr="00B92B25" w:rsidRDefault="007D4B70" w:rsidP="00C6433C">
            <w:pPr>
              <w:spacing w:before="100" w:beforeAutospacing="1" w:after="100" w:afterAutospacing="1"/>
              <w:jc w:val="center"/>
              <w:rPr>
                <w:b/>
                <w:color w:val="FF0000"/>
              </w:rPr>
            </w:pPr>
            <w:r w:rsidRPr="00762F09">
              <w:rPr>
                <w:b/>
                <w:sz w:val="28"/>
                <w:szCs w:val="28"/>
              </w:rPr>
              <w:br w:type="page"/>
            </w:r>
            <w:r>
              <w:rPr>
                <w:b/>
                <w:sz w:val="28"/>
                <w:szCs w:val="28"/>
              </w:rPr>
              <w:t xml:space="preserve"> </w:t>
            </w:r>
            <w:r w:rsidRPr="00762F09">
              <w:rPr>
                <w:b/>
              </w:rPr>
              <w:t>PERFORMANCE AND RESOURCES TABLE</w:t>
            </w:r>
            <w:r>
              <w:rPr>
                <w:b/>
              </w:rPr>
              <w:t xml:space="preserve"> </w:t>
            </w:r>
          </w:p>
        </w:tc>
      </w:tr>
      <w:tr w:rsidR="007D4B70" w:rsidRPr="00762F09" w:rsidTr="00C6433C">
        <w:trPr>
          <w:trHeight w:val="227"/>
        </w:trPr>
        <w:tc>
          <w:tcPr>
            <w:tcW w:w="5000" w:type="pct"/>
            <w:gridSpan w:val="11"/>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bottom"/>
          </w:tcPr>
          <w:p w:rsidR="007D4B70" w:rsidRPr="00762F09" w:rsidRDefault="007D4B70" w:rsidP="00C6433C">
            <w:pPr>
              <w:spacing w:before="100" w:beforeAutospacing="1" w:after="100" w:afterAutospacing="1"/>
              <w:rPr>
                <w:b/>
              </w:rPr>
            </w:pPr>
            <w:r w:rsidRPr="00762F09">
              <w:rPr>
                <w:b/>
              </w:rPr>
              <w:t>Decision Unit: Arson &amp; Explosives</w:t>
            </w:r>
          </w:p>
        </w:tc>
      </w:tr>
      <w:tr w:rsidR="007D4B70" w:rsidRPr="00762F09" w:rsidTr="00C6433C">
        <w:trPr>
          <w:trHeight w:val="227"/>
        </w:trPr>
        <w:tc>
          <w:tcPr>
            <w:tcW w:w="5000" w:type="pct"/>
            <w:gridSpan w:val="11"/>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bottom"/>
          </w:tcPr>
          <w:p w:rsidR="007D4B70" w:rsidRPr="00762F09" w:rsidRDefault="007D4B70" w:rsidP="00C6433C">
            <w:pPr>
              <w:spacing w:before="100" w:beforeAutospacing="1" w:after="100" w:afterAutospacing="1"/>
              <w:rPr>
                <w:b/>
              </w:rPr>
            </w:pPr>
            <w:r w:rsidRPr="00762F09">
              <w:rPr>
                <w:b/>
              </w:rPr>
              <w:t>DOJ Strategic Goal/Objective: Goal 1, Objective 1.2; Goal 2, Objective 2.2</w:t>
            </w:r>
          </w:p>
        </w:tc>
      </w:tr>
      <w:tr w:rsidR="007D4B70" w:rsidRPr="00762F09" w:rsidTr="00C6433C">
        <w:trPr>
          <w:trHeight w:val="370"/>
        </w:trPr>
        <w:tc>
          <w:tcPr>
            <w:tcW w:w="1625" w:type="pct"/>
            <w:tcBorders>
              <w:top w:val="single" w:sz="8" w:space="0" w:color="auto"/>
              <w:left w:val="single" w:sz="8" w:space="0" w:color="auto"/>
              <w:bottom w:val="single" w:sz="4" w:space="0" w:color="auto"/>
              <w:right w:val="single" w:sz="4" w:space="0" w:color="000000"/>
            </w:tcBorders>
            <w:tcMar>
              <w:top w:w="15" w:type="dxa"/>
              <w:left w:w="15" w:type="dxa"/>
              <w:bottom w:w="0" w:type="dxa"/>
              <w:right w:w="15" w:type="dxa"/>
            </w:tcMar>
            <w:vAlign w:val="bottom"/>
          </w:tcPr>
          <w:p w:rsidR="007D4B70" w:rsidRPr="00762F09" w:rsidRDefault="007D4B70" w:rsidP="00C6433C">
            <w:pPr>
              <w:spacing w:before="100" w:beforeAutospacing="1" w:after="100" w:afterAutospacing="1"/>
              <w:rPr>
                <w:rFonts w:eastAsia="Arial Unicode MS"/>
                <w:b/>
              </w:rPr>
            </w:pPr>
            <w:r w:rsidRPr="00762F09">
              <w:rPr>
                <w:b/>
              </w:rPr>
              <w:t>RESOURCES</w:t>
            </w:r>
          </w:p>
        </w:tc>
        <w:tc>
          <w:tcPr>
            <w:tcW w:w="614" w:type="pct"/>
            <w:gridSpan w:val="2"/>
            <w:tcBorders>
              <w:top w:val="single" w:sz="8" w:space="0" w:color="auto"/>
              <w:left w:val="nil"/>
              <w:bottom w:val="single" w:sz="4" w:space="0" w:color="auto"/>
              <w:right w:val="single" w:sz="4" w:space="0" w:color="000000"/>
            </w:tcBorders>
            <w:tcMar>
              <w:top w:w="15" w:type="dxa"/>
              <w:left w:w="15" w:type="dxa"/>
              <w:bottom w:w="0" w:type="dxa"/>
              <w:right w:w="15" w:type="dxa"/>
            </w:tcMar>
            <w:vAlign w:val="center"/>
          </w:tcPr>
          <w:p w:rsidR="007D4B70" w:rsidRPr="00762F09" w:rsidRDefault="007D4B70" w:rsidP="00C6433C">
            <w:pPr>
              <w:spacing w:before="100" w:beforeAutospacing="1" w:after="100" w:afterAutospacing="1"/>
              <w:jc w:val="center"/>
              <w:rPr>
                <w:rFonts w:eastAsia="Arial Unicode MS"/>
                <w:b/>
              </w:rPr>
            </w:pPr>
            <w:r w:rsidRPr="00762F09">
              <w:rPr>
                <w:b/>
              </w:rPr>
              <w:t>Final Target</w:t>
            </w:r>
          </w:p>
        </w:tc>
        <w:tc>
          <w:tcPr>
            <w:tcW w:w="622" w:type="pct"/>
            <w:gridSpan w:val="2"/>
            <w:tcBorders>
              <w:top w:val="single" w:sz="8" w:space="0" w:color="auto"/>
              <w:left w:val="nil"/>
              <w:bottom w:val="single" w:sz="4" w:space="0" w:color="auto"/>
              <w:right w:val="single" w:sz="4" w:space="0" w:color="000000"/>
            </w:tcBorders>
            <w:tcMar>
              <w:top w:w="15" w:type="dxa"/>
              <w:left w:w="15" w:type="dxa"/>
              <w:bottom w:w="0" w:type="dxa"/>
              <w:right w:w="15" w:type="dxa"/>
            </w:tcMar>
            <w:vAlign w:val="center"/>
          </w:tcPr>
          <w:p w:rsidR="007D4B70" w:rsidRPr="0029373C" w:rsidRDefault="007D4B70" w:rsidP="00C6433C">
            <w:pPr>
              <w:spacing w:before="100" w:beforeAutospacing="1" w:after="100" w:afterAutospacing="1"/>
              <w:jc w:val="center"/>
              <w:rPr>
                <w:b/>
              </w:rPr>
            </w:pPr>
            <w:r w:rsidRPr="00762F09">
              <w:rPr>
                <w:b/>
              </w:rPr>
              <w:t>Actual</w:t>
            </w:r>
          </w:p>
        </w:tc>
        <w:tc>
          <w:tcPr>
            <w:tcW w:w="622" w:type="pct"/>
            <w:gridSpan w:val="2"/>
            <w:tcBorders>
              <w:top w:val="single" w:sz="8" w:space="0" w:color="auto"/>
              <w:left w:val="nil"/>
              <w:bottom w:val="single" w:sz="4" w:space="0" w:color="auto"/>
              <w:right w:val="single" w:sz="4" w:space="0" w:color="auto"/>
            </w:tcBorders>
            <w:tcMar>
              <w:top w:w="15" w:type="dxa"/>
              <w:left w:w="15" w:type="dxa"/>
              <w:bottom w:w="0" w:type="dxa"/>
              <w:right w:w="15" w:type="dxa"/>
            </w:tcMar>
            <w:vAlign w:val="center"/>
          </w:tcPr>
          <w:p w:rsidR="007D4B70" w:rsidRPr="00762F09" w:rsidRDefault="002F3467" w:rsidP="00C6433C">
            <w:pPr>
              <w:spacing w:before="100" w:beforeAutospacing="1" w:after="100" w:afterAutospacing="1"/>
              <w:jc w:val="center"/>
              <w:rPr>
                <w:rFonts w:eastAsia="Arial Unicode MS"/>
                <w:b/>
              </w:rPr>
            </w:pPr>
            <w:r>
              <w:rPr>
                <w:rFonts w:eastAsia="Arial Unicode MS"/>
                <w:b/>
              </w:rPr>
              <w:t>Enacted</w:t>
            </w:r>
            <w:r w:rsidR="007D4B70" w:rsidRPr="00762F09">
              <w:rPr>
                <w:rFonts w:eastAsia="Arial Unicode MS"/>
                <w:b/>
              </w:rPr>
              <w:t xml:space="preserve"> </w:t>
            </w:r>
          </w:p>
        </w:tc>
        <w:tc>
          <w:tcPr>
            <w:tcW w:w="770" w:type="pct"/>
            <w:gridSpan w:val="2"/>
            <w:tcBorders>
              <w:top w:val="single" w:sz="4" w:space="0" w:color="auto"/>
              <w:left w:val="single" w:sz="4" w:space="0" w:color="auto"/>
              <w:bottom w:val="single" w:sz="4" w:space="0" w:color="auto"/>
              <w:right w:val="single" w:sz="4" w:space="0" w:color="auto"/>
            </w:tcBorders>
            <w:vAlign w:val="center"/>
          </w:tcPr>
          <w:p w:rsidR="007D4B70" w:rsidRPr="00762F09" w:rsidRDefault="007D4B70" w:rsidP="00C6433C">
            <w:pPr>
              <w:spacing w:before="100" w:beforeAutospacing="1" w:after="100" w:afterAutospacing="1"/>
              <w:ind w:left="360" w:hanging="360"/>
              <w:jc w:val="center"/>
              <w:rPr>
                <w:b/>
              </w:rPr>
            </w:pPr>
            <w:r w:rsidRPr="00762F09">
              <w:rPr>
                <w:b/>
              </w:rPr>
              <w:t>Changes</w:t>
            </w:r>
          </w:p>
        </w:tc>
        <w:tc>
          <w:tcPr>
            <w:tcW w:w="747" w:type="pct"/>
            <w:gridSpan w:val="2"/>
            <w:tcBorders>
              <w:top w:val="single" w:sz="4" w:space="0" w:color="auto"/>
              <w:left w:val="single" w:sz="4" w:space="0" w:color="auto"/>
              <w:bottom w:val="single" w:sz="4" w:space="0" w:color="auto"/>
              <w:right w:val="single" w:sz="4" w:space="0" w:color="auto"/>
            </w:tcBorders>
            <w:vAlign w:val="center"/>
          </w:tcPr>
          <w:p w:rsidR="007D4B70" w:rsidRPr="00762F09" w:rsidRDefault="007D4B70" w:rsidP="00C6433C">
            <w:pPr>
              <w:spacing w:before="100" w:beforeAutospacing="1" w:after="100" w:afterAutospacing="1"/>
              <w:jc w:val="center"/>
              <w:rPr>
                <w:b/>
              </w:rPr>
            </w:pPr>
            <w:r w:rsidRPr="00762F09">
              <w:rPr>
                <w:b/>
              </w:rPr>
              <w:t>Requested (Total)</w:t>
            </w:r>
          </w:p>
        </w:tc>
      </w:tr>
      <w:tr w:rsidR="007D4B70" w:rsidRPr="00762F09" w:rsidTr="00C6433C">
        <w:trPr>
          <w:trHeight w:val="515"/>
        </w:trPr>
        <w:tc>
          <w:tcPr>
            <w:tcW w:w="1625" w:type="pct"/>
            <w:tcBorders>
              <w:top w:val="single" w:sz="4" w:space="0" w:color="auto"/>
              <w:left w:val="single" w:sz="8" w:space="0" w:color="auto"/>
              <w:bottom w:val="single" w:sz="4" w:space="0" w:color="auto"/>
              <w:right w:val="single" w:sz="4" w:space="0" w:color="000000"/>
            </w:tcBorders>
            <w:noWrap/>
            <w:tcMar>
              <w:top w:w="15" w:type="dxa"/>
              <w:left w:w="15" w:type="dxa"/>
              <w:bottom w:w="0" w:type="dxa"/>
              <w:right w:w="15" w:type="dxa"/>
            </w:tcMar>
            <w:vAlign w:val="bottom"/>
          </w:tcPr>
          <w:p w:rsidR="007D4B70" w:rsidRPr="00762F09" w:rsidRDefault="007D4B70" w:rsidP="00C6433C">
            <w:pPr>
              <w:tabs>
                <w:tab w:val="left" w:pos="15480"/>
              </w:tabs>
              <w:spacing w:before="100" w:beforeAutospacing="1" w:after="100" w:afterAutospacing="1"/>
              <w:ind w:left="360"/>
              <w:rPr>
                <w:rFonts w:eastAsia="Arial Unicode MS"/>
              </w:rPr>
            </w:pPr>
            <w:r w:rsidRPr="00762F09">
              <w:t> </w:t>
            </w:r>
          </w:p>
        </w:tc>
        <w:tc>
          <w:tcPr>
            <w:tcW w:w="614" w:type="pct"/>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7D4B70" w:rsidRPr="00762F09" w:rsidRDefault="007D4B70" w:rsidP="00C6433C">
            <w:pPr>
              <w:spacing w:before="100" w:beforeAutospacing="1" w:after="100" w:afterAutospacing="1"/>
              <w:jc w:val="center"/>
              <w:rPr>
                <w:b/>
              </w:rPr>
            </w:pPr>
            <w:r>
              <w:rPr>
                <w:b/>
              </w:rPr>
              <w:t>FY 2011</w:t>
            </w:r>
          </w:p>
        </w:tc>
        <w:tc>
          <w:tcPr>
            <w:tcW w:w="622" w:type="pct"/>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7D4B70" w:rsidRPr="00762F09" w:rsidRDefault="007D4B70" w:rsidP="00C6433C">
            <w:pPr>
              <w:spacing w:before="100" w:beforeAutospacing="1" w:after="100" w:afterAutospacing="1"/>
              <w:jc w:val="center"/>
              <w:rPr>
                <w:rFonts w:eastAsia="Arial Unicode MS"/>
                <w:b/>
              </w:rPr>
            </w:pPr>
            <w:r w:rsidRPr="00762F09">
              <w:rPr>
                <w:b/>
              </w:rPr>
              <w:t>FY 20</w:t>
            </w:r>
            <w:r>
              <w:rPr>
                <w:b/>
              </w:rPr>
              <w:t>11</w:t>
            </w:r>
          </w:p>
        </w:tc>
        <w:tc>
          <w:tcPr>
            <w:tcW w:w="622" w:type="pct"/>
            <w:gridSpan w:val="2"/>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7D4B70" w:rsidRPr="00DD66BD" w:rsidRDefault="007D4B70" w:rsidP="00C6433C">
            <w:pPr>
              <w:spacing w:before="100" w:beforeAutospacing="1" w:after="100" w:afterAutospacing="1"/>
              <w:jc w:val="center"/>
              <w:rPr>
                <w:b/>
              </w:rPr>
            </w:pPr>
            <w:r>
              <w:rPr>
                <w:b/>
              </w:rPr>
              <w:t>FY 2012</w:t>
            </w:r>
          </w:p>
        </w:tc>
        <w:tc>
          <w:tcPr>
            <w:tcW w:w="770" w:type="pct"/>
            <w:gridSpan w:val="2"/>
            <w:tcBorders>
              <w:top w:val="single" w:sz="4" w:space="0" w:color="auto"/>
              <w:left w:val="nil"/>
              <w:bottom w:val="single" w:sz="8" w:space="0" w:color="auto"/>
              <w:right w:val="single" w:sz="4" w:space="0" w:color="000000"/>
            </w:tcBorders>
            <w:tcMar>
              <w:top w:w="15" w:type="dxa"/>
              <w:left w:w="15" w:type="dxa"/>
              <w:bottom w:w="0" w:type="dxa"/>
              <w:right w:w="15" w:type="dxa"/>
            </w:tcMar>
            <w:vAlign w:val="center"/>
          </w:tcPr>
          <w:p w:rsidR="007D4B70" w:rsidRPr="00762F09" w:rsidRDefault="007D4B70" w:rsidP="00C6433C">
            <w:pPr>
              <w:spacing w:before="100" w:beforeAutospacing="1" w:after="100" w:afterAutospacing="1"/>
              <w:jc w:val="center"/>
              <w:rPr>
                <w:rFonts w:eastAsia="Arial Unicode MS"/>
                <w:b/>
              </w:rPr>
            </w:pPr>
            <w:r w:rsidRPr="00762F09">
              <w:rPr>
                <w:rFonts w:eastAsia="Arial Unicode MS"/>
                <w:b/>
              </w:rPr>
              <w:t>Current S</w:t>
            </w:r>
            <w:r>
              <w:rPr>
                <w:rFonts w:eastAsia="Arial Unicode MS"/>
                <w:b/>
              </w:rPr>
              <w:t>ervices Adjustments and FY 2013</w:t>
            </w:r>
            <w:r w:rsidRPr="00762F09">
              <w:rPr>
                <w:rFonts w:eastAsia="Arial Unicode MS"/>
                <w:b/>
              </w:rPr>
              <w:t xml:space="preserve"> Program Change</w:t>
            </w:r>
          </w:p>
        </w:tc>
        <w:tc>
          <w:tcPr>
            <w:tcW w:w="747"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D4B70" w:rsidRPr="00762F09" w:rsidRDefault="007D4B70" w:rsidP="00C6433C">
            <w:pPr>
              <w:spacing w:before="100" w:beforeAutospacing="1" w:after="100" w:afterAutospacing="1"/>
              <w:jc w:val="center"/>
              <w:rPr>
                <w:rFonts w:eastAsia="Arial Unicode MS"/>
                <w:b/>
              </w:rPr>
            </w:pPr>
            <w:r>
              <w:rPr>
                <w:b/>
              </w:rPr>
              <w:t>FY 2013</w:t>
            </w:r>
            <w:r w:rsidRPr="00762F09">
              <w:rPr>
                <w:b/>
              </w:rPr>
              <w:t xml:space="preserve"> Request</w:t>
            </w:r>
          </w:p>
        </w:tc>
      </w:tr>
      <w:tr w:rsidR="007D4B70" w:rsidRPr="00762F09" w:rsidTr="00C6433C">
        <w:trPr>
          <w:trHeight w:val="227"/>
        </w:trPr>
        <w:tc>
          <w:tcPr>
            <w:tcW w:w="1625" w:type="pct"/>
            <w:vMerge w:val="restart"/>
            <w:tcBorders>
              <w:top w:val="single" w:sz="4" w:space="0" w:color="auto"/>
              <w:left w:val="single" w:sz="8" w:space="0" w:color="auto"/>
              <w:bottom w:val="single" w:sz="4" w:space="0" w:color="000000"/>
              <w:right w:val="single" w:sz="4" w:space="0" w:color="000000"/>
            </w:tcBorders>
            <w:tcMar>
              <w:top w:w="15" w:type="dxa"/>
              <w:left w:w="15" w:type="dxa"/>
              <w:bottom w:w="0" w:type="dxa"/>
              <w:right w:w="15" w:type="dxa"/>
            </w:tcMar>
          </w:tcPr>
          <w:p w:rsidR="007D4B70" w:rsidRPr="00A13F4F" w:rsidRDefault="007D4B70" w:rsidP="00C6433C">
            <w:pPr>
              <w:spacing w:before="100" w:beforeAutospacing="1" w:after="100" w:afterAutospacing="1"/>
              <w:rPr>
                <w:rFonts w:eastAsia="Arial Unicode MS"/>
                <w:b/>
                <w:color w:val="FF0000"/>
              </w:rPr>
            </w:pPr>
            <w:r w:rsidRPr="00762F09">
              <w:rPr>
                <w:b/>
              </w:rPr>
              <w:t>Total Costs and FTE</w:t>
            </w:r>
          </w:p>
        </w:tc>
        <w:tc>
          <w:tcPr>
            <w:tcW w:w="246" w:type="pct"/>
            <w:tcBorders>
              <w:top w:val="nil"/>
              <w:left w:val="nil"/>
              <w:bottom w:val="single" w:sz="4" w:space="0" w:color="auto"/>
              <w:right w:val="single" w:sz="4" w:space="0" w:color="auto"/>
            </w:tcBorders>
            <w:tcMar>
              <w:top w:w="15" w:type="dxa"/>
              <w:left w:w="15" w:type="dxa"/>
              <w:bottom w:w="0" w:type="dxa"/>
              <w:right w:w="15" w:type="dxa"/>
            </w:tcMar>
            <w:vAlign w:val="bottom"/>
          </w:tcPr>
          <w:p w:rsidR="007D4B70" w:rsidRPr="00762F09" w:rsidRDefault="007D4B70" w:rsidP="00C6433C">
            <w:pPr>
              <w:pStyle w:val="Heading4"/>
              <w:spacing w:before="100" w:beforeAutospacing="1" w:after="100" w:afterAutospacing="1"/>
              <w:rPr>
                <w:rFonts w:eastAsia="Arial Unicode MS"/>
                <w:szCs w:val="24"/>
              </w:rPr>
            </w:pPr>
            <w:r w:rsidRPr="00762F09">
              <w:rPr>
                <w:szCs w:val="24"/>
              </w:rPr>
              <w:t>FTE</w:t>
            </w:r>
          </w:p>
        </w:tc>
        <w:tc>
          <w:tcPr>
            <w:tcW w:w="368" w:type="pct"/>
            <w:tcBorders>
              <w:top w:val="nil"/>
              <w:left w:val="nil"/>
              <w:bottom w:val="single" w:sz="4" w:space="0" w:color="auto"/>
              <w:right w:val="single" w:sz="4" w:space="0" w:color="auto"/>
            </w:tcBorders>
            <w:tcMar>
              <w:top w:w="15" w:type="dxa"/>
              <w:left w:w="15" w:type="dxa"/>
              <w:bottom w:w="0" w:type="dxa"/>
              <w:right w:w="15" w:type="dxa"/>
            </w:tcMar>
            <w:vAlign w:val="bottom"/>
          </w:tcPr>
          <w:p w:rsidR="007D4B70" w:rsidRPr="00762F09" w:rsidRDefault="007D4B70" w:rsidP="00C6433C">
            <w:pPr>
              <w:spacing w:before="100" w:beforeAutospacing="1" w:after="100" w:afterAutospacing="1"/>
              <w:jc w:val="center"/>
              <w:rPr>
                <w:rFonts w:eastAsia="Arial Unicode MS"/>
                <w:b/>
              </w:rPr>
            </w:pPr>
            <w:r w:rsidRPr="00762F09">
              <w:rPr>
                <w:b/>
              </w:rPr>
              <w:t>$000</w:t>
            </w:r>
          </w:p>
        </w:tc>
        <w:tc>
          <w:tcPr>
            <w:tcW w:w="24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D4B70" w:rsidRPr="00762F09" w:rsidRDefault="007D4B70" w:rsidP="00C6433C">
            <w:pPr>
              <w:pStyle w:val="Heading4"/>
              <w:spacing w:before="100" w:beforeAutospacing="1" w:after="100" w:afterAutospacing="1"/>
              <w:rPr>
                <w:rFonts w:eastAsia="Arial Unicode MS"/>
                <w:szCs w:val="24"/>
              </w:rPr>
            </w:pPr>
            <w:r w:rsidRPr="00762F09">
              <w:rPr>
                <w:szCs w:val="24"/>
              </w:rPr>
              <w:t>FTE</w:t>
            </w:r>
          </w:p>
        </w:tc>
        <w:tc>
          <w:tcPr>
            <w:tcW w:w="374"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D4B70" w:rsidRPr="00762F09" w:rsidRDefault="007D4B70" w:rsidP="00C6433C">
            <w:pPr>
              <w:spacing w:before="100" w:beforeAutospacing="1" w:after="100" w:afterAutospacing="1"/>
              <w:jc w:val="center"/>
              <w:rPr>
                <w:rFonts w:eastAsia="Arial Unicode MS"/>
                <w:b/>
              </w:rPr>
            </w:pPr>
            <w:r w:rsidRPr="00762F09">
              <w:rPr>
                <w:b/>
              </w:rPr>
              <w:t>$000</w:t>
            </w:r>
          </w:p>
        </w:tc>
        <w:tc>
          <w:tcPr>
            <w:tcW w:w="24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D4B70" w:rsidRPr="00762F09" w:rsidRDefault="007D4B70" w:rsidP="00C6433C">
            <w:pPr>
              <w:spacing w:before="100" w:beforeAutospacing="1" w:after="100" w:afterAutospacing="1"/>
              <w:jc w:val="center"/>
              <w:rPr>
                <w:rFonts w:eastAsia="Arial Unicode MS"/>
                <w:b/>
              </w:rPr>
            </w:pPr>
            <w:r w:rsidRPr="00762F09">
              <w:rPr>
                <w:b/>
              </w:rPr>
              <w:t>FTE</w:t>
            </w:r>
          </w:p>
        </w:tc>
        <w:tc>
          <w:tcPr>
            <w:tcW w:w="374" w:type="pct"/>
            <w:tcBorders>
              <w:top w:val="nil"/>
              <w:left w:val="nil"/>
              <w:bottom w:val="single" w:sz="4" w:space="0" w:color="auto"/>
              <w:right w:val="single" w:sz="4" w:space="0" w:color="auto"/>
            </w:tcBorders>
            <w:tcMar>
              <w:top w:w="15" w:type="dxa"/>
              <w:left w:w="15" w:type="dxa"/>
              <w:bottom w:w="0" w:type="dxa"/>
              <w:right w:w="15" w:type="dxa"/>
            </w:tcMar>
            <w:vAlign w:val="bottom"/>
          </w:tcPr>
          <w:p w:rsidR="007D4B70" w:rsidRPr="00762F09" w:rsidRDefault="007D4B70" w:rsidP="00C6433C">
            <w:pPr>
              <w:spacing w:before="100" w:beforeAutospacing="1" w:after="100" w:afterAutospacing="1"/>
              <w:jc w:val="center"/>
              <w:rPr>
                <w:rFonts w:eastAsia="Arial Unicode MS"/>
                <w:b/>
              </w:rPr>
            </w:pPr>
            <w:r w:rsidRPr="00762F09">
              <w:rPr>
                <w:b/>
              </w:rPr>
              <w:t>$000</w:t>
            </w:r>
          </w:p>
        </w:tc>
        <w:tc>
          <w:tcPr>
            <w:tcW w:w="25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D4B70" w:rsidRPr="00762F09" w:rsidRDefault="007D4B70" w:rsidP="00C6433C">
            <w:pPr>
              <w:spacing w:before="100" w:beforeAutospacing="1" w:after="100" w:afterAutospacing="1"/>
              <w:jc w:val="center"/>
              <w:rPr>
                <w:rFonts w:eastAsia="Arial Unicode MS"/>
                <w:b/>
              </w:rPr>
            </w:pPr>
            <w:r w:rsidRPr="00762F09">
              <w:rPr>
                <w:b/>
              </w:rPr>
              <w:t>FTE</w:t>
            </w:r>
          </w:p>
        </w:tc>
        <w:tc>
          <w:tcPr>
            <w:tcW w:w="515" w:type="pct"/>
            <w:tcBorders>
              <w:top w:val="nil"/>
              <w:left w:val="nil"/>
              <w:bottom w:val="single" w:sz="4" w:space="0" w:color="auto"/>
              <w:right w:val="single" w:sz="4" w:space="0" w:color="auto"/>
            </w:tcBorders>
            <w:tcMar>
              <w:top w:w="15" w:type="dxa"/>
              <w:left w:w="15" w:type="dxa"/>
              <w:bottom w:w="0" w:type="dxa"/>
              <w:right w:w="15" w:type="dxa"/>
            </w:tcMar>
            <w:vAlign w:val="bottom"/>
          </w:tcPr>
          <w:p w:rsidR="007D4B70" w:rsidRPr="00762F09" w:rsidRDefault="007D4B70" w:rsidP="00C6433C">
            <w:pPr>
              <w:spacing w:before="100" w:beforeAutospacing="1" w:after="100" w:afterAutospacing="1"/>
              <w:jc w:val="center"/>
              <w:rPr>
                <w:rFonts w:eastAsia="Arial Unicode MS"/>
                <w:b/>
              </w:rPr>
            </w:pPr>
            <w:r w:rsidRPr="00762F09">
              <w:rPr>
                <w:b/>
              </w:rPr>
              <w:t>$000</w:t>
            </w:r>
          </w:p>
        </w:tc>
        <w:tc>
          <w:tcPr>
            <w:tcW w:w="251"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D4B70" w:rsidRPr="00762F09" w:rsidRDefault="007D4B70" w:rsidP="00C6433C">
            <w:pPr>
              <w:spacing w:before="100" w:beforeAutospacing="1" w:after="100" w:afterAutospacing="1"/>
              <w:jc w:val="center"/>
              <w:rPr>
                <w:rFonts w:eastAsia="Arial Unicode MS"/>
                <w:b/>
              </w:rPr>
            </w:pPr>
            <w:r w:rsidRPr="00762F09">
              <w:rPr>
                <w:rFonts w:eastAsia="Arial Unicode MS"/>
                <w:b/>
              </w:rPr>
              <w:t>FTE</w:t>
            </w:r>
          </w:p>
        </w:tc>
        <w:tc>
          <w:tcPr>
            <w:tcW w:w="496" w:type="pct"/>
            <w:tcBorders>
              <w:top w:val="nil"/>
              <w:left w:val="nil"/>
              <w:bottom w:val="single" w:sz="4" w:space="0" w:color="auto"/>
              <w:right w:val="single" w:sz="4" w:space="0" w:color="auto"/>
            </w:tcBorders>
            <w:vAlign w:val="bottom"/>
          </w:tcPr>
          <w:p w:rsidR="007D4B70" w:rsidRPr="00762F09" w:rsidRDefault="007D4B70" w:rsidP="00C6433C">
            <w:pPr>
              <w:spacing w:before="100" w:beforeAutospacing="1" w:after="100" w:afterAutospacing="1"/>
              <w:jc w:val="center"/>
              <w:rPr>
                <w:rFonts w:eastAsia="Arial Unicode MS"/>
                <w:b/>
              </w:rPr>
            </w:pPr>
            <w:r w:rsidRPr="00762F09">
              <w:rPr>
                <w:b/>
              </w:rPr>
              <w:t>$000</w:t>
            </w:r>
          </w:p>
        </w:tc>
      </w:tr>
      <w:tr w:rsidR="007D4B70" w:rsidRPr="00762F09" w:rsidTr="00C6433C">
        <w:trPr>
          <w:trHeight w:val="227"/>
        </w:trPr>
        <w:tc>
          <w:tcPr>
            <w:tcW w:w="1625" w:type="pct"/>
            <w:vMerge/>
            <w:tcBorders>
              <w:top w:val="single" w:sz="4" w:space="0" w:color="auto"/>
              <w:left w:val="single" w:sz="8" w:space="0" w:color="auto"/>
              <w:bottom w:val="single" w:sz="4" w:space="0" w:color="auto"/>
              <w:right w:val="single" w:sz="4" w:space="0" w:color="000000"/>
            </w:tcBorders>
            <w:vAlign w:val="center"/>
          </w:tcPr>
          <w:p w:rsidR="007D4B70" w:rsidRPr="00762F09" w:rsidRDefault="007D4B70" w:rsidP="00C6433C">
            <w:pPr>
              <w:spacing w:before="100" w:beforeAutospacing="1" w:after="100" w:afterAutospacing="1"/>
              <w:rPr>
                <w:rFonts w:eastAsia="Arial Unicode MS"/>
                <w:b/>
              </w:rPr>
            </w:pPr>
          </w:p>
        </w:tc>
        <w:tc>
          <w:tcPr>
            <w:tcW w:w="246" w:type="pct"/>
            <w:tcBorders>
              <w:top w:val="nil"/>
              <w:left w:val="nil"/>
              <w:bottom w:val="single" w:sz="4" w:space="0" w:color="auto"/>
              <w:right w:val="nil"/>
            </w:tcBorders>
            <w:noWrap/>
            <w:tcMar>
              <w:top w:w="15" w:type="dxa"/>
              <w:left w:w="15" w:type="dxa"/>
              <w:bottom w:w="0" w:type="dxa"/>
              <w:right w:w="15" w:type="dxa"/>
            </w:tcMar>
            <w:vAlign w:val="bottom"/>
          </w:tcPr>
          <w:p w:rsidR="007D4B70" w:rsidRPr="00762F09" w:rsidRDefault="007D4B70" w:rsidP="00C6433C">
            <w:pPr>
              <w:spacing w:before="100" w:beforeAutospacing="1" w:after="100" w:afterAutospacing="1"/>
              <w:ind w:left="-25"/>
              <w:jc w:val="center"/>
              <w:rPr>
                <w:rFonts w:eastAsia="Arial Unicode MS"/>
                <w:b/>
              </w:rPr>
            </w:pPr>
            <w:r>
              <w:rPr>
                <w:rFonts w:eastAsia="Arial Unicode MS"/>
                <w:b/>
              </w:rPr>
              <w:t>1,</w:t>
            </w:r>
            <w:r w:rsidR="00F9613E">
              <w:rPr>
                <w:rFonts w:eastAsia="Arial Unicode MS"/>
                <w:b/>
              </w:rPr>
              <w:t>156</w:t>
            </w:r>
          </w:p>
        </w:tc>
        <w:tc>
          <w:tcPr>
            <w:tcW w:w="368"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D4B70" w:rsidRPr="00762F09" w:rsidRDefault="007D4B70" w:rsidP="00C6433C">
            <w:pPr>
              <w:spacing w:before="100" w:beforeAutospacing="1" w:after="100" w:afterAutospacing="1"/>
              <w:ind w:left="-25"/>
              <w:jc w:val="center"/>
              <w:rPr>
                <w:rFonts w:eastAsia="Arial Unicode MS"/>
                <w:b/>
              </w:rPr>
            </w:pPr>
            <w:r>
              <w:rPr>
                <w:rFonts w:eastAsia="Arial Unicode MS"/>
                <w:b/>
              </w:rPr>
              <w:t>$255,885</w:t>
            </w:r>
          </w:p>
        </w:tc>
        <w:tc>
          <w:tcPr>
            <w:tcW w:w="248" w:type="pct"/>
            <w:tcBorders>
              <w:top w:val="nil"/>
              <w:left w:val="nil"/>
              <w:bottom w:val="single" w:sz="4" w:space="0" w:color="auto"/>
              <w:right w:val="nil"/>
            </w:tcBorders>
            <w:noWrap/>
            <w:tcMar>
              <w:top w:w="15" w:type="dxa"/>
              <w:left w:w="15" w:type="dxa"/>
              <w:bottom w:w="0" w:type="dxa"/>
              <w:right w:w="15" w:type="dxa"/>
            </w:tcMar>
            <w:vAlign w:val="bottom"/>
          </w:tcPr>
          <w:p w:rsidR="007D4B70" w:rsidRPr="006D63ED" w:rsidRDefault="00335ABD" w:rsidP="00C6433C">
            <w:pPr>
              <w:spacing w:before="100" w:beforeAutospacing="1" w:after="100" w:afterAutospacing="1"/>
              <w:ind w:left="-25"/>
              <w:jc w:val="center"/>
              <w:rPr>
                <w:rFonts w:eastAsia="Arial Unicode MS"/>
                <w:b/>
                <w:highlight w:val="yellow"/>
              </w:rPr>
            </w:pPr>
            <w:r>
              <w:rPr>
                <w:rFonts w:eastAsia="Arial Unicode MS"/>
                <w:b/>
              </w:rPr>
              <w:t>1</w:t>
            </w:r>
            <w:r w:rsidR="0022554A">
              <w:rPr>
                <w:rFonts w:eastAsia="Arial Unicode MS"/>
                <w:b/>
              </w:rPr>
              <w:t>,</w:t>
            </w:r>
            <w:r>
              <w:rPr>
                <w:rFonts w:eastAsia="Arial Unicode MS"/>
                <w:b/>
              </w:rPr>
              <w:t>077</w:t>
            </w:r>
          </w:p>
        </w:tc>
        <w:tc>
          <w:tcPr>
            <w:tcW w:w="374"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D4B70" w:rsidRPr="006D63ED" w:rsidRDefault="00335ABD" w:rsidP="00C6433C">
            <w:pPr>
              <w:spacing w:before="100" w:beforeAutospacing="1" w:after="100" w:afterAutospacing="1"/>
              <w:ind w:left="-25"/>
              <w:jc w:val="center"/>
              <w:rPr>
                <w:rFonts w:eastAsia="Arial Unicode MS"/>
                <w:b/>
                <w:highlight w:val="yellow"/>
              </w:rPr>
            </w:pPr>
            <w:r>
              <w:rPr>
                <w:rFonts w:eastAsia="Arial Unicode MS"/>
                <w:b/>
              </w:rPr>
              <w:t>$248,579</w:t>
            </w:r>
          </w:p>
        </w:tc>
        <w:tc>
          <w:tcPr>
            <w:tcW w:w="248"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D4B70" w:rsidRPr="00762F09" w:rsidRDefault="007D4B70" w:rsidP="00C6433C">
            <w:pPr>
              <w:spacing w:before="100" w:beforeAutospacing="1" w:after="100" w:afterAutospacing="1"/>
              <w:jc w:val="center"/>
              <w:rPr>
                <w:rFonts w:eastAsia="Arial Unicode MS"/>
                <w:b/>
              </w:rPr>
            </w:pPr>
            <w:r>
              <w:rPr>
                <w:rFonts w:eastAsia="Arial Unicode MS"/>
                <w:b/>
              </w:rPr>
              <w:t>1,</w:t>
            </w:r>
            <w:r w:rsidR="000E4473">
              <w:rPr>
                <w:rFonts w:eastAsia="Arial Unicode MS"/>
                <w:b/>
              </w:rPr>
              <w:t>1</w:t>
            </w:r>
            <w:r w:rsidR="00BF346B">
              <w:rPr>
                <w:rFonts w:eastAsia="Arial Unicode MS"/>
                <w:b/>
              </w:rPr>
              <w:t>56</w:t>
            </w:r>
          </w:p>
        </w:tc>
        <w:tc>
          <w:tcPr>
            <w:tcW w:w="37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D4B70" w:rsidRPr="00762F09" w:rsidRDefault="007D4B70" w:rsidP="00C022D3">
            <w:pPr>
              <w:spacing w:before="100" w:beforeAutospacing="1" w:after="100" w:afterAutospacing="1"/>
              <w:jc w:val="center"/>
              <w:rPr>
                <w:rFonts w:eastAsia="Arial Unicode MS"/>
                <w:b/>
              </w:rPr>
            </w:pPr>
            <w:r w:rsidRPr="00762F09">
              <w:rPr>
                <w:rFonts w:eastAsia="Arial Unicode MS"/>
                <w:b/>
              </w:rPr>
              <w:t>$</w:t>
            </w:r>
            <w:r w:rsidR="00C022D3">
              <w:rPr>
                <w:rFonts w:eastAsia="Arial Unicode MS"/>
                <w:b/>
              </w:rPr>
              <w:t>253</w:t>
            </w:r>
            <w:r>
              <w:rPr>
                <w:rFonts w:eastAsia="Arial Unicode MS"/>
                <w:b/>
              </w:rPr>
              <w:t>,</w:t>
            </w:r>
            <w:r w:rsidR="00C022D3">
              <w:rPr>
                <w:rFonts w:eastAsia="Arial Unicode MS"/>
                <w:b/>
              </w:rPr>
              <w:t>440</w:t>
            </w:r>
          </w:p>
        </w:tc>
        <w:tc>
          <w:tcPr>
            <w:tcW w:w="25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D4B70" w:rsidRPr="00705006" w:rsidRDefault="007D4B70" w:rsidP="00C022D3">
            <w:pPr>
              <w:spacing w:before="100" w:beforeAutospacing="1" w:after="100" w:afterAutospacing="1"/>
              <w:jc w:val="center"/>
              <w:rPr>
                <w:rFonts w:eastAsia="Arial Unicode MS"/>
                <w:b/>
              </w:rPr>
            </w:pPr>
            <w:r>
              <w:rPr>
                <w:rFonts w:eastAsia="Arial Unicode MS"/>
                <w:b/>
              </w:rPr>
              <w:t>(</w:t>
            </w:r>
            <w:r w:rsidR="000E4473">
              <w:rPr>
                <w:rFonts w:eastAsia="Arial Unicode MS"/>
                <w:b/>
              </w:rPr>
              <w:t>8</w:t>
            </w:r>
            <w:r w:rsidR="00C022D3">
              <w:rPr>
                <w:rFonts w:eastAsia="Arial Unicode MS"/>
                <w:b/>
              </w:rPr>
              <w:t>6</w:t>
            </w:r>
            <w:r>
              <w:rPr>
                <w:rFonts w:eastAsia="Arial Unicode MS"/>
                <w:b/>
              </w:rPr>
              <w:t>)</w:t>
            </w:r>
          </w:p>
        </w:tc>
        <w:tc>
          <w:tcPr>
            <w:tcW w:w="515"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D4B70" w:rsidRPr="00705006" w:rsidRDefault="007D4B70" w:rsidP="00C022D3">
            <w:pPr>
              <w:spacing w:before="100" w:beforeAutospacing="1" w:after="100" w:afterAutospacing="1"/>
              <w:jc w:val="center"/>
              <w:rPr>
                <w:rFonts w:eastAsia="Arial Unicode MS"/>
                <w:b/>
              </w:rPr>
            </w:pPr>
            <w:r>
              <w:rPr>
                <w:rFonts w:eastAsia="Arial Unicode MS"/>
                <w:b/>
              </w:rPr>
              <w:t>$</w:t>
            </w:r>
            <w:r w:rsidR="00C022D3">
              <w:rPr>
                <w:rFonts w:eastAsia="Arial Unicode MS"/>
                <w:b/>
              </w:rPr>
              <w:t>296</w:t>
            </w:r>
          </w:p>
        </w:tc>
        <w:tc>
          <w:tcPr>
            <w:tcW w:w="25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D4B70" w:rsidRPr="00705006" w:rsidRDefault="007D4B70" w:rsidP="00C022D3">
            <w:pPr>
              <w:spacing w:before="100" w:beforeAutospacing="1" w:after="100" w:afterAutospacing="1"/>
              <w:jc w:val="center"/>
              <w:rPr>
                <w:rFonts w:eastAsia="Arial Unicode MS"/>
                <w:b/>
              </w:rPr>
            </w:pPr>
            <w:r>
              <w:rPr>
                <w:rFonts w:eastAsia="Arial Unicode MS"/>
                <w:b/>
              </w:rPr>
              <w:t>1,</w:t>
            </w:r>
            <w:r w:rsidR="000E4473">
              <w:rPr>
                <w:rFonts w:eastAsia="Arial Unicode MS"/>
                <w:b/>
              </w:rPr>
              <w:t>070</w:t>
            </w:r>
          </w:p>
        </w:tc>
        <w:tc>
          <w:tcPr>
            <w:tcW w:w="496" w:type="pct"/>
            <w:tcBorders>
              <w:top w:val="single" w:sz="4" w:space="0" w:color="auto"/>
              <w:left w:val="single" w:sz="4" w:space="0" w:color="auto"/>
              <w:bottom w:val="single" w:sz="4" w:space="0" w:color="auto"/>
              <w:right w:val="single" w:sz="4" w:space="0" w:color="auto"/>
            </w:tcBorders>
            <w:vAlign w:val="bottom"/>
          </w:tcPr>
          <w:p w:rsidR="007D4B70" w:rsidRPr="00705006" w:rsidRDefault="007D4B70" w:rsidP="00C022D3">
            <w:pPr>
              <w:spacing w:before="100" w:beforeAutospacing="1" w:after="100" w:afterAutospacing="1"/>
              <w:jc w:val="center"/>
              <w:rPr>
                <w:rFonts w:eastAsia="Arial Unicode MS"/>
                <w:b/>
              </w:rPr>
            </w:pPr>
            <w:r>
              <w:rPr>
                <w:rFonts w:eastAsia="Arial Unicode MS"/>
                <w:b/>
              </w:rPr>
              <w:t>$</w:t>
            </w:r>
            <w:r w:rsidR="00C022D3">
              <w:rPr>
                <w:rFonts w:eastAsia="Arial Unicode MS"/>
                <w:b/>
              </w:rPr>
              <w:t>253,736</w:t>
            </w:r>
          </w:p>
        </w:tc>
      </w:tr>
    </w:tbl>
    <w:tbl>
      <w:tblPr>
        <w:tblpPr w:leftFromText="180" w:rightFromText="180" w:vertAnchor="text" w:horzAnchor="margin" w:tblpXSpec="center" w:tblpY="80"/>
        <w:tblW w:w="5548" w:type="pct"/>
        <w:tblLayout w:type="fixed"/>
        <w:tblCellMar>
          <w:left w:w="0" w:type="dxa"/>
          <w:right w:w="0" w:type="dxa"/>
        </w:tblCellMar>
        <w:tblLook w:val="0000"/>
      </w:tblPr>
      <w:tblGrid>
        <w:gridCol w:w="2159"/>
        <w:gridCol w:w="2521"/>
        <w:gridCol w:w="709"/>
        <w:gridCol w:w="193"/>
        <w:gridCol w:w="824"/>
        <w:gridCol w:w="758"/>
        <w:gridCol w:w="37"/>
        <w:gridCol w:w="1005"/>
        <w:gridCol w:w="749"/>
        <w:gridCol w:w="49"/>
        <w:gridCol w:w="1002"/>
        <w:gridCol w:w="760"/>
        <w:gridCol w:w="35"/>
        <w:gridCol w:w="1458"/>
        <w:gridCol w:w="608"/>
        <w:gridCol w:w="107"/>
        <w:gridCol w:w="1429"/>
      </w:tblGrid>
      <w:tr w:rsidR="007D4B70" w:rsidRPr="00762F09" w:rsidTr="007D4B70">
        <w:trPr>
          <w:trHeight w:val="227"/>
        </w:trPr>
        <w:tc>
          <w:tcPr>
            <w:tcW w:w="749" w:type="pct"/>
            <w:vMerge w:val="restart"/>
            <w:tcBorders>
              <w:top w:val="single" w:sz="4" w:space="0" w:color="auto"/>
              <w:left w:val="single" w:sz="4" w:space="0" w:color="auto"/>
              <w:bottom w:val="nil"/>
              <w:right w:val="nil"/>
            </w:tcBorders>
            <w:tcMar>
              <w:top w:w="15" w:type="dxa"/>
              <w:left w:w="15" w:type="dxa"/>
              <w:bottom w:w="0" w:type="dxa"/>
              <w:right w:w="15" w:type="dxa"/>
            </w:tcMar>
            <w:vAlign w:val="center"/>
          </w:tcPr>
          <w:p w:rsidR="007D4B70" w:rsidRPr="00762F09" w:rsidRDefault="007D4B70" w:rsidP="007D4B70">
            <w:pPr>
              <w:spacing w:before="100" w:beforeAutospacing="1" w:after="100" w:afterAutospacing="1"/>
              <w:rPr>
                <w:rFonts w:eastAsia="Arial Unicode MS"/>
                <w:b/>
              </w:rPr>
            </w:pPr>
            <w:r w:rsidRPr="00762F09">
              <w:rPr>
                <w:b/>
              </w:rPr>
              <w:t>Program Activity</w:t>
            </w:r>
          </w:p>
        </w:tc>
        <w:tc>
          <w:tcPr>
            <w:tcW w:w="875"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4B70" w:rsidRPr="00A13F4F" w:rsidRDefault="007D4B70" w:rsidP="007D4B70">
            <w:pPr>
              <w:spacing w:before="100" w:beforeAutospacing="1" w:after="100" w:afterAutospacing="1"/>
              <w:rPr>
                <w:rFonts w:eastAsia="Arial Unicode MS"/>
                <w:b/>
                <w:color w:val="FF0000"/>
              </w:rPr>
            </w:pPr>
            <w:r w:rsidRPr="00762F09">
              <w:rPr>
                <w:b/>
              </w:rPr>
              <w:t>Criminal investigations</w:t>
            </w:r>
          </w:p>
        </w:tc>
        <w:tc>
          <w:tcPr>
            <w:tcW w:w="246" w:type="pct"/>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D4B70" w:rsidRPr="00762F09" w:rsidRDefault="007D4B70" w:rsidP="007D4B70">
            <w:pPr>
              <w:pStyle w:val="Heading4"/>
              <w:spacing w:before="100" w:beforeAutospacing="1" w:after="100" w:afterAutospacing="1"/>
              <w:rPr>
                <w:rFonts w:eastAsia="Arial Unicode MS"/>
                <w:szCs w:val="24"/>
              </w:rPr>
            </w:pPr>
            <w:r w:rsidRPr="00762F09">
              <w:rPr>
                <w:szCs w:val="24"/>
              </w:rPr>
              <w:t>FTE</w:t>
            </w:r>
          </w:p>
        </w:tc>
        <w:tc>
          <w:tcPr>
            <w:tcW w:w="353" w:type="pct"/>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rPr>
              <w:t>$000</w:t>
            </w:r>
          </w:p>
        </w:tc>
        <w:tc>
          <w:tcPr>
            <w:tcW w:w="26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D4B70" w:rsidRPr="00762F09" w:rsidRDefault="007D4B70" w:rsidP="007D4B70">
            <w:pPr>
              <w:pStyle w:val="Heading4"/>
              <w:spacing w:before="100" w:beforeAutospacing="1" w:after="100" w:afterAutospacing="1"/>
              <w:rPr>
                <w:rFonts w:eastAsia="Arial Unicode MS"/>
                <w:szCs w:val="24"/>
              </w:rPr>
            </w:pPr>
            <w:r w:rsidRPr="00762F09">
              <w:rPr>
                <w:szCs w:val="24"/>
              </w:rPr>
              <w:t>FTE</w:t>
            </w:r>
          </w:p>
        </w:tc>
        <w:tc>
          <w:tcPr>
            <w:tcW w:w="362"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rPr>
              <w:t>$000</w:t>
            </w:r>
          </w:p>
        </w:tc>
        <w:tc>
          <w:tcPr>
            <w:tcW w:w="260"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rPr>
              <w:t>FTE</w:t>
            </w:r>
          </w:p>
        </w:tc>
        <w:tc>
          <w:tcPr>
            <w:tcW w:w="365"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rPr>
              <w:t>$000</w:t>
            </w:r>
          </w:p>
        </w:tc>
        <w:tc>
          <w:tcPr>
            <w:tcW w:w="264"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rPr>
              <w:t>FTE</w:t>
            </w:r>
          </w:p>
        </w:tc>
        <w:tc>
          <w:tcPr>
            <w:tcW w:w="518"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rPr>
              <w:t>$000</w:t>
            </w:r>
          </w:p>
        </w:tc>
        <w:tc>
          <w:tcPr>
            <w:tcW w:w="21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rFonts w:eastAsia="Arial Unicode MS"/>
                <w:b/>
              </w:rPr>
              <w:t>FTE</w:t>
            </w:r>
          </w:p>
        </w:tc>
        <w:tc>
          <w:tcPr>
            <w:tcW w:w="533" w:type="pct"/>
            <w:gridSpan w:val="2"/>
            <w:tcBorders>
              <w:top w:val="single" w:sz="4" w:space="0" w:color="auto"/>
              <w:left w:val="single" w:sz="4" w:space="0" w:color="auto"/>
              <w:bottom w:val="single" w:sz="4" w:space="0" w:color="auto"/>
              <w:right w:val="single" w:sz="4" w:space="0" w:color="auto"/>
            </w:tcBorders>
            <w:vAlign w:val="bottom"/>
          </w:tcPr>
          <w:p w:rsidR="007D4B70" w:rsidRPr="00762F09" w:rsidRDefault="007D4B70" w:rsidP="007D4B70">
            <w:pPr>
              <w:spacing w:before="100" w:beforeAutospacing="1" w:after="100" w:afterAutospacing="1"/>
              <w:jc w:val="center"/>
              <w:rPr>
                <w:rFonts w:eastAsia="Arial Unicode MS"/>
                <w:b/>
              </w:rPr>
            </w:pPr>
            <w:r w:rsidRPr="00762F09">
              <w:rPr>
                <w:rFonts w:eastAsia="Arial Unicode MS"/>
                <w:b/>
              </w:rPr>
              <w:t>$000</w:t>
            </w:r>
          </w:p>
        </w:tc>
      </w:tr>
      <w:tr w:rsidR="007D4B70" w:rsidRPr="00762F09" w:rsidTr="007D4B70">
        <w:trPr>
          <w:trHeight w:val="294"/>
        </w:trPr>
        <w:tc>
          <w:tcPr>
            <w:tcW w:w="749" w:type="pct"/>
            <w:vMerge/>
            <w:tcBorders>
              <w:top w:val="nil"/>
              <w:left w:val="single" w:sz="4" w:space="0" w:color="auto"/>
              <w:bottom w:val="single" w:sz="4" w:space="0" w:color="auto"/>
              <w:right w:val="nil"/>
            </w:tcBorders>
            <w:vAlign w:val="center"/>
          </w:tcPr>
          <w:p w:rsidR="007D4B70" w:rsidRDefault="007D4B70" w:rsidP="007D4B70">
            <w:pPr>
              <w:spacing w:before="100" w:beforeAutospacing="1" w:after="100" w:afterAutospacing="1"/>
              <w:rPr>
                <w:rFonts w:eastAsia="Arial Unicode MS"/>
                <w:b/>
              </w:rPr>
            </w:pPr>
          </w:p>
        </w:tc>
        <w:tc>
          <w:tcPr>
            <w:tcW w:w="875" w:type="pct"/>
            <w:vMerge/>
            <w:tcBorders>
              <w:top w:val="nil"/>
              <w:left w:val="single" w:sz="4" w:space="0" w:color="auto"/>
              <w:bottom w:val="single" w:sz="4" w:space="0" w:color="auto"/>
              <w:right w:val="single" w:sz="4" w:space="0" w:color="auto"/>
            </w:tcBorders>
            <w:vAlign w:val="center"/>
          </w:tcPr>
          <w:p w:rsidR="007D4B70" w:rsidRDefault="007D4B70" w:rsidP="007D4B70">
            <w:pPr>
              <w:spacing w:before="100" w:beforeAutospacing="1" w:after="100" w:afterAutospacing="1"/>
              <w:rPr>
                <w:rFonts w:eastAsia="Arial Unicode MS"/>
                <w:b/>
              </w:rPr>
            </w:pPr>
          </w:p>
        </w:tc>
        <w:tc>
          <w:tcPr>
            <w:tcW w:w="246" w:type="pct"/>
            <w:tcBorders>
              <w:top w:val="nil"/>
              <w:left w:val="nil"/>
              <w:bottom w:val="single" w:sz="4" w:space="0" w:color="auto"/>
              <w:right w:val="nil"/>
            </w:tcBorders>
            <w:noWrap/>
            <w:tcMar>
              <w:top w:w="15" w:type="dxa"/>
              <w:left w:w="15" w:type="dxa"/>
              <w:bottom w:w="0" w:type="dxa"/>
              <w:right w:w="15" w:type="dxa"/>
            </w:tcMar>
            <w:vAlign w:val="bottom"/>
          </w:tcPr>
          <w:p w:rsidR="007D4B70" w:rsidRDefault="007D4B70" w:rsidP="007D4B70">
            <w:pPr>
              <w:spacing w:before="100" w:beforeAutospacing="1" w:after="100" w:afterAutospacing="1"/>
              <w:jc w:val="center"/>
              <w:rPr>
                <w:rFonts w:eastAsia="Arial Unicode MS"/>
                <w:b/>
              </w:rPr>
            </w:pPr>
            <w:r>
              <w:rPr>
                <w:rFonts w:eastAsia="Arial Unicode MS"/>
                <w:b/>
              </w:rPr>
              <w:t>878</w:t>
            </w:r>
          </w:p>
        </w:tc>
        <w:tc>
          <w:tcPr>
            <w:tcW w:w="353"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D4B70" w:rsidRDefault="007D4B70" w:rsidP="007D4B70">
            <w:pPr>
              <w:spacing w:before="100" w:beforeAutospacing="1" w:after="100" w:afterAutospacing="1"/>
              <w:jc w:val="center"/>
              <w:rPr>
                <w:rFonts w:eastAsia="Arial Unicode MS"/>
                <w:b/>
              </w:rPr>
            </w:pPr>
            <w:r w:rsidRPr="00762F09">
              <w:rPr>
                <w:rFonts w:eastAsia="Arial Unicode MS"/>
                <w:b/>
              </w:rPr>
              <w:t>$</w:t>
            </w:r>
            <w:r>
              <w:rPr>
                <w:rFonts w:eastAsia="Arial Unicode MS"/>
                <w:b/>
              </w:rPr>
              <w:t>204,429</w:t>
            </w:r>
          </w:p>
        </w:tc>
        <w:tc>
          <w:tcPr>
            <w:tcW w:w="263" w:type="pct"/>
            <w:tcBorders>
              <w:top w:val="nil"/>
              <w:left w:val="nil"/>
              <w:bottom w:val="single" w:sz="4" w:space="0" w:color="auto"/>
              <w:right w:val="nil"/>
            </w:tcBorders>
            <w:noWrap/>
            <w:tcMar>
              <w:top w:w="15" w:type="dxa"/>
              <w:left w:w="15" w:type="dxa"/>
              <w:bottom w:w="0" w:type="dxa"/>
              <w:right w:w="15" w:type="dxa"/>
            </w:tcMar>
            <w:vAlign w:val="bottom"/>
          </w:tcPr>
          <w:p w:rsidR="007D4B70" w:rsidRDefault="00335ABD" w:rsidP="007D4B70">
            <w:pPr>
              <w:spacing w:before="100" w:beforeAutospacing="1" w:after="100" w:afterAutospacing="1"/>
              <w:jc w:val="center"/>
              <w:rPr>
                <w:rFonts w:eastAsia="Arial Unicode MS"/>
                <w:b/>
                <w:highlight w:val="yellow"/>
              </w:rPr>
            </w:pPr>
            <w:r>
              <w:rPr>
                <w:rFonts w:eastAsia="Arial Unicode MS"/>
                <w:b/>
              </w:rPr>
              <w:t>765</w:t>
            </w:r>
          </w:p>
        </w:tc>
        <w:tc>
          <w:tcPr>
            <w:tcW w:w="362" w:type="pct"/>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7D4B70" w:rsidRDefault="00335ABD" w:rsidP="007D4B70">
            <w:pPr>
              <w:spacing w:before="100" w:beforeAutospacing="1" w:after="100" w:afterAutospacing="1"/>
              <w:jc w:val="center"/>
              <w:rPr>
                <w:rFonts w:eastAsia="Arial Unicode MS"/>
                <w:b/>
                <w:highlight w:val="yellow"/>
              </w:rPr>
            </w:pPr>
            <w:r w:rsidRPr="00335ABD">
              <w:rPr>
                <w:rFonts w:eastAsia="Arial Unicode MS"/>
                <w:b/>
              </w:rPr>
              <w:t>$198,863</w:t>
            </w:r>
          </w:p>
        </w:tc>
        <w:tc>
          <w:tcPr>
            <w:tcW w:w="260"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D4B70" w:rsidRDefault="007D4B70" w:rsidP="00BF346B">
            <w:pPr>
              <w:spacing w:before="100" w:beforeAutospacing="1" w:after="100" w:afterAutospacing="1"/>
              <w:jc w:val="center"/>
              <w:rPr>
                <w:rFonts w:eastAsia="Arial Unicode MS"/>
                <w:b/>
              </w:rPr>
            </w:pPr>
            <w:r>
              <w:rPr>
                <w:rFonts w:eastAsia="Arial Unicode MS"/>
                <w:b/>
              </w:rPr>
              <w:t>8</w:t>
            </w:r>
            <w:r w:rsidR="00BF346B">
              <w:rPr>
                <w:rFonts w:eastAsia="Arial Unicode MS"/>
                <w:b/>
              </w:rPr>
              <w:t>21</w:t>
            </w:r>
          </w:p>
        </w:tc>
        <w:tc>
          <w:tcPr>
            <w:tcW w:w="365"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D4B70" w:rsidRDefault="007D4B70" w:rsidP="00D01616">
            <w:pPr>
              <w:spacing w:before="100" w:beforeAutospacing="1" w:after="100" w:afterAutospacing="1"/>
              <w:jc w:val="center"/>
              <w:rPr>
                <w:rFonts w:eastAsia="Arial Unicode MS"/>
                <w:b/>
              </w:rPr>
            </w:pPr>
            <w:r w:rsidRPr="00762F09">
              <w:rPr>
                <w:rFonts w:eastAsia="Arial Unicode MS"/>
                <w:b/>
              </w:rPr>
              <w:t>$</w:t>
            </w:r>
            <w:r w:rsidR="00C022D3">
              <w:rPr>
                <w:rFonts w:eastAsia="Arial Unicode MS"/>
                <w:b/>
              </w:rPr>
              <w:t>202</w:t>
            </w:r>
            <w:r>
              <w:rPr>
                <w:rFonts w:eastAsia="Arial Unicode MS"/>
                <w:b/>
              </w:rPr>
              <w:t>,</w:t>
            </w:r>
            <w:r w:rsidR="00BF346B">
              <w:rPr>
                <w:rFonts w:eastAsia="Arial Unicode MS"/>
                <w:b/>
              </w:rPr>
              <w:t>475</w:t>
            </w:r>
          </w:p>
        </w:tc>
        <w:tc>
          <w:tcPr>
            <w:tcW w:w="264" w:type="pct"/>
            <w:tcBorders>
              <w:top w:val="nil"/>
              <w:left w:val="nil"/>
              <w:bottom w:val="single" w:sz="4" w:space="0" w:color="auto"/>
              <w:right w:val="single" w:sz="4" w:space="0" w:color="auto"/>
            </w:tcBorders>
            <w:noWrap/>
            <w:tcMar>
              <w:top w:w="15" w:type="dxa"/>
              <w:left w:w="15" w:type="dxa"/>
              <w:bottom w:w="0" w:type="dxa"/>
              <w:right w:w="15" w:type="dxa"/>
            </w:tcMar>
            <w:vAlign w:val="bottom"/>
          </w:tcPr>
          <w:p w:rsidR="007D4B70" w:rsidRDefault="00BF346B" w:rsidP="007D4B70">
            <w:pPr>
              <w:spacing w:before="100" w:beforeAutospacing="1" w:after="100" w:afterAutospacing="1"/>
              <w:jc w:val="center"/>
              <w:rPr>
                <w:rFonts w:eastAsia="Arial Unicode MS"/>
                <w:b/>
                <w:highlight w:val="yellow"/>
              </w:rPr>
            </w:pPr>
            <w:r>
              <w:rPr>
                <w:rFonts w:eastAsia="Arial Unicode MS"/>
                <w:b/>
              </w:rPr>
              <w:t>(62</w:t>
            </w:r>
            <w:r w:rsidR="00D01616">
              <w:rPr>
                <w:rFonts w:eastAsia="Arial Unicode MS"/>
                <w:b/>
              </w:rPr>
              <w:t>)</w:t>
            </w:r>
          </w:p>
        </w:tc>
        <w:tc>
          <w:tcPr>
            <w:tcW w:w="518"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7D4B70" w:rsidRPr="00E37F6B" w:rsidRDefault="007D4B70" w:rsidP="00BF346B">
            <w:pPr>
              <w:spacing w:before="100" w:beforeAutospacing="1" w:after="100" w:afterAutospacing="1"/>
              <w:jc w:val="center"/>
              <w:rPr>
                <w:rFonts w:eastAsia="Arial Unicode MS"/>
                <w:b/>
                <w:highlight w:val="yellow"/>
              </w:rPr>
            </w:pPr>
            <w:r w:rsidRPr="00A41BC6">
              <w:rPr>
                <w:rFonts w:eastAsia="Arial Unicode MS"/>
                <w:b/>
              </w:rPr>
              <w:t>$</w:t>
            </w:r>
            <w:r w:rsidR="0022554A">
              <w:rPr>
                <w:rFonts w:eastAsia="Arial Unicode MS"/>
                <w:b/>
              </w:rPr>
              <w:t>23</w:t>
            </w:r>
            <w:r w:rsidR="00BF346B">
              <w:rPr>
                <w:rFonts w:eastAsia="Arial Unicode MS"/>
                <w:b/>
              </w:rPr>
              <w:t>6</w:t>
            </w:r>
          </w:p>
        </w:tc>
        <w:tc>
          <w:tcPr>
            <w:tcW w:w="211"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7D4B70" w:rsidRDefault="00D01616" w:rsidP="00BF346B">
            <w:pPr>
              <w:spacing w:before="100" w:beforeAutospacing="1" w:after="100" w:afterAutospacing="1"/>
              <w:jc w:val="center"/>
              <w:rPr>
                <w:rFonts w:eastAsia="Arial Unicode MS"/>
                <w:b/>
              </w:rPr>
            </w:pPr>
            <w:r>
              <w:rPr>
                <w:rFonts w:eastAsia="Arial Unicode MS"/>
                <w:b/>
              </w:rPr>
              <w:t>7</w:t>
            </w:r>
            <w:r w:rsidR="00BF346B">
              <w:rPr>
                <w:rFonts w:eastAsia="Arial Unicode MS"/>
                <w:b/>
              </w:rPr>
              <w:t>59</w:t>
            </w:r>
          </w:p>
        </w:tc>
        <w:tc>
          <w:tcPr>
            <w:tcW w:w="533" w:type="pct"/>
            <w:gridSpan w:val="2"/>
            <w:tcBorders>
              <w:top w:val="single" w:sz="4" w:space="0" w:color="auto"/>
              <w:left w:val="nil"/>
              <w:bottom w:val="single" w:sz="4" w:space="0" w:color="auto"/>
              <w:right w:val="single" w:sz="4" w:space="0" w:color="auto"/>
            </w:tcBorders>
            <w:vAlign w:val="bottom"/>
          </w:tcPr>
          <w:p w:rsidR="007D4B70" w:rsidRPr="00705006" w:rsidRDefault="007D4B70" w:rsidP="00D01616">
            <w:pPr>
              <w:spacing w:before="100" w:beforeAutospacing="1" w:after="100" w:afterAutospacing="1"/>
              <w:jc w:val="center"/>
              <w:rPr>
                <w:rFonts w:eastAsia="Arial Unicode MS"/>
                <w:b/>
              </w:rPr>
            </w:pPr>
            <w:r>
              <w:rPr>
                <w:rFonts w:eastAsia="Arial Unicode MS"/>
                <w:b/>
              </w:rPr>
              <w:t>$2</w:t>
            </w:r>
            <w:r w:rsidR="00C022D3">
              <w:rPr>
                <w:rFonts w:eastAsia="Arial Unicode MS"/>
                <w:b/>
              </w:rPr>
              <w:t>0</w:t>
            </w:r>
            <w:r w:rsidR="0022554A">
              <w:rPr>
                <w:rFonts w:eastAsia="Arial Unicode MS"/>
                <w:b/>
              </w:rPr>
              <w:t>2</w:t>
            </w:r>
            <w:r>
              <w:rPr>
                <w:rFonts w:eastAsia="Arial Unicode MS"/>
                <w:b/>
              </w:rPr>
              <w:t>,</w:t>
            </w:r>
            <w:r w:rsidR="00BF346B">
              <w:rPr>
                <w:rFonts w:eastAsia="Arial Unicode MS"/>
                <w:b/>
              </w:rPr>
              <w:t>711</w:t>
            </w:r>
          </w:p>
        </w:tc>
      </w:tr>
      <w:tr w:rsidR="007D4B70" w:rsidRPr="00762F09" w:rsidTr="007D4B70">
        <w:trPr>
          <w:trHeight w:val="938"/>
        </w:trPr>
        <w:tc>
          <w:tcPr>
            <w:tcW w:w="749" w:type="pct"/>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7D4B70" w:rsidRPr="00762F09" w:rsidRDefault="007D4B70" w:rsidP="007D4B70">
            <w:pPr>
              <w:spacing w:before="100" w:beforeAutospacing="1" w:after="100" w:afterAutospacing="1"/>
              <w:rPr>
                <w:rFonts w:eastAsia="Arial Unicode MS"/>
              </w:rPr>
            </w:pPr>
            <w:r>
              <w:rPr>
                <w:rFonts w:eastAsia="Arial Unicode MS"/>
              </w:rPr>
              <w:t>OUTCOME  Measure</w:t>
            </w:r>
          </w:p>
        </w:tc>
        <w:tc>
          <w:tcPr>
            <w:tcW w:w="875" w:type="pct"/>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7D4B70" w:rsidRPr="00762F09" w:rsidRDefault="007D4B70" w:rsidP="007D4B70">
            <w:pPr>
              <w:spacing w:before="100" w:beforeAutospacing="1" w:after="100" w:afterAutospacing="1"/>
              <w:rPr>
                <w:rStyle w:val="explanation"/>
                <w:sz w:val="22"/>
                <w:szCs w:val="22"/>
              </w:rPr>
            </w:pPr>
            <w:r>
              <w:rPr>
                <w:rStyle w:val="explanation"/>
                <w:sz w:val="22"/>
                <w:szCs w:val="22"/>
              </w:rPr>
              <w:t>Reduce the risk to public safety caused by bomb and explosives</w:t>
            </w:r>
          </w:p>
        </w:tc>
        <w:tc>
          <w:tcPr>
            <w:tcW w:w="599" w:type="pct"/>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7D4B70" w:rsidRDefault="007D4B70" w:rsidP="007D4B70">
            <w:pPr>
              <w:spacing w:before="100" w:beforeAutospacing="1" w:after="100" w:afterAutospacing="1"/>
              <w:jc w:val="center"/>
              <w:rPr>
                <w:rFonts w:eastAsia="Arial Unicode MS"/>
              </w:rPr>
            </w:pPr>
            <w:r>
              <w:rPr>
                <w:rFonts w:eastAsia="Arial Unicode MS"/>
              </w:rPr>
              <w:t>100</w:t>
            </w:r>
          </w:p>
        </w:tc>
        <w:tc>
          <w:tcPr>
            <w:tcW w:w="625" w:type="pct"/>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7D4B70" w:rsidRPr="009B6D04" w:rsidDel="00CA1169" w:rsidRDefault="009B6D04" w:rsidP="009B6D04">
            <w:pPr>
              <w:spacing w:before="100" w:beforeAutospacing="1" w:after="100" w:afterAutospacing="1"/>
              <w:jc w:val="center"/>
              <w:rPr>
                <w:rFonts w:eastAsia="Arial Unicode MS"/>
              </w:rPr>
            </w:pPr>
            <w:r w:rsidRPr="009B6D04">
              <w:t>96</w:t>
            </w:r>
            <w:r w:rsidR="007D4B70" w:rsidRPr="009B6D04">
              <w:rPr>
                <w:rFonts w:eastAsia="Arial Unicode MS"/>
              </w:rPr>
              <w:t xml:space="preserve"> </w:t>
            </w:r>
          </w:p>
        </w:tc>
        <w:tc>
          <w:tcPr>
            <w:tcW w:w="625" w:type="pct"/>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7D4B70" w:rsidRPr="00705006" w:rsidDel="00CA1169" w:rsidRDefault="007D4B70" w:rsidP="007D4B70">
            <w:pPr>
              <w:spacing w:before="100" w:beforeAutospacing="1" w:after="100" w:afterAutospacing="1"/>
              <w:jc w:val="center"/>
              <w:rPr>
                <w:rFonts w:eastAsia="Arial Unicode MS"/>
              </w:rPr>
            </w:pPr>
            <w:r>
              <w:rPr>
                <w:rFonts w:eastAsia="Arial Unicode MS"/>
              </w:rPr>
              <w:t>73</w:t>
            </w:r>
          </w:p>
        </w:tc>
        <w:tc>
          <w:tcPr>
            <w:tcW w:w="782" w:type="pct"/>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7D4B70" w:rsidRPr="00705006" w:rsidDel="00CA1169" w:rsidRDefault="007D4B70" w:rsidP="007D4B70">
            <w:pPr>
              <w:spacing w:before="100" w:beforeAutospacing="1" w:after="100" w:afterAutospacing="1"/>
              <w:jc w:val="center"/>
              <w:rPr>
                <w:rFonts w:eastAsia="Arial Unicode MS"/>
              </w:rPr>
            </w:pPr>
            <w:r>
              <w:rPr>
                <w:rFonts w:eastAsia="Arial Unicode MS"/>
              </w:rPr>
              <w:t>0</w:t>
            </w:r>
          </w:p>
        </w:tc>
        <w:tc>
          <w:tcPr>
            <w:tcW w:w="744"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D4B70" w:rsidRPr="00705006" w:rsidDel="00CA1169" w:rsidRDefault="007D4B70" w:rsidP="007D4B70">
            <w:pPr>
              <w:spacing w:before="100" w:beforeAutospacing="1" w:after="100" w:afterAutospacing="1"/>
              <w:jc w:val="center"/>
              <w:rPr>
                <w:rFonts w:eastAsia="Arial Unicode MS"/>
              </w:rPr>
            </w:pPr>
            <w:r>
              <w:rPr>
                <w:rFonts w:eastAsia="Arial Unicode MS"/>
              </w:rPr>
              <w:t>73</w:t>
            </w:r>
          </w:p>
        </w:tc>
      </w:tr>
      <w:tr w:rsidR="007D4B70" w:rsidRPr="00762F09" w:rsidTr="007D4B70">
        <w:trPr>
          <w:trHeight w:val="938"/>
        </w:trPr>
        <w:tc>
          <w:tcPr>
            <w:tcW w:w="749" w:type="pct"/>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7D4B70" w:rsidRPr="00762F09" w:rsidRDefault="007D4B70" w:rsidP="007D4B70">
            <w:pPr>
              <w:spacing w:before="100" w:beforeAutospacing="1" w:after="100" w:afterAutospacing="1"/>
              <w:rPr>
                <w:rFonts w:eastAsia="Arial Unicode MS"/>
              </w:rPr>
            </w:pPr>
            <w:r>
              <w:rPr>
                <w:rFonts w:eastAsia="Arial Unicode MS"/>
              </w:rPr>
              <w:t>OUTCOME  Measure</w:t>
            </w:r>
          </w:p>
        </w:tc>
        <w:tc>
          <w:tcPr>
            <w:tcW w:w="875" w:type="pct"/>
            <w:tcBorders>
              <w:top w:val="single" w:sz="4" w:space="0" w:color="auto"/>
              <w:left w:val="single" w:sz="4" w:space="0" w:color="auto"/>
              <w:bottom w:val="single" w:sz="4" w:space="0" w:color="auto"/>
              <w:right w:val="nil"/>
            </w:tcBorders>
            <w:tcMar>
              <w:top w:w="15" w:type="dxa"/>
              <w:left w:w="15" w:type="dxa"/>
              <w:bottom w:w="0" w:type="dxa"/>
              <w:right w:w="15" w:type="dxa"/>
            </w:tcMar>
            <w:vAlign w:val="center"/>
          </w:tcPr>
          <w:p w:rsidR="007D4B70" w:rsidRPr="00762F09" w:rsidRDefault="007D4B70" w:rsidP="007D4B70">
            <w:pPr>
              <w:spacing w:before="100" w:beforeAutospacing="1" w:after="100" w:afterAutospacing="1"/>
              <w:rPr>
                <w:rStyle w:val="explanation"/>
                <w:sz w:val="22"/>
                <w:szCs w:val="22"/>
              </w:rPr>
            </w:pPr>
            <w:r>
              <w:rPr>
                <w:rStyle w:val="explanation"/>
                <w:sz w:val="22"/>
                <w:szCs w:val="22"/>
              </w:rPr>
              <w:t>Reduce the risk to public safety caused by criminal use of fire</w:t>
            </w:r>
          </w:p>
        </w:tc>
        <w:tc>
          <w:tcPr>
            <w:tcW w:w="599" w:type="pct"/>
            <w:gridSpan w:val="3"/>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7D4B70" w:rsidRDefault="007D4B70" w:rsidP="007D4B70">
            <w:pPr>
              <w:spacing w:before="100" w:beforeAutospacing="1" w:after="100" w:afterAutospacing="1"/>
              <w:jc w:val="center"/>
              <w:rPr>
                <w:rFonts w:eastAsia="Arial Unicode MS"/>
              </w:rPr>
            </w:pPr>
            <w:r>
              <w:rPr>
                <w:rFonts w:eastAsia="Arial Unicode MS"/>
              </w:rPr>
              <w:t>100</w:t>
            </w:r>
          </w:p>
        </w:tc>
        <w:tc>
          <w:tcPr>
            <w:tcW w:w="625" w:type="pct"/>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7D4B70" w:rsidRPr="00705006" w:rsidDel="00CA1169" w:rsidRDefault="009B6D04" w:rsidP="009B6D04">
            <w:pPr>
              <w:spacing w:before="100" w:beforeAutospacing="1" w:after="100" w:afterAutospacing="1"/>
              <w:jc w:val="center"/>
              <w:rPr>
                <w:rFonts w:eastAsia="Arial Unicode MS"/>
              </w:rPr>
            </w:pPr>
            <w:r w:rsidRPr="009B6D04">
              <w:t>68</w:t>
            </w:r>
            <w:r w:rsidR="00581887">
              <w:t>.2</w:t>
            </w:r>
            <w:r w:rsidR="007D4B70">
              <w:rPr>
                <w:rFonts w:eastAsia="Arial Unicode MS"/>
              </w:rPr>
              <w:t xml:space="preserve"> </w:t>
            </w:r>
          </w:p>
        </w:tc>
        <w:tc>
          <w:tcPr>
            <w:tcW w:w="625" w:type="pct"/>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7D4B70" w:rsidRPr="00705006" w:rsidDel="00CA1169" w:rsidRDefault="007D4B70" w:rsidP="007D4B70">
            <w:pPr>
              <w:spacing w:before="100" w:beforeAutospacing="1" w:after="100" w:afterAutospacing="1"/>
              <w:jc w:val="center"/>
              <w:rPr>
                <w:rFonts w:eastAsia="Arial Unicode MS"/>
              </w:rPr>
            </w:pPr>
            <w:r>
              <w:rPr>
                <w:rFonts w:eastAsia="Arial Unicode MS"/>
              </w:rPr>
              <w:t>79</w:t>
            </w:r>
          </w:p>
        </w:tc>
        <w:tc>
          <w:tcPr>
            <w:tcW w:w="782" w:type="pct"/>
            <w:gridSpan w:val="3"/>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7D4B70" w:rsidRPr="00705006" w:rsidDel="00CA1169" w:rsidRDefault="00581887" w:rsidP="007D4B70">
            <w:pPr>
              <w:spacing w:before="100" w:beforeAutospacing="1" w:after="100" w:afterAutospacing="1"/>
              <w:jc w:val="center"/>
              <w:rPr>
                <w:rFonts w:eastAsia="Arial Unicode MS"/>
              </w:rPr>
            </w:pPr>
            <w:r>
              <w:rPr>
                <w:rFonts w:eastAsia="Arial Unicode MS"/>
              </w:rPr>
              <w:t>(1)</w:t>
            </w:r>
          </w:p>
        </w:tc>
        <w:tc>
          <w:tcPr>
            <w:tcW w:w="744" w:type="pct"/>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D4B70" w:rsidRPr="00705006" w:rsidDel="00CA1169" w:rsidRDefault="007D4B70" w:rsidP="00581887">
            <w:pPr>
              <w:spacing w:before="100" w:beforeAutospacing="1" w:after="100" w:afterAutospacing="1"/>
              <w:jc w:val="center"/>
              <w:rPr>
                <w:rFonts w:eastAsia="Arial Unicode MS"/>
              </w:rPr>
            </w:pPr>
            <w:r>
              <w:rPr>
                <w:rFonts w:eastAsia="Arial Unicode MS"/>
              </w:rPr>
              <w:t>7</w:t>
            </w:r>
            <w:r w:rsidR="00581887">
              <w:rPr>
                <w:rFonts w:eastAsia="Arial Unicode MS"/>
              </w:rPr>
              <w:t>8</w:t>
            </w:r>
          </w:p>
        </w:tc>
      </w:tr>
      <w:tr w:rsidR="007D4B70" w:rsidRPr="00762F09" w:rsidTr="007D4B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442"/>
        </w:trPr>
        <w:tc>
          <w:tcPr>
            <w:tcW w:w="749" w:type="pct"/>
            <w:vMerge w:val="restart"/>
            <w:tcMar>
              <w:top w:w="15" w:type="dxa"/>
              <w:left w:w="15" w:type="dxa"/>
              <w:bottom w:w="0" w:type="dxa"/>
              <w:right w:w="15" w:type="dxa"/>
            </w:tcMar>
            <w:vAlign w:val="center"/>
          </w:tcPr>
          <w:p w:rsidR="007D4B70" w:rsidRPr="00762F09" w:rsidRDefault="007D4B70" w:rsidP="007D4B70">
            <w:pPr>
              <w:spacing w:before="100" w:beforeAutospacing="1" w:after="100" w:afterAutospacing="1"/>
              <w:rPr>
                <w:rFonts w:eastAsia="Arial Unicode MS"/>
                <w:b/>
              </w:rPr>
            </w:pPr>
            <w:r w:rsidRPr="00762F09">
              <w:rPr>
                <w:b/>
                <w:sz w:val="22"/>
                <w:szCs w:val="22"/>
              </w:rPr>
              <w:t>Program Activity</w:t>
            </w:r>
          </w:p>
        </w:tc>
        <w:tc>
          <w:tcPr>
            <w:tcW w:w="875" w:type="pct"/>
            <w:vMerge w:val="restart"/>
            <w:tcMar>
              <w:top w:w="15" w:type="dxa"/>
              <w:left w:w="15" w:type="dxa"/>
              <w:bottom w:w="0" w:type="dxa"/>
              <w:right w:w="15" w:type="dxa"/>
            </w:tcMar>
            <w:vAlign w:val="center"/>
          </w:tcPr>
          <w:p w:rsidR="007D4B70" w:rsidRPr="00A13F4F" w:rsidRDefault="007D4B70" w:rsidP="007D4B70">
            <w:pPr>
              <w:spacing w:before="100" w:beforeAutospacing="1" w:after="100" w:afterAutospacing="1"/>
              <w:jc w:val="center"/>
              <w:rPr>
                <w:rFonts w:eastAsia="Arial Unicode MS"/>
                <w:b/>
                <w:color w:val="FF0000"/>
              </w:rPr>
            </w:pPr>
            <w:r w:rsidRPr="00762F09">
              <w:rPr>
                <w:b/>
                <w:sz w:val="22"/>
                <w:szCs w:val="22"/>
              </w:rPr>
              <w:t>Regulatory complianc</w:t>
            </w:r>
            <w:r>
              <w:rPr>
                <w:b/>
                <w:sz w:val="22"/>
                <w:szCs w:val="22"/>
              </w:rPr>
              <w:t>e</w:t>
            </w:r>
          </w:p>
        </w:tc>
        <w:tc>
          <w:tcPr>
            <w:tcW w:w="313" w:type="pct"/>
            <w:gridSpan w:val="2"/>
            <w:noWrap/>
            <w:tcMar>
              <w:top w:w="15" w:type="dxa"/>
              <w:left w:w="15" w:type="dxa"/>
              <w:bottom w:w="0" w:type="dxa"/>
              <w:right w:w="15" w:type="dxa"/>
            </w:tcMar>
            <w:vAlign w:val="bottom"/>
          </w:tcPr>
          <w:p w:rsidR="007D4B70" w:rsidRPr="00762F09" w:rsidRDefault="007D4B70" w:rsidP="007D4B70">
            <w:pPr>
              <w:pStyle w:val="Heading4"/>
              <w:spacing w:before="100" w:beforeAutospacing="1" w:after="100" w:afterAutospacing="1"/>
              <w:rPr>
                <w:rFonts w:eastAsia="Arial Unicode MS"/>
                <w:szCs w:val="22"/>
              </w:rPr>
            </w:pPr>
            <w:r w:rsidRPr="00762F09">
              <w:rPr>
                <w:sz w:val="22"/>
                <w:szCs w:val="22"/>
              </w:rPr>
              <w:t>FTE</w:t>
            </w:r>
          </w:p>
        </w:tc>
        <w:tc>
          <w:tcPr>
            <w:tcW w:w="286" w:type="pct"/>
            <w:noWrap/>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sz w:val="22"/>
                <w:szCs w:val="22"/>
              </w:rPr>
              <w:t>$000</w:t>
            </w:r>
          </w:p>
        </w:tc>
        <w:tc>
          <w:tcPr>
            <w:tcW w:w="276" w:type="pct"/>
            <w:gridSpan w:val="2"/>
            <w:noWrap/>
            <w:tcMar>
              <w:top w:w="15" w:type="dxa"/>
              <w:left w:w="15" w:type="dxa"/>
              <w:bottom w:w="0" w:type="dxa"/>
              <w:right w:w="15" w:type="dxa"/>
            </w:tcMar>
            <w:vAlign w:val="bottom"/>
          </w:tcPr>
          <w:p w:rsidR="007D4B70" w:rsidRPr="00762F09" w:rsidRDefault="007D4B70" w:rsidP="007D4B70">
            <w:pPr>
              <w:pStyle w:val="Heading4"/>
              <w:spacing w:before="100" w:beforeAutospacing="1" w:after="100" w:afterAutospacing="1"/>
              <w:rPr>
                <w:rFonts w:eastAsia="Arial Unicode MS"/>
                <w:szCs w:val="22"/>
              </w:rPr>
            </w:pPr>
            <w:r w:rsidRPr="00762F09">
              <w:rPr>
                <w:sz w:val="22"/>
                <w:szCs w:val="22"/>
              </w:rPr>
              <w:t>FTE</w:t>
            </w:r>
          </w:p>
        </w:tc>
        <w:tc>
          <w:tcPr>
            <w:tcW w:w="349" w:type="pct"/>
            <w:noWrap/>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sz w:val="22"/>
                <w:szCs w:val="22"/>
              </w:rPr>
              <w:t>$000</w:t>
            </w:r>
          </w:p>
        </w:tc>
        <w:tc>
          <w:tcPr>
            <w:tcW w:w="277" w:type="pct"/>
            <w:gridSpan w:val="2"/>
            <w:noWrap/>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sz w:val="22"/>
                <w:szCs w:val="22"/>
              </w:rPr>
              <w:t>FTE</w:t>
            </w:r>
          </w:p>
        </w:tc>
        <w:tc>
          <w:tcPr>
            <w:tcW w:w="348" w:type="pct"/>
            <w:noWrap/>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sz w:val="22"/>
                <w:szCs w:val="22"/>
              </w:rPr>
              <w:t>$000</w:t>
            </w:r>
          </w:p>
        </w:tc>
        <w:tc>
          <w:tcPr>
            <w:tcW w:w="276" w:type="pct"/>
            <w:gridSpan w:val="2"/>
            <w:noWrap/>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sz w:val="22"/>
                <w:szCs w:val="22"/>
              </w:rPr>
              <w:t>FTE</w:t>
            </w:r>
          </w:p>
        </w:tc>
        <w:tc>
          <w:tcPr>
            <w:tcW w:w="506" w:type="pct"/>
            <w:noWrap/>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sz w:val="22"/>
                <w:szCs w:val="22"/>
              </w:rPr>
              <w:t>$000</w:t>
            </w:r>
          </w:p>
        </w:tc>
        <w:tc>
          <w:tcPr>
            <w:tcW w:w="248" w:type="pct"/>
            <w:gridSpan w:val="2"/>
            <w:noWrap/>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sz w:val="22"/>
                <w:szCs w:val="22"/>
              </w:rPr>
              <w:t>FTE</w:t>
            </w:r>
          </w:p>
        </w:tc>
        <w:tc>
          <w:tcPr>
            <w:tcW w:w="496" w:type="pct"/>
            <w:noWrap/>
            <w:tcMar>
              <w:top w:w="15" w:type="dxa"/>
              <w:left w:w="15" w:type="dxa"/>
              <w:bottom w:w="0" w:type="dxa"/>
              <w:right w:w="15" w:type="dxa"/>
            </w:tcMar>
            <w:vAlign w:val="bottom"/>
          </w:tcPr>
          <w:p w:rsidR="007D4B70" w:rsidRPr="00762F09" w:rsidRDefault="007D4B70" w:rsidP="007D4B70">
            <w:pPr>
              <w:spacing w:before="100" w:beforeAutospacing="1" w:after="100" w:afterAutospacing="1"/>
              <w:jc w:val="center"/>
              <w:rPr>
                <w:rFonts w:eastAsia="Arial Unicode MS"/>
                <w:b/>
              </w:rPr>
            </w:pPr>
            <w:r w:rsidRPr="00762F09">
              <w:rPr>
                <w:b/>
                <w:sz w:val="22"/>
                <w:szCs w:val="22"/>
              </w:rPr>
              <w:t>$000</w:t>
            </w:r>
          </w:p>
        </w:tc>
      </w:tr>
      <w:tr w:rsidR="007D4B70" w:rsidRPr="00762F09" w:rsidTr="007D4B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45"/>
        </w:trPr>
        <w:tc>
          <w:tcPr>
            <w:tcW w:w="749" w:type="pct"/>
            <w:vMerge/>
            <w:tcBorders>
              <w:bottom w:val="single" w:sz="4" w:space="0" w:color="auto"/>
            </w:tcBorders>
            <w:vAlign w:val="center"/>
          </w:tcPr>
          <w:p w:rsidR="007D4B70" w:rsidRDefault="007D4B70" w:rsidP="007D4B70">
            <w:pPr>
              <w:spacing w:before="100" w:beforeAutospacing="1" w:after="100" w:afterAutospacing="1"/>
              <w:rPr>
                <w:rFonts w:eastAsia="Arial Unicode MS"/>
                <w:b/>
              </w:rPr>
            </w:pPr>
          </w:p>
        </w:tc>
        <w:tc>
          <w:tcPr>
            <w:tcW w:w="875" w:type="pct"/>
            <w:vMerge/>
            <w:tcBorders>
              <w:bottom w:val="single" w:sz="4" w:space="0" w:color="auto"/>
            </w:tcBorders>
            <w:vAlign w:val="center"/>
          </w:tcPr>
          <w:p w:rsidR="007D4B70" w:rsidRDefault="007D4B70" w:rsidP="007D4B70">
            <w:pPr>
              <w:spacing w:before="100" w:beforeAutospacing="1" w:after="100" w:afterAutospacing="1"/>
              <w:rPr>
                <w:rFonts w:eastAsia="Arial Unicode MS"/>
                <w:b/>
              </w:rPr>
            </w:pPr>
          </w:p>
        </w:tc>
        <w:tc>
          <w:tcPr>
            <w:tcW w:w="313" w:type="pct"/>
            <w:gridSpan w:val="2"/>
            <w:tcBorders>
              <w:bottom w:val="single" w:sz="4" w:space="0" w:color="auto"/>
            </w:tcBorders>
            <w:noWrap/>
            <w:tcMar>
              <w:top w:w="15" w:type="dxa"/>
              <w:left w:w="15" w:type="dxa"/>
              <w:bottom w:w="0" w:type="dxa"/>
              <w:right w:w="15" w:type="dxa"/>
            </w:tcMar>
            <w:vAlign w:val="bottom"/>
          </w:tcPr>
          <w:p w:rsidR="007D4B70" w:rsidRDefault="007D4B70" w:rsidP="007D4B70">
            <w:pPr>
              <w:spacing w:before="100" w:beforeAutospacing="1" w:after="100" w:afterAutospacing="1"/>
              <w:jc w:val="center"/>
              <w:rPr>
                <w:rFonts w:eastAsia="Arial Unicode MS"/>
                <w:b/>
              </w:rPr>
            </w:pPr>
            <w:r>
              <w:rPr>
                <w:rFonts w:eastAsia="Arial Unicode MS"/>
                <w:b/>
                <w:sz w:val="22"/>
                <w:szCs w:val="22"/>
              </w:rPr>
              <w:t>359</w:t>
            </w:r>
          </w:p>
        </w:tc>
        <w:tc>
          <w:tcPr>
            <w:tcW w:w="286" w:type="pct"/>
            <w:tcBorders>
              <w:bottom w:val="single" w:sz="4" w:space="0" w:color="auto"/>
            </w:tcBorders>
            <w:noWrap/>
            <w:tcMar>
              <w:top w:w="15" w:type="dxa"/>
              <w:left w:w="15" w:type="dxa"/>
              <w:bottom w:w="0" w:type="dxa"/>
              <w:right w:w="15" w:type="dxa"/>
            </w:tcMar>
            <w:vAlign w:val="bottom"/>
          </w:tcPr>
          <w:p w:rsidR="007D4B70" w:rsidRDefault="007D4B70" w:rsidP="007D4B70">
            <w:pPr>
              <w:spacing w:before="100" w:beforeAutospacing="1" w:after="100" w:afterAutospacing="1"/>
              <w:jc w:val="center"/>
              <w:rPr>
                <w:rFonts w:eastAsia="Arial Unicode MS"/>
                <w:b/>
              </w:rPr>
            </w:pPr>
            <w:r>
              <w:rPr>
                <w:rFonts w:eastAsia="Arial Unicode MS"/>
                <w:b/>
                <w:sz w:val="22"/>
                <w:szCs w:val="22"/>
              </w:rPr>
              <w:t>$51,456</w:t>
            </w:r>
          </w:p>
        </w:tc>
        <w:tc>
          <w:tcPr>
            <w:tcW w:w="276" w:type="pct"/>
            <w:gridSpan w:val="2"/>
            <w:tcBorders>
              <w:bottom w:val="single" w:sz="4" w:space="0" w:color="auto"/>
            </w:tcBorders>
            <w:noWrap/>
            <w:tcMar>
              <w:top w:w="15" w:type="dxa"/>
              <w:left w:w="15" w:type="dxa"/>
              <w:bottom w:w="0" w:type="dxa"/>
              <w:right w:w="15" w:type="dxa"/>
            </w:tcMar>
            <w:vAlign w:val="bottom"/>
          </w:tcPr>
          <w:p w:rsidR="007D4B70" w:rsidRDefault="00335ABD" w:rsidP="007D4B70">
            <w:pPr>
              <w:spacing w:before="100" w:beforeAutospacing="1" w:after="100" w:afterAutospacing="1"/>
              <w:jc w:val="center"/>
              <w:rPr>
                <w:rFonts w:eastAsia="Arial Unicode MS"/>
                <w:b/>
              </w:rPr>
            </w:pPr>
            <w:r>
              <w:rPr>
                <w:rFonts w:eastAsia="Arial Unicode MS"/>
                <w:b/>
                <w:sz w:val="22"/>
                <w:szCs w:val="22"/>
              </w:rPr>
              <w:t>312</w:t>
            </w:r>
          </w:p>
        </w:tc>
        <w:tc>
          <w:tcPr>
            <w:tcW w:w="349" w:type="pct"/>
            <w:tcBorders>
              <w:bottom w:val="single" w:sz="4" w:space="0" w:color="auto"/>
            </w:tcBorders>
            <w:noWrap/>
            <w:tcMar>
              <w:top w:w="15" w:type="dxa"/>
              <w:left w:w="15" w:type="dxa"/>
              <w:bottom w:w="0" w:type="dxa"/>
              <w:right w:w="15" w:type="dxa"/>
            </w:tcMar>
            <w:vAlign w:val="bottom"/>
          </w:tcPr>
          <w:p w:rsidR="007D4B70" w:rsidRDefault="00335ABD" w:rsidP="007D4B70">
            <w:pPr>
              <w:spacing w:before="100" w:beforeAutospacing="1" w:after="100" w:afterAutospacing="1"/>
              <w:jc w:val="center"/>
              <w:rPr>
                <w:rFonts w:eastAsia="Arial Unicode MS"/>
                <w:b/>
              </w:rPr>
            </w:pPr>
            <w:r>
              <w:rPr>
                <w:rFonts w:eastAsia="Arial Unicode MS"/>
                <w:b/>
                <w:sz w:val="22"/>
                <w:szCs w:val="22"/>
              </w:rPr>
              <w:t>$49,716</w:t>
            </w:r>
          </w:p>
        </w:tc>
        <w:tc>
          <w:tcPr>
            <w:tcW w:w="277" w:type="pct"/>
            <w:gridSpan w:val="2"/>
            <w:tcBorders>
              <w:bottom w:val="single" w:sz="4" w:space="0" w:color="auto"/>
            </w:tcBorders>
            <w:noWrap/>
            <w:tcMar>
              <w:top w:w="15" w:type="dxa"/>
              <w:left w:w="15" w:type="dxa"/>
              <w:bottom w:w="0" w:type="dxa"/>
              <w:right w:w="15" w:type="dxa"/>
            </w:tcMar>
            <w:vAlign w:val="bottom"/>
          </w:tcPr>
          <w:p w:rsidR="007D4B70" w:rsidRDefault="007D4B70" w:rsidP="00BF346B">
            <w:pPr>
              <w:spacing w:before="100" w:beforeAutospacing="1" w:after="100" w:afterAutospacing="1"/>
              <w:jc w:val="center"/>
              <w:rPr>
                <w:rFonts w:eastAsia="Arial Unicode MS"/>
                <w:b/>
              </w:rPr>
            </w:pPr>
            <w:r>
              <w:rPr>
                <w:rFonts w:eastAsia="Arial Unicode MS"/>
                <w:b/>
                <w:sz w:val="22"/>
                <w:szCs w:val="22"/>
              </w:rPr>
              <w:t>3</w:t>
            </w:r>
            <w:r w:rsidR="00BF346B">
              <w:rPr>
                <w:rFonts w:eastAsia="Arial Unicode MS"/>
                <w:b/>
                <w:sz w:val="22"/>
                <w:szCs w:val="22"/>
              </w:rPr>
              <w:t>35</w:t>
            </w:r>
          </w:p>
        </w:tc>
        <w:tc>
          <w:tcPr>
            <w:tcW w:w="348" w:type="pct"/>
            <w:tcBorders>
              <w:bottom w:val="single" w:sz="4" w:space="0" w:color="auto"/>
            </w:tcBorders>
            <w:noWrap/>
            <w:tcMar>
              <w:top w:w="15" w:type="dxa"/>
              <w:left w:w="15" w:type="dxa"/>
              <w:bottom w:w="0" w:type="dxa"/>
              <w:right w:w="15" w:type="dxa"/>
            </w:tcMar>
            <w:vAlign w:val="bottom"/>
          </w:tcPr>
          <w:p w:rsidR="007D4B70" w:rsidRDefault="007D4B70" w:rsidP="00D01616">
            <w:pPr>
              <w:spacing w:before="100" w:beforeAutospacing="1" w:after="100" w:afterAutospacing="1"/>
              <w:jc w:val="center"/>
              <w:rPr>
                <w:rFonts w:eastAsia="Arial Unicode MS"/>
                <w:b/>
              </w:rPr>
            </w:pPr>
            <w:r>
              <w:rPr>
                <w:rFonts w:eastAsia="Arial Unicode MS"/>
                <w:b/>
                <w:sz w:val="22"/>
                <w:szCs w:val="22"/>
              </w:rPr>
              <w:t>$</w:t>
            </w:r>
            <w:r w:rsidR="00C022D3">
              <w:rPr>
                <w:rFonts w:eastAsia="Arial Unicode MS"/>
                <w:b/>
                <w:sz w:val="22"/>
                <w:szCs w:val="22"/>
              </w:rPr>
              <w:t>50,</w:t>
            </w:r>
            <w:r w:rsidR="00BF346B">
              <w:rPr>
                <w:rFonts w:eastAsia="Arial Unicode MS"/>
                <w:b/>
                <w:sz w:val="22"/>
                <w:szCs w:val="22"/>
              </w:rPr>
              <w:t>965</w:t>
            </w:r>
          </w:p>
        </w:tc>
        <w:tc>
          <w:tcPr>
            <w:tcW w:w="276" w:type="pct"/>
            <w:gridSpan w:val="2"/>
            <w:tcBorders>
              <w:bottom w:val="single" w:sz="4" w:space="0" w:color="auto"/>
            </w:tcBorders>
            <w:noWrap/>
            <w:tcMar>
              <w:top w:w="15" w:type="dxa"/>
              <w:left w:w="15" w:type="dxa"/>
              <w:bottom w:w="0" w:type="dxa"/>
              <w:right w:w="15" w:type="dxa"/>
            </w:tcMar>
            <w:vAlign w:val="bottom"/>
          </w:tcPr>
          <w:p w:rsidR="007D4B70" w:rsidRDefault="00C022D3" w:rsidP="00D01616">
            <w:pPr>
              <w:spacing w:before="100" w:beforeAutospacing="1" w:after="100" w:afterAutospacing="1"/>
              <w:jc w:val="center"/>
              <w:rPr>
                <w:rFonts w:eastAsia="Arial Unicode MS"/>
                <w:b/>
              </w:rPr>
            </w:pPr>
            <w:r>
              <w:rPr>
                <w:rFonts w:eastAsia="Arial Unicode MS"/>
                <w:b/>
              </w:rPr>
              <w:t>(</w:t>
            </w:r>
            <w:r w:rsidR="00BF346B">
              <w:rPr>
                <w:rFonts w:eastAsia="Arial Unicode MS"/>
                <w:b/>
              </w:rPr>
              <w:t>24</w:t>
            </w:r>
            <w:r w:rsidR="007D4B70">
              <w:rPr>
                <w:rFonts w:eastAsia="Arial Unicode MS"/>
                <w:b/>
              </w:rPr>
              <w:t>)</w:t>
            </w:r>
          </w:p>
        </w:tc>
        <w:tc>
          <w:tcPr>
            <w:tcW w:w="506" w:type="pct"/>
            <w:tcBorders>
              <w:bottom w:val="single" w:sz="4" w:space="0" w:color="auto"/>
            </w:tcBorders>
            <w:noWrap/>
            <w:tcMar>
              <w:top w:w="15" w:type="dxa"/>
              <w:left w:w="15" w:type="dxa"/>
              <w:bottom w:w="0" w:type="dxa"/>
              <w:right w:w="15" w:type="dxa"/>
            </w:tcMar>
            <w:vAlign w:val="bottom"/>
          </w:tcPr>
          <w:p w:rsidR="007D4B70" w:rsidRPr="00705006" w:rsidRDefault="0022554A" w:rsidP="00D01616">
            <w:pPr>
              <w:spacing w:before="100" w:beforeAutospacing="1" w:after="100" w:afterAutospacing="1"/>
              <w:jc w:val="center"/>
              <w:rPr>
                <w:rFonts w:eastAsia="Arial Unicode MS"/>
                <w:b/>
              </w:rPr>
            </w:pPr>
            <w:r>
              <w:rPr>
                <w:rFonts w:eastAsia="Arial Unicode MS"/>
                <w:b/>
              </w:rPr>
              <w:t>$</w:t>
            </w:r>
            <w:r w:rsidR="00BF346B">
              <w:rPr>
                <w:rFonts w:eastAsia="Arial Unicode MS"/>
                <w:b/>
              </w:rPr>
              <w:t>60</w:t>
            </w:r>
          </w:p>
        </w:tc>
        <w:tc>
          <w:tcPr>
            <w:tcW w:w="248" w:type="pct"/>
            <w:gridSpan w:val="2"/>
            <w:tcBorders>
              <w:bottom w:val="single" w:sz="4" w:space="0" w:color="auto"/>
            </w:tcBorders>
            <w:noWrap/>
            <w:tcMar>
              <w:top w:w="15" w:type="dxa"/>
              <w:left w:w="15" w:type="dxa"/>
              <w:bottom w:w="0" w:type="dxa"/>
              <w:right w:w="15" w:type="dxa"/>
            </w:tcMar>
            <w:vAlign w:val="bottom"/>
          </w:tcPr>
          <w:p w:rsidR="007D4B70" w:rsidRPr="00705006" w:rsidRDefault="007D4B70" w:rsidP="00D01616">
            <w:pPr>
              <w:spacing w:before="100" w:beforeAutospacing="1" w:after="100" w:afterAutospacing="1"/>
              <w:jc w:val="center"/>
              <w:rPr>
                <w:rFonts w:eastAsia="Arial Unicode MS"/>
                <w:b/>
              </w:rPr>
            </w:pPr>
            <w:r>
              <w:rPr>
                <w:rFonts w:eastAsia="Arial Unicode MS"/>
                <w:b/>
              </w:rPr>
              <w:t>3</w:t>
            </w:r>
            <w:r w:rsidR="00D01616">
              <w:rPr>
                <w:rFonts w:eastAsia="Arial Unicode MS"/>
                <w:b/>
              </w:rPr>
              <w:t>1</w:t>
            </w:r>
            <w:r w:rsidR="00BF346B">
              <w:rPr>
                <w:rFonts w:eastAsia="Arial Unicode MS"/>
                <w:b/>
              </w:rPr>
              <w:t>1</w:t>
            </w:r>
          </w:p>
        </w:tc>
        <w:tc>
          <w:tcPr>
            <w:tcW w:w="496" w:type="pct"/>
            <w:tcBorders>
              <w:bottom w:val="single" w:sz="4" w:space="0" w:color="auto"/>
            </w:tcBorders>
            <w:noWrap/>
            <w:tcMar>
              <w:top w:w="15" w:type="dxa"/>
              <w:left w:w="15" w:type="dxa"/>
              <w:bottom w:w="0" w:type="dxa"/>
              <w:right w:w="15" w:type="dxa"/>
            </w:tcMar>
            <w:vAlign w:val="bottom"/>
          </w:tcPr>
          <w:p w:rsidR="007D4B70" w:rsidRPr="00705006" w:rsidRDefault="007D4B70" w:rsidP="00BF346B">
            <w:pPr>
              <w:spacing w:before="100" w:beforeAutospacing="1" w:after="100" w:afterAutospacing="1"/>
              <w:jc w:val="center"/>
              <w:rPr>
                <w:rFonts w:eastAsia="Arial Unicode MS"/>
                <w:b/>
              </w:rPr>
            </w:pPr>
            <w:r>
              <w:rPr>
                <w:rFonts w:eastAsia="Arial Unicode MS"/>
                <w:b/>
              </w:rPr>
              <w:t>$</w:t>
            </w:r>
            <w:r w:rsidR="00D01616">
              <w:rPr>
                <w:rFonts w:eastAsia="Arial Unicode MS"/>
                <w:b/>
              </w:rPr>
              <w:t>50,</w:t>
            </w:r>
            <w:r w:rsidR="00BF346B">
              <w:rPr>
                <w:rFonts w:eastAsia="Arial Unicode MS"/>
                <w:b/>
              </w:rPr>
              <w:t>025</w:t>
            </w:r>
          </w:p>
        </w:tc>
      </w:tr>
      <w:tr w:rsidR="007D4B70" w:rsidRPr="00762F09" w:rsidTr="007D4B70">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5"/>
        </w:trPr>
        <w:tc>
          <w:tcPr>
            <w:tcW w:w="749" w:type="pct"/>
            <w:tcBorders>
              <w:top w:val="single" w:sz="4" w:space="0" w:color="auto"/>
              <w:left w:val="single" w:sz="4" w:space="0" w:color="auto"/>
              <w:bottom w:val="single" w:sz="4" w:space="0" w:color="auto"/>
            </w:tcBorders>
            <w:shd w:val="clear" w:color="auto" w:fill="auto"/>
            <w:tcMar>
              <w:top w:w="15" w:type="dxa"/>
              <w:left w:w="15" w:type="dxa"/>
              <w:bottom w:w="0" w:type="dxa"/>
              <w:right w:w="15" w:type="dxa"/>
            </w:tcMar>
            <w:vAlign w:val="center"/>
          </w:tcPr>
          <w:p w:rsidR="007D4B70" w:rsidRPr="00762F09" w:rsidRDefault="007D4B70" w:rsidP="007D4B70">
            <w:pPr>
              <w:spacing w:before="100" w:beforeAutospacing="1" w:after="100" w:afterAutospacing="1"/>
              <w:rPr>
                <w:rFonts w:eastAsia="Arial Unicode MS"/>
                <w:sz w:val="22"/>
                <w:szCs w:val="22"/>
              </w:rPr>
            </w:pPr>
            <w:r>
              <w:rPr>
                <w:rFonts w:eastAsia="Arial Unicode MS"/>
                <w:sz w:val="22"/>
                <w:szCs w:val="22"/>
              </w:rPr>
              <w:t>OUTCOME  Measure</w:t>
            </w:r>
          </w:p>
        </w:tc>
        <w:tc>
          <w:tcPr>
            <w:tcW w:w="875" w:type="pct"/>
            <w:tcBorders>
              <w:top w:val="single" w:sz="4" w:space="0" w:color="auto"/>
              <w:bottom w:val="single" w:sz="4" w:space="0" w:color="auto"/>
            </w:tcBorders>
            <w:shd w:val="clear" w:color="auto" w:fill="auto"/>
            <w:tcMar>
              <w:top w:w="15" w:type="dxa"/>
              <w:left w:w="15" w:type="dxa"/>
              <w:bottom w:w="0" w:type="dxa"/>
              <w:right w:w="15" w:type="dxa"/>
            </w:tcMar>
            <w:vAlign w:val="center"/>
          </w:tcPr>
          <w:p w:rsidR="007D4B70" w:rsidRPr="003E7F90" w:rsidRDefault="007D4B70" w:rsidP="007D4B70">
            <w:pPr>
              <w:spacing w:before="100" w:beforeAutospacing="1" w:after="100" w:afterAutospacing="1"/>
              <w:rPr>
                <w:sz w:val="20"/>
                <w:szCs w:val="20"/>
              </w:rPr>
            </w:pPr>
            <w:r w:rsidRPr="00574F90">
              <w:rPr>
                <w:sz w:val="18"/>
                <w:szCs w:val="18"/>
              </w:rPr>
              <w:t xml:space="preserve">Improve public safety by increasing compliance with </w:t>
            </w:r>
            <w:r w:rsidR="00D31D89">
              <w:rPr>
                <w:sz w:val="18"/>
                <w:szCs w:val="18"/>
              </w:rPr>
              <w:t>Federal</w:t>
            </w:r>
            <w:r w:rsidRPr="00574F90">
              <w:rPr>
                <w:sz w:val="18"/>
                <w:szCs w:val="18"/>
              </w:rPr>
              <w:t xml:space="preserve"> laws and regulations by explosives industry</w:t>
            </w:r>
            <w:r w:rsidRPr="003E7F90">
              <w:rPr>
                <w:sz w:val="20"/>
                <w:szCs w:val="20"/>
              </w:rPr>
              <w:t xml:space="preserve"> members</w:t>
            </w:r>
          </w:p>
        </w:tc>
        <w:tc>
          <w:tcPr>
            <w:tcW w:w="599" w:type="pct"/>
            <w:gridSpan w:val="3"/>
            <w:tcBorders>
              <w:top w:val="single" w:sz="4" w:space="0" w:color="auto"/>
              <w:bottom w:val="single" w:sz="4" w:space="0" w:color="auto"/>
            </w:tcBorders>
            <w:shd w:val="clear" w:color="auto" w:fill="auto"/>
            <w:noWrap/>
            <w:tcMar>
              <w:top w:w="15" w:type="dxa"/>
              <w:left w:w="15" w:type="dxa"/>
              <w:bottom w:w="0" w:type="dxa"/>
              <w:right w:w="15" w:type="dxa"/>
            </w:tcMar>
            <w:vAlign w:val="center"/>
          </w:tcPr>
          <w:p w:rsidR="007D4B70" w:rsidRPr="00762F09" w:rsidRDefault="007D4B70" w:rsidP="007D4B70">
            <w:pPr>
              <w:spacing w:before="100" w:beforeAutospacing="1" w:after="100" w:afterAutospacing="1"/>
              <w:jc w:val="center"/>
              <w:rPr>
                <w:sz w:val="22"/>
                <w:szCs w:val="22"/>
              </w:rPr>
            </w:pPr>
            <w:r>
              <w:rPr>
                <w:rFonts w:eastAsia="Arial Unicode MS"/>
              </w:rPr>
              <w:t>100</w:t>
            </w:r>
          </w:p>
        </w:tc>
        <w:tc>
          <w:tcPr>
            <w:tcW w:w="625" w:type="pct"/>
            <w:gridSpan w:val="3"/>
            <w:tcBorders>
              <w:top w:val="single" w:sz="4" w:space="0" w:color="auto"/>
              <w:bottom w:val="single" w:sz="4" w:space="0" w:color="auto"/>
            </w:tcBorders>
            <w:shd w:val="clear" w:color="auto" w:fill="auto"/>
            <w:noWrap/>
            <w:tcMar>
              <w:top w:w="15" w:type="dxa"/>
              <w:left w:w="15" w:type="dxa"/>
              <w:bottom w:w="0" w:type="dxa"/>
              <w:right w:w="15" w:type="dxa"/>
            </w:tcMar>
            <w:vAlign w:val="center"/>
          </w:tcPr>
          <w:p w:rsidR="007D4B70" w:rsidRPr="00762F09" w:rsidRDefault="009B6D04" w:rsidP="009B6D04">
            <w:pPr>
              <w:spacing w:before="100" w:beforeAutospacing="1" w:after="100" w:afterAutospacing="1"/>
              <w:jc w:val="center"/>
              <w:rPr>
                <w:sz w:val="22"/>
                <w:szCs w:val="22"/>
              </w:rPr>
            </w:pPr>
            <w:r w:rsidRPr="009B6D04">
              <w:t>9</w:t>
            </w:r>
            <w:r w:rsidR="00581887">
              <w:t>5.8</w:t>
            </w:r>
          </w:p>
        </w:tc>
        <w:tc>
          <w:tcPr>
            <w:tcW w:w="625" w:type="pct"/>
            <w:gridSpan w:val="3"/>
            <w:tcBorders>
              <w:top w:val="single" w:sz="4" w:space="0" w:color="auto"/>
              <w:bottom w:val="single" w:sz="4" w:space="0" w:color="auto"/>
            </w:tcBorders>
            <w:shd w:val="clear" w:color="auto" w:fill="auto"/>
            <w:noWrap/>
            <w:tcMar>
              <w:top w:w="15" w:type="dxa"/>
              <w:left w:w="15" w:type="dxa"/>
              <w:bottom w:w="0" w:type="dxa"/>
              <w:right w:w="15" w:type="dxa"/>
            </w:tcMar>
            <w:vAlign w:val="center"/>
          </w:tcPr>
          <w:p w:rsidR="007D4B70" w:rsidRDefault="007D4B70" w:rsidP="007D4B70">
            <w:pPr>
              <w:spacing w:before="100" w:beforeAutospacing="1" w:after="100" w:afterAutospacing="1"/>
              <w:jc w:val="center"/>
              <w:rPr>
                <w:sz w:val="22"/>
                <w:szCs w:val="22"/>
              </w:rPr>
            </w:pPr>
            <w:r>
              <w:rPr>
                <w:sz w:val="22"/>
                <w:szCs w:val="22"/>
              </w:rPr>
              <w:t>88</w:t>
            </w:r>
          </w:p>
        </w:tc>
        <w:tc>
          <w:tcPr>
            <w:tcW w:w="782" w:type="pct"/>
            <w:gridSpan w:val="3"/>
            <w:tcBorders>
              <w:top w:val="single" w:sz="4" w:space="0" w:color="auto"/>
              <w:bottom w:val="single" w:sz="4" w:space="0" w:color="auto"/>
            </w:tcBorders>
            <w:shd w:val="clear" w:color="auto" w:fill="auto"/>
            <w:noWrap/>
            <w:tcMar>
              <w:top w:w="15" w:type="dxa"/>
              <w:left w:w="15" w:type="dxa"/>
              <w:bottom w:w="0" w:type="dxa"/>
              <w:right w:w="15" w:type="dxa"/>
            </w:tcMar>
            <w:vAlign w:val="center"/>
          </w:tcPr>
          <w:p w:rsidR="007D4B70" w:rsidRPr="00762F09" w:rsidRDefault="00581887" w:rsidP="007D4B70">
            <w:pPr>
              <w:spacing w:before="100" w:beforeAutospacing="1" w:after="100" w:afterAutospacing="1"/>
              <w:jc w:val="center"/>
              <w:rPr>
                <w:sz w:val="22"/>
                <w:szCs w:val="22"/>
              </w:rPr>
            </w:pPr>
            <w:r>
              <w:rPr>
                <w:sz w:val="22"/>
                <w:szCs w:val="22"/>
              </w:rPr>
              <w:t>(3)</w:t>
            </w:r>
          </w:p>
        </w:tc>
        <w:tc>
          <w:tcPr>
            <w:tcW w:w="744" w:type="pct"/>
            <w:gridSpan w:val="3"/>
            <w:tcBorders>
              <w:top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7D4B70" w:rsidRPr="00762F09" w:rsidRDefault="007D4B70" w:rsidP="007D4B70">
            <w:pPr>
              <w:spacing w:before="100" w:beforeAutospacing="1" w:after="100" w:afterAutospacing="1"/>
              <w:jc w:val="center"/>
              <w:rPr>
                <w:sz w:val="22"/>
                <w:szCs w:val="22"/>
              </w:rPr>
            </w:pPr>
            <w:r>
              <w:rPr>
                <w:sz w:val="22"/>
                <w:szCs w:val="22"/>
              </w:rPr>
              <w:t>8</w:t>
            </w:r>
            <w:r w:rsidR="00581887">
              <w:rPr>
                <w:sz w:val="22"/>
                <w:szCs w:val="22"/>
              </w:rPr>
              <w:t>5</w:t>
            </w:r>
          </w:p>
        </w:tc>
      </w:tr>
    </w:tbl>
    <w:p w:rsidR="007D4B70" w:rsidRDefault="007D4B70">
      <w:pPr>
        <w:rPr>
          <w:b/>
          <w:bCs/>
        </w:rPr>
      </w:pPr>
    </w:p>
    <w:tbl>
      <w:tblPr>
        <w:tblW w:w="14400" w:type="dxa"/>
        <w:jc w:val="center"/>
        <w:tblLayout w:type="fixed"/>
        <w:tblCellMar>
          <w:left w:w="0" w:type="dxa"/>
          <w:right w:w="0" w:type="dxa"/>
        </w:tblCellMar>
        <w:tblLook w:val="0000"/>
      </w:tblPr>
      <w:tblGrid>
        <w:gridCol w:w="1440"/>
        <w:gridCol w:w="204"/>
        <w:gridCol w:w="3478"/>
        <w:gridCol w:w="919"/>
        <w:gridCol w:w="918"/>
        <w:gridCol w:w="918"/>
        <w:gridCol w:w="918"/>
        <w:gridCol w:w="918"/>
        <w:gridCol w:w="907"/>
        <w:gridCol w:w="900"/>
        <w:gridCol w:w="720"/>
        <w:gridCol w:w="1080"/>
        <w:gridCol w:w="1080"/>
      </w:tblGrid>
      <w:tr w:rsidR="007D4B70" w:rsidRPr="00762F09" w:rsidTr="007D4B70">
        <w:trPr>
          <w:trHeight w:val="330"/>
          <w:jc w:val="center"/>
        </w:trPr>
        <w:tc>
          <w:tcPr>
            <w:tcW w:w="1644" w:type="dxa"/>
            <w:gridSpan w:val="2"/>
            <w:tcBorders>
              <w:top w:val="single" w:sz="4" w:space="0" w:color="auto"/>
              <w:left w:val="single" w:sz="4" w:space="0" w:color="auto"/>
              <w:bottom w:val="single" w:sz="4" w:space="0" w:color="auto"/>
            </w:tcBorders>
            <w:tcMar>
              <w:top w:w="20" w:type="dxa"/>
              <w:left w:w="20" w:type="dxa"/>
              <w:bottom w:w="0" w:type="dxa"/>
              <w:right w:w="20" w:type="dxa"/>
            </w:tcMar>
            <w:vAlign w:val="center"/>
          </w:tcPr>
          <w:p w:rsidR="007D4B70" w:rsidRPr="00762F09" w:rsidRDefault="007D4B70" w:rsidP="007D4B70">
            <w:pPr>
              <w:spacing w:before="100" w:beforeAutospacing="1" w:after="100" w:afterAutospacing="1"/>
            </w:pPr>
            <w:r>
              <w:br w:type="page"/>
            </w:r>
          </w:p>
        </w:tc>
        <w:tc>
          <w:tcPr>
            <w:tcW w:w="3478" w:type="dxa"/>
            <w:tcBorders>
              <w:top w:val="single" w:sz="4" w:space="0" w:color="auto"/>
              <w:bottom w:val="single" w:sz="4" w:space="0" w:color="auto"/>
            </w:tcBorders>
            <w:tcMar>
              <w:top w:w="20" w:type="dxa"/>
              <w:left w:w="20" w:type="dxa"/>
              <w:bottom w:w="0" w:type="dxa"/>
              <w:right w:w="20" w:type="dxa"/>
            </w:tcMar>
            <w:vAlign w:val="center"/>
          </w:tcPr>
          <w:p w:rsidR="007D4B70" w:rsidRPr="00762F09" w:rsidRDefault="007D4B70" w:rsidP="007D4B70">
            <w:pPr>
              <w:pStyle w:val="xl27"/>
              <w:spacing w:beforeAutospacing="1" w:afterAutospacing="1"/>
              <w:jc w:val="center"/>
              <w:rPr>
                <w:rFonts w:ascii="Times New Roman" w:hAnsi="Times New Roman"/>
                <w:bCs/>
                <w:szCs w:val="16"/>
              </w:rPr>
            </w:pPr>
          </w:p>
        </w:tc>
        <w:tc>
          <w:tcPr>
            <w:tcW w:w="9278" w:type="dxa"/>
            <w:gridSpan w:val="10"/>
            <w:tcBorders>
              <w:top w:val="single" w:sz="4" w:space="0" w:color="auto"/>
              <w:left w:val="nil"/>
              <w:bottom w:val="single" w:sz="4" w:space="0" w:color="auto"/>
              <w:right w:val="single" w:sz="4" w:space="0" w:color="auto"/>
            </w:tcBorders>
            <w:vAlign w:val="center"/>
          </w:tcPr>
          <w:p w:rsidR="007D4B70" w:rsidRPr="00762F09" w:rsidRDefault="007D4B70" w:rsidP="007D4B70">
            <w:pPr>
              <w:spacing w:before="100" w:beforeAutospacing="1" w:after="100" w:afterAutospacing="1"/>
              <w:rPr>
                <w:rFonts w:eastAsia="Arial Unicode MS"/>
                <w:b/>
                <w:color w:val="FF0000"/>
                <w:sz w:val="28"/>
                <w:szCs w:val="28"/>
              </w:rPr>
            </w:pPr>
            <w:r w:rsidRPr="00762F09">
              <w:rPr>
                <w:rFonts w:eastAsia="Arial Unicode MS"/>
                <w:b/>
                <w:szCs w:val="16"/>
              </w:rPr>
              <w:t xml:space="preserve">Performance Measure Table  </w:t>
            </w:r>
          </w:p>
        </w:tc>
      </w:tr>
      <w:tr w:rsidR="007D4B70" w:rsidRPr="00762F09" w:rsidTr="007D4B70">
        <w:trPr>
          <w:trHeight w:val="348"/>
          <w:jc w:val="center"/>
        </w:trPr>
        <w:tc>
          <w:tcPr>
            <w:tcW w:w="14400" w:type="dxa"/>
            <w:gridSpan w:val="13"/>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D4B70" w:rsidRPr="00762F09" w:rsidRDefault="007D4B70" w:rsidP="007D4B70">
            <w:pPr>
              <w:spacing w:before="100" w:beforeAutospacing="1" w:after="100" w:afterAutospacing="1"/>
              <w:rPr>
                <w:rFonts w:eastAsia="Arial Unicode MS"/>
                <w:b/>
                <w:szCs w:val="16"/>
              </w:rPr>
            </w:pPr>
            <w:r w:rsidRPr="00762F09">
              <w:rPr>
                <w:rFonts w:eastAsia="Arial Unicode MS"/>
                <w:b/>
                <w:szCs w:val="16"/>
              </w:rPr>
              <w:t>Decision Unit: Arson &amp; Explosives</w:t>
            </w:r>
          </w:p>
        </w:tc>
      </w:tr>
      <w:tr w:rsidR="007D4B70" w:rsidRPr="00762F09" w:rsidTr="007D4B70">
        <w:trPr>
          <w:trHeight w:val="357"/>
          <w:jc w:val="center"/>
        </w:trPr>
        <w:tc>
          <w:tcPr>
            <w:tcW w:w="5122" w:type="dxa"/>
            <w:gridSpan w:val="3"/>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7D4B70" w:rsidRPr="00762F09" w:rsidRDefault="007D4B70" w:rsidP="007D4B70">
            <w:pPr>
              <w:pStyle w:val="xl27"/>
              <w:spacing w:beforeAutospacing="1" w:afterAutospacing="1"/>
              <w:jc w:val="center"/>
              <w:rPr>
                <w:rFonts w:ascii="Times New Roman" w:hAnsi="Times New Roman"/>
                <w:bCs/>
                <w:szCs w:val="22"/>
              </w:rPr>
            </w:pPr>
            <w:r w:rsidRPr="00762F09">
              <w:rPr>
                <w:rFonts w:ascii="Times New Roman" w:hAnsi="Times New Roman"/>
                <w:sz w:val="22"/>
                <w:szCs w:val="22"/>
              </w:rPr>
              <w:t>Performance Report and Performance Plan Targets</w:t>
            </w:r>
          </w:p>
        </w:tc>
        <w:tc>
          <w:tcPr>
            <w:tcW w:w="9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7D4B70" w:rsidRPr="00762F09" w:rsidRDefault="007D4B70" w:rsidP="007D4B70">
            <w:pPr>
              <w:spacing w:before="100" w:beforeAutospacing="1" w:after="100" w:afterAutospacing="1"/>
              <w:jc w:val="center"/>
              <w:rPr>
                <w:b/>
                <w:szCs w:val="16"/>
              </w:rPr>
            </w:pPr>
            <w:r>
              <w:rPr>
                <w:b/>
                <w:szCs w:val="16"/>
              </w:rPr>
              <w:t>FY 2005</w:t>
            </w:r>
          </w:p>
        </w:tc>
        <w:tc>
          <w:tcPr>
            <w:tcW w:w="9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D4B70" w:rsidRPr="00762F09" w:rsidRDefault="007D4B70" w:rsidP="007D4B70">
            <w:pPr>
              <w:spacing w:before="100" w:beforeAutospacing="1" w:after="100" w:afterAutospacing="1"/>
              <w:jc w:val="center"/>
              <w:rPr>
                <w:b/>
                <w:szCs w:val="16"/>
              </w:rPr>
            </w:pPr>
            <w:r>
              <w:rPr>
                <w:b/>
                <w:szCs w:val="16"/>
              </w:rPr>
              <w:t>FY 2006</w:t>
            </w:r>
          </w:p>
        </w:tc>
        <w:tc>
          <w:tcPr>
            <w:tcW w:w="9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D4B70" w:rsidRPr="00762F09" w:rsidRDefault="007D4B70" w:rsidP="007D4B70">
            <w:pPr>
              <w:spacing w:before="100" w:beforeAutospacing="1" w:after="100" w:afterAutospacing="1"/>
              <w:jc w:val="center"/>
              <w:rPr>
                <w:b/>
                <w:szCs w:val="16"/>
              </w:rPr>
            </w:pPr>
            <w:r>
              <w:rPr>
                <w:b/>
                <w:szCs w:val="16"/>
              </w:rPr>
              <w:t>FY 2007</w:t>
            </w:r>
          </w:p>
        </w:tc>
        <w:tc>
          <w:tcPr>
            <w:tcW w:w="9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D4B70" w:rsidRPr="00762F09" w:rsidRDefault="007D4B70" w:rsidP="007D4B70">
            <w:pPr>
              <w:spacing w:before="100" w:beforeAutospacing="1" w:after="100" w:afterAutospacing="1"/>
              <w:jc w:val="center"/>
              <w:rPr>
                <w:b/>
                <w:szCs w:val="16"/>
              </w:rPr>
            </w:pPr>
            <w:r>
              <w:rPr>
                <w:b/>
                <w:szCs w:val="16"/>
              </w:rPr>
              <w:t>FY 2008</w:t>
            </w:r>
          </w:p>
        </w:tc>
        <w:tc>
          <w:tcPr>
            <w:tcW w:w="9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D4B70" w:rsidRPr="00762F09" w:rsidRDefault="007D4B70" w:rsidP="007D4B70">
            <w:pPr>
              <w:spacing w:before="100" w:beforeAutospacing="1" w:after="100" w:afterAutospacing="1"/>
              <w:jc w:val="center"/>
              <w:rPr>
                <w:rFonts w:eastAsia="Arial Unicode MS"/>
                <w:b/>
                <w:szCs w:val="16"/>
              </w:rPr>
            </w:pPr>
            <w:r>
              <w:rPr>
                <w:rFonts w:eastAsia="Arial Unicode MS"/>
                <w:b/>
                <w:szCs w:val="16"/>
              </w:rPr>
              <w:t>FY 2009</w:t>
            </w:r>
          </w:p>
        </w:tc>
        <w:tc>
          <w:tcPr>
            <w:tcW w:w="90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D4B70" w:rsidRPr="00762F09" w:rsidRDefault="007D4B70" w:rsidP="007D4B70">
            <w:pPr>
              <w:spacing w:before="100" w:beforeAutospacing="1" w:after="100" w:afterAutospacing="1"/>
              <w:jc w:val="center"/>
              <w:rPr>
                <w:rFonts w:eastAsia="Arial Unicode MS"/>
                <w:b/>
                <w:szCs w:val="16"/>
              </w:rPr>
            </w:pPr>
            <w:r>
              <w:rPr>
                <w:rFonts w:eastAsia="Arial Unicode MS"/>
                <w:b/>
                <w:szCs w:val="16"/>
              </w:rPr>
              <w:t>FY 2010</w:t>
            </w:r>
          </w:p>
        </w:tc>
        <w:tc>
          <w:tcPr>
            <w:tcW w:w="162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7D4B70" w:rsidRPr="00762F09" w:rsidRDefault="007D4B70" w:rsidP="007D4B70">
            <w:pPr>
              <w:spacing w:before="100" w:beforeAutospacing="1" w:after="100" w:afterAutospacing="1"/>
              <w:jc w:val="center"/>
              <w:rPr>
                <w:rFonts w:eastAsia="Arial Unicode MS"/>
                <w:b/>
                <w:szCs w:val="16"/>
              </w:rPr>
            </w:pPr>
            <w:r>
              <w:rPr>
                <w:rFonts w:eastAsia="Arial Unicode MS"/>
                <w:b/>
                <w:szCs w:val="16"/>
              </w:rPr>
              <w:t>FY 2011</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7D4B70" w:rsidRPr="00762F09" w:rsidRDefault="007D4B70" w:rsidP="007D4B70">
            <w:pPr>
              <w:spacing w:before="100" w:beforeAutospacing="1" w:after="100" w:afterAutospacing="1"/>
              <w:jc w:val="center"/>
              <w:rPr>
                <w:rFonts w:eastAsia="Arial Unicode MS"/>
                <w:b/>
                <w:szCs w:val="16"/>
              </w:rPr>
            </w:pPr>
            <w:r>
              <w:rPr>
                <w:rFonts w:eastAsia="Arial Unicode MS"/>
                <w:b/>
                <w:szCs w:val="16"/>
              </w:rPr>
              <w:t>FY 2012</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7D4B70" w:rsidRPr="00762F09" w:rsidRDefault="007D4B70" w:rsidP="007D4B70">
            <w:pPr>
              <w:spacing w:before="100" w:beforeAutospacing="1" w:after="100" w:afterAutospacing="1"/>
              <w:jc w:val="center"/>
              <w:rPr>
                <w:rFonts w:eastAsia="Arial Unicode MS"/>
                <w:b/>
                <w:szCs w:val="16"/>
              </w:rPr>
            </w:pPr>
            <w:r>
              <w:rPr>
                <w:rFonts w:eastAsia="Arial Unicode MS"/>
                <w:b/>
                <w:szCs w:val="16"/>
              </w:rPr>
              <w:t>FY 2013</w:t>
            </w:r>
          </w:p>
        </w:tc>
      </w:tr>
      <w:tr w:rsidR="007D4B70" w:rsidRPr="00762F09" w:rsidTr="007D4B70">
        <w:trPr>
          <w:trHeight w:val="285"/>
          <w:jc w:val="center"/>
        </w:trPr>
        <w:tc>
          <w:tcPr>
            <w:tcW w:w="5122" w:type="dxa"/>
            <w:gridSpan w:val="3"/>
            <w:vMerge/>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7D4B70" w:rsidRPr="00762F09" w:rsidRDefault="007D4B70" w:rsidP="007D4B70">
            <w:pPr>
              <w:pStyle w:val="xl27"/>
              <w:spacing w:beforeAutospacing="1" w:afterAutospacing="1"/>
              <w:rPr>
                <w:rFonts w:ascii="Times New Roman" w:hAnsi="Times New Roman"/>
                <w:sz w:val="20"/>
              </w:rPr>
            </w:pPr>
          </w:p>
        </w:tc>
        <w:tc>
          <w:tcPr>
            <w:tcW w:w="919"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7D4B70" w:rsidRPr="00762F09" w:rsidRDefault="007D4B70" w:rsidP="007D4B70">
            <w:pPr>
              <w:spacing w:before="100" w:beforeAutospacing="1" w:after="100" w:afterAutospacing="1"/>
              <w:jc w:val="center"/>
              <w:rPr>
                <w:b/>
                <w:szCs w:val="16"/>
              </w:rPr>
            </w:pPr>
            <w:r w:rsidRPr="00762F09">
              <w:rPr>
                <w:b/>
                <w:szCs w:val="16"/>
              </w:rPr>
              <w:t>Actual</w:t>
            </w:r>
          </w:p>
        </w:tc>
        <w:tc>
          <w:tcPr>
            <w:tcW w:w="918"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7D4B70" w:rsidRPr="00762F09" w:rsidRDefault="007D4B70" w:rsidP="007D4B70">
            <w:pPr>
              <w:spacing w:before="100" w:beforeAutospacing="1" w:after="100" w:afterAutospacing="1"/>
              <w:jc w:val="center"/>
              <w:rPr>
                <w:b/>
                <w:szCs w:val="16"/>
              </w:rPr>
            </w:pPr>
            <w:r w:rsidRPr="00762F09">
              <w:rPr>
                <w:b/>
                <w:szCs w:val="16"/>
              </w:rPr>
              <w:t>Actual</w:t>
            </w:r>
          </w:p>
        </w:tc>
        <w:tc>
          <w:tcPr>
            <w:tcW w:w="9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7D4B70" w:rsidRPr="00762F09" w:rsidRDefault="007D4B70" w:rsidP="007D4B70">
            <w:pPr>
              <w:spacing w:before="100" w:beforeAutospacing="1" w:after="100" w:afterAutospacing="1"/>
              <w:jc w:val="center"/>
              <w:rPr>
                <w:b/>
                <w:szCs w:val="16"/>
              </w:rPr>
            </w:pPr>
            <w:r w:rsidRPr="00762F09">
              <w:rPr>
                <w:b/>
                <w:szCs w:val="16"/>
              </w:rPr>
              <w:t>Actual</w:t>
            </w:r>
          </w:p>
        </w:tc>
        <w:tc>
          <w:tcPr>
            <w:tcW w:w="9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7D4B70" w:rsidRPr="00762F09" w:rsidRDefault="007D4B70" w:rsidP="007D4B70">
            <w:pPr>
              <w:spacing w:before="100" w:beforeAutospacing="1" w:after="100" w:afterAutospacing="1"/>
              <w:jc w:val="center"/>
              <w:rPr>
                <w:b/>
                <w:szCs w:val="16"/>
              </w:rPr>
            </w:pPr>
            <w:r w:rsidRPr="00762F09">
              <w:rPr>
                <w:b/>
                <w:szCs w:val="16"/>
              </w:rPr>
              <w:t>Actual</w:t>
            </w:r>
          </w:p>
        </w:tc>
        <w:tc>
          <w:tcPr>
            <w:tcW w:w="91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7D4B70" w:rsidRPr="00762F09" w:rsidRDefault="007D4B70" w:rsidP="007D4B70">
            <w:pPr>
              <w:spacing w:before="100" w:beforeAutospacing="1" w:after="100" w:afterAutospacing="1"/>
              <w:jc w:val="center"/>
              <w:rPr>
                <w:b/>
                <w:szCs w:val="16"/>
              </w:rPr>
            </w:pPr>
            <w:r w:rsidRPr="00762F09">
              <w:rPr>
                <w:b/>
                <w:szCs w:val="16"/>
              </w:rPr>
              <w:t>Actual</w:t>
            </w:r>
          </w:p>
        </w:tc>
        <w:tc>
          <w:tcPr>
            <w:tcW w:w="90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7D4B70" w:rsidRPr="00762F09" w:rsidRDefault="007D4B70" w:rsidP="007D4B70">
            <w:pPr>
              <w:spacing w:before="100" w:beforeAutospacing="1" w:after="100" w:afterAutospacing="1"/>
              <w:jc w:val="center"/>
              <w:rPr>
                <w:rFonts w:eastAsia="Arial Unicode MS"/>
                <w:b/>
                <w:szCs w:val="16"/>
              </w:rPr>
            </w:pPr>
            <w:r w:rsidRPr="00762F09">
              <w:rPr>
                <w:rFonts w:eastAsia="Arial Unicode MS"/>
                <w:b/>
                <w:szCs w:val="16"/>
              </w:rPr>
              <w:t>Actual</w:t>
            </w:r>
          </w:p>
        </w:tc>
        <w:tc>
          <w:tcPr>
            <w:tcW w:w="9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7D4B70" w:rsidRPr="00762F09" w:rsidRDefault="007D4B70" w:rsidP="007D4B70">
            <w:pPr>
              <w:spacing w:before="100" w:beforeAutospacing="1" w:after="100" w:afterAutospacing="1"/>
              <w:jc w:val="center"/>
              <w:rPr>
                <w:rFonts w:eastAsia="Arial Unicode MS"/>
                <w:b/>
                <w:szCs w:val="16"/>
              </w:rPr>
            </w:pPr>
            <w:r w:rsidRPr="00762F09">
              <w:rPr>
                <w:rFonts w:eastAsia="Arial Unicode MS"/>
                <w:b/>
                <w:szCs w:val="16"/>
              </w:rPr>
              <w:t>Target</w:t>
            </w:r>
          </w:p>
        </w:tc>
        <w:tc>
          <w:tcPr>
            <w:tcW w:w="72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7D4B70" w:rsidRPr="00762F09" w:rsidRDefault="007D4B70" w:rsidP="007D4B70">
            <w:pPr>
              <w:spacing w:before="100" w:beforeAutospacing="1" w:after="100" w:afterAutospacing="1"/>
              <w:jc w:val="center"/>
              <w:rPr>
                <w:rFonts w:eastAsia="Arial Unicode MS"/>
                <w:b/>
                <w:szCs w:val="16"/>
              </w:rPr>
            </w:pPr>
            <w:r w:rsidRPr="00762F09">
              <w:rPr>
                <w:b/>
                <w:bCs/>
                <w:szCs w:val="16"/>
              </w:rPr>
              <w:t xml:space="preserve">Actual </w:t>
            </w:r>
          </w:p>
        </w:tc>
        <w:tc>
          <w:tcPr>
            <w:tcW w:w="108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7D4B70" w:rsidRPr="00762F09" w:rsidRDefault="007D4B70" w:rsidP="007D4B70">
            <w:pPr>
              <w:spacing w:before="100" w:beforeAutospacing="1" w:after="100" w:afterAutospacing="1"/>
              <w:jc w:val="center"/>
              <w:rPr>
                <w:rFonts w:eastAsia="Arial Unicode MS"/>
                <w:b/>
                <w:szCs w:val="16"/>
              </w:rPr>
            </w:pPr>
            <w:r w:rsidRPr="00762F09">
              <w:rPr>
                <w:rFonts w:eastAsia="Arial Unicode MS"/>
                <w:b/>
                <w:szCs w:val="16"/>
              </w:rPr>
              <w:t>Target</w:t>
            </w:r>
          </w:p>
        </w:tc>
        <w:tc>
          <w:tcPr>
            <w:tcW w:w="10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7D4B70" w:rsidRPr="00762F09" w:rsidRDefault="007D4B70" w:rsidP="007D4B70">
            <w:pPr>
              <w:spacing w:before="100" w:beforeAutospacing="1" w:after="100" w:afterAutospacing="1"/>
              <w:jc w:val="center"/>
              <w:rPr>
                <w:rFonts w:eastAsia="Arial Unicode MS"/>
                <w:b/>
                <w:szCs w:val="16"/>
              </w:rPr>
            </w:pPr>
            <w:r w:rsidRPr="00762F09">
              <w:rPr>
                <w:rFonts w:eastAsia="Arial Unicode MS"/>
                <w:b/>
                <w:szCs w:val="16"/>
              </w:rPr>
              <w:t>Target</w:t>
            </w:r>
          </w:p>
        </w:tc>
      </w:tr>
      <w:tr w:rsidR="007D4B70" w:rsidRPr="0032011B" w:rsidTr="007D4B70">
        <w:trPr>
          <w:trHeight w:val="834"/>
          <w:jc w:val="center"/>
        </w:trPr>
        <w:tc>
          <w:tcPr>
            <w:tcW w:w="1440" w:type="dxa"/>
            <w:tcBorders>
              <w:top w:val="single" w:sz="4" w:space="0" w:color="auto"/>
              <w:left w:val="single" w:sz="4" w:space="0" w:color="auto"/>
              <w:bottom w:val="single" w:sz="4" w:space="0" w:color="auto"/>
              <w:right w:val="nil"/>
            </w:tcBorders>
            <w:shd w:val="clear" w:color="auto" w:fill="auto"/>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bCs/>
                <w:sz w:val="22"/>
                <w:szCs w:val="22"/>
              </w:rPr>
            </w:pPr>
            <w:r w:rsidRPr="0032011B">
              <w:rPr>
                <w:rFonts w:eastAsia="Arial Unicode MS"/>
                <w:sz w:val="22"/>
                <w:szCs w:val="22"/>
              </w:rPr>
              <w:t>OUTCOME  Measure</w:t>
            </w:r>
          </w:p>
        </w:tc>
        <w:tc>
          <w:tcPr>
            <w:tcW w:w="3682" w:type="dxa"/>
            <w:gridSpan w:val="2"/>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7D4B70" w:rsidRPr="0032011B" w:rsidRDefault="007D4B70" w:rsidP="007D4B70">
            <w:pPr>
              <w:spacing w:before="100" w:beforeAutospacing="1" w:after="100" w:afterAutospacing="1"/>
              <w:rPr>
                <w:bCs/>
                <w:szCs w:val="16"/>
              </w:rPr>
            </w:pPr>
            <w:r w:rsidRPr="0032011B">
              <w:rPr>
                <w:rStyle w:val="explanation"/>
                <w:sz w:val="22"/>
                <w:szCs w:val="22"/>
              </w:rPr>
              <w:t>Reduce the risk to public safety caused by bomb and explosives</w:t>
            </w:r>
          </w:p>
        </w:tc>
        <w:tc>
          <w:tcPr>
            <w:tcW w:w="919"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szCs w:val="16"/>
              </w:rPr>
            </w:pPr>
            <w:r w:rsidRPr="0032011B">
              <w:rPr>
                <w:rFonts w:eastAsia="Arial Unicode MS"/>
              </w:rPr>
              <w:t>N/A</w:t>
            </w:r>
          </w:p>
        </w:tc>
        <w:tc>
          <w:tcPr>
            <w:tcW w:w="9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szCs w:val="16"/>
              </w:rPr>
            </w:pPr>
            <w:r w:rsidRPr="0032011B">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szCs w:val="16"/>
              </w:rPr>
            </w:pPr>
            <w:r w:rsidRPr="0032011B">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szCs w:val="16"/>
              </w:rPr>
            </w:pPr>
            <w:r w:rsidRPr="0032011B">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szCs w:val="16"/>
              </w:rPr>
            </w:pPr>
            <w:r w:rsidRPr="0032011B">
              <w:rPr>
                <w:rFonts w:eastAsia="Arial Unicode MS"/>
              </w:rPr>
              <w:t>N/A</w:t>
            </w:r>
          </w:p>
        </w:tc>
        <w:tc>
          <w:tcPr>
            <w:tcW w:w="90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szCs w:val="16"/>
              </w:rPr>
            </w:pPr>
            <w:r w:rsidRPr="0032011B">
              <w:rPr>
                <w:rFonts w:eastAsia="Arial Unicode MS"/>
              </w:rPr>
              <w:t>92.8</w:t>
            </w:r>
          </w:p>
        </w:tc>
        <w:tc>
          <w:tcPr>
            <w:tcW w:w="900"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szCs w:val="16"/>
              </w:rPr>
            </w:pPr>
            <w:r w:rsidRPr="0032011B">
              <w:rPr>
                <w:rFonts w:eastAsia="Arial Unicode MS"/>
              </w:rPr>
              <w:t>100</w:t>
            </w:r>
          </w:p>
        </w:tc>
        <w:tc>
          <w:tcPr>
            <w:tcW w:w="720" w:type="dxa"/>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0" w:type="dxa"/>
              <w:right w:w="20" w:type="dxa"/>
            </w:tcMar>
            <w:vAlign w:val="center"/>
          </w:tcPr>
          <w:p w:rsidR="007D4B70" w:rsidRPr="0032011B" w:rsidRDefault="004852D5" w:rsidP="004852D5">
            <w:pPr>
              <w:spacing w:before="100" w:beforeAutospacing="1" w:after="100" w:afterAutospacing="1"/>
              <w:jc w:val="center"/>
              <w:rPr>
                <w:rFonts w:eastAsia="Arial Unicode MS"/>
                <w:szCs w:val="16"/>
              </w:rPr>
            </w:pPr>
            <w:r w:rsidRPr="0032011B">
              <w:rPr>
                <w:rFonts w:eastAsia="Arial Unicode MS"/>
              </w:rPr>
              <w:t>96</w:t>
            </w:r>
            <w:r w:rsidR="009B6D04" w:rsidRPr="0032011B">
              <w:rPr>
                <w:rFonts w:eastAsia="Arial Unicode MS"/>
              </w:rPr>
              <w:t>.0</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rPr>
            </w:pPr>
            <w:r w:rsidRPr="0032011B">
              <w:rPr>
                <w:rFonts w:eastAsia="Arial Unicode MS"/>
              </w:rPr>
              <w:t>73</w:t>
            </w:r>
          </w:p>
        </w:tc>
        <w:tc>
          <w:tcPr>
            <w:tcW w:w="108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r w:rsidRPr="0032011B">
              <w:t xml:space="preserve">       73</w:t>
            </w:r>
          </w:p>
        </w:tc>
      </w:tr>
      <w:tr w:rsidR="007D4B70" w:rsidRPr="0032011B" w:rsidTr="007D4B70">
        <w:trPr>
          <w:trHeight w:val="834"/>
          <w:jc w:val="center"/>
        </w:trPr>
        <w:tc>
          <w:tcPr>
            <w:tcW w:w="1440" w:type="dxa"/>
            <w:tcBorders>
              <w:top w:val="single" w:sz="4" w:space="0" w:color="auto"/>
              <w:left w:val="single" w:sz="4" w:space="0" w:color="auto"/>
              <w:bottom w:val="single" w:sz="4" w:space="0" w:color="auto"/>
              <w:right w:val="nil"/>
            </w:tcBorders>
            <w:shd w:val="clear" w:color="auto" w:fill="auto"/>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bCs/>
                <w:sz w:val="22"/>
                <w:szCs w:val="22"/>
              </w:rPr>
            </w:pPr>
            <w:r w:rsidRPr="0032011B">
              <w:rPr>
                <w:rFonts w:eastAsia="Arial Unicode MS"/>
                <w:sz w:val="22"/>
                <w:szCs w:val="22"/>
              </w:rPr>
              <w:t>OUTCOME  Measure</w:t>
            </w:r>
          </w:p>
        </w:tc>
        <w:tc>
          <w:tcPr>
            <w:tcW w:w="3682" w:type="dxa"/>
            <w:gridSpan w:val="2"/>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7D4B70" w:rsidRPr="0032011B" w:rsidRDefault="007D4B70" w:rsidP="007D4B70">
            <w:pPr>
              <w:spacing w:before="100" w:beforeAutospacing="1" w:after="100" w:afterAutospacing="1"/>
              <w:rPr>
                <w:bCs/>
                <w:szCs w:val="16"/>
              </w:rPr>
            </w:pPr>
            <w:r w:rsidRPr="0032011B">
              <w:rPr>
                <w:rStyle w:val="explanation"/>
                <w:sz w:val="22"/>
                <w:szCs w:val="22"/>
              </w:rPr>
              <w:t>Reduce the risk to public safety caused by criminal use of fire</w:t>
            </w:r>
          </w:p>
        </w:tc>
        <w:tc>
          <w:tcPr>
            <w:tcW w:w="919"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szCs w:val="16"/>
              </w:rPr>
            </w:pPr>
            <w:r w:rsidRPr="0032011B">
              <w:rPr>
                <w:rFonts w:eastAsia="Arial Unicode MS"/>
              </w:rPr>
              <w:t>N/A</w:t>
            </w:r>
          </w:p>
        </w:tc>
        <w:tc>
          <w:tcPr>
            <w:tcW w:w="9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szCs w:val="16"/>
              </w:rPr>
            </w:pPr>
            <w:r w:rsidRPr="0032011B">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szCs w:val="16"/>
              </w:rPr>
            </w:pPr>
            <w:r w:rsidRPr="0032011B">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szCs w:val="16"/>
              </w:rPr>
            </w:pPr>
            <w:r w:rsidRPr="0032011B">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szCs w:val="16"/>
              </w:rPr>
            </w:pPr>
            <w:r w:rsidRPr="0032011B">
              <w:rPr>
                <w:rFonts w:eastAsia="Arial Unicode MS"/>
              </w:rPr>
              <w:t>N/A</w:t>
            </w:r>
          </w:p>
        </w:tc>
        <w:tc>
          <w:tcPr>
            <w:tcW w:w="90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szCs w:val="16"/>
              </w:rPr>
            </w:pPr>
            <w:r w:rsidRPr="0032011B">
              <w:rPr>
                <w:rFonts w:eastAsia="Arial Unicode MS"/>
              </w:rPr>
              <w:t>99.9</w:t>
            </w:r>
          </w:p>
        </w:tc>
        <w:tc>
          <w:tcPr>
            <w:tcW w:w="900"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szCs w:val="16"/>
              </w:rPr>
            </w:pPr>
            <w:r w:rsidRPr="0032011B">
              <w:rPr>
                <w:rFonts w:eastAsia="Arial Unicode MS"/>
              </w:rPr>
              <w:t>100</w:t>
            </w:r>
          </w:p>
        </w:tc>
        <w:tc>
          <w:tcPr>
            <w:tcW w:w="720" w:type="dxa"/>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0" w:type="dxa"/>
              <w:right w:w="20" w:type="dxa"/>
            </w:tcMar>
            <w:vAlign w:val="center"/>
          </w:tcPr>
          <w:p w:rsidR="007D4B70" w:rsidRPr="0032011B" w:rsidRDefault="004852D5" w:rsidP="004852D5">
            <w:pPr>
              <w:spacing w:before="100" w:beforeAutospacing="1" w:after="100" w:afterAutospacing="1"/>
              <w:jc w:val="center"/>
              <w:rPr>
                <w:rFonts w:eastAsia="Arial Unicode MS"/>
                <w:szCs w:val="16"/>
              </w:rPr>
            </w:pPr>
            <w:r w:rsidRPr="0032011B">
              <w:rPr>
                <w:rFonts w:eastAsia="Arial Unicode MS"/>
              </w:rPr>
              <w:t>68.2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rPr>
            </w:pPr>
            <w:r w:rsidRPr="0032011B">
              <w:rPr>
                <w:rFonts w:eastAsia="Arial Unicode MS"/>
              </w:rPr>
              <w:t>79</w:t>
            </w:r>
          </w:p>
        </w:tc>
        <w:tc>
          <w:tcPr>
            <w:tcW w:w="108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r w:rsidRPr="0032011B">
              <w:t xml:space="preserve">      7</w:t>
            </w:r>
            <w:r w:rsidR="00581887">
              <w:t>8</w:t>
            </w:r>
          </w:p>
        </w:tc>
      </w:tr>
      <w:tr w:rsidR="007D4B70" w:rsidRPr="0032011B" w:rsidTr="007D4B70">
        <w:trPr>
          <w:trHeight w:val="834"/>
          <w:jc w:val="center"/>
        </w:trPr>
        <w:tc>
          <w:tcPr>
            <w:tcW w:w="1440" w:type="dxa"/>
            <w:tcBorders>
              <w:top w:val="single" w:sz="4" w:space="0" w:color="auto"/>
              <w:left w:val="single" w:sz="4" w:space="0" w:color="auto"/>
              <w:bottom w:val="single" w:sz="4" w:space="0" w:color="auto"/>
              <w:right w:val="nil"/>
            </w:tcBorders>
            <w:shd w:val="clear" w:color="auto" w:fill="auto"/>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bCs/>
                <w:sz w:val="22"/>
                <w:szCs w:val="22"/>
              </w:rPr>
            </w:pPr>
            <w:r w:rsidRPr="0032011B">
              <w:rPr>
                <w:rFonts w:eastAsia="Arial Unicode MS"/>
                <w:sz w:val="22"/>
                <w:szCs w:val="22"/>
              </w:rPr>
              <w:t>OUTCOME  Measure</w:t>
            </w:r>
          </w:p>
        </w:tc>
        <w:tc>
          <w:tcPr>
            <w:tcW w:w="3682" w:type="dxa"/>
            <w:gridSpan w:val="2"/>
            <w:tcBorders>
              <w:top w:val="single" w:sz="4" w:space="0" w:color="auto"/>
              <w:left w:val="single" w:sz="4" w:space="0" w:color="auto"/>
              <w:bottom w:val="single" w:sz="4" w:space="0" w:color="auto"/>
              <w:right w:val="single" w:sz="4" w:space="0" w:color="auto"/>
            </w:tcBorders>
            <w:shd w:val="clear" w:color="auto" w:fill="auto"/>
            <w:tcMar>
              <w:top w:w="20" w:type="dxa"/>
              <w:left w:w="20" w:type="dxa"/>
              <w:bottom w:w="0" w:type="dxa"/>
              <w:right w:w="20" w:type="dxa"/>
            </w:tcMar>
            <w:vAlign w:val="center"/>
          </w:tcPr>
          <w:p w:rsidR="007D4B70" w:rsidRPr="0032011B" w:rsidRDefault="007D4B70" w:rsidP="007D4B70">
            <w:pPr>
              <w:spacing w:before="100" w:beforeAutospacing="1" w:after="100" w:afterAutospacing="1"/>
              <w:rPr>
                <w:bCs/>
                <w:szCs w:val="16"/>
              </w:rPr>
            </w:pPr>
            <w:r w:rsidRPr="0032011B">
              <w:rPr>
                <w:sz w:val="22"/>
                <w:szCs w:val="22"/>
              </w:rPr>
              <w:t xml:space="preserve">Improve public safety by increasing compliance with </w:t>
            </w:r>
            <w:r w:rsidR="00D31D89" w:rsidRPr="0032011B">
              <w:rPr>
                <w:sz w:val="22"/>
                <w:szCs w:val="22"/>
              </w:rPr>
              <w:t>Federal</w:t>
            </w:r>
            <w:r w:rsidRPr="0032011B">
              <w:rPr>
                <w:sz w:val="22"/>
                <w:szCs w:val="22"/>
              </w:rPr>
              <w:t xml:space="preserve"> laws and regulations by explosives industry members</w:t>
            </w:r>
          </w:p>
        </w:tc>
        <w:tc>
          <w:tcPr>
            <w:tcW w:w="919"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szCs w:val="16"/>
              </w:rPr>
            </w:pPr>
            <w:r w:rsidRPr="0032011B">
              <w:rPr>
                <w:rFonts w:eastAsia="Arial Unicode MS"/>
              </w:rPr>
              <w:t>N/A</w:t>
            </w:r>
          </w:p>
        </w:tc>
        <w:tc>
          <w:tcPr>
            <w:tcW w:w="91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szCs w:val="16"/>
              </w:rPr>
            </w:pPr>
            <w:r w:rsidRPr="0032011B">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szCs w:val="16"/>
              </w:rPr>
            </w:pPr>
            <w:r w:rsidRPr="0032011B">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szCs w:val="16"/>
              </w:rPr>
            </w:pPr>
            <w:r w:rsidRPr="0032011B">
              <w:rPr>
                <w:rFonts w:eastAsia="Arial Unicode MS"/>
              </w:rPr>
              <w:t>N/A</w:t>
            </w:r>
          </w:p>
        </w:tc>
        <w:tc>
          <w:tcPr>
            <w:tcW w:w="918"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szCs w:val="16"/>
              </w:rPr>
            </w:pPr>
            <w:r w:rsidRPr="0032011B">
              <w:rPr>
                <w:rFonts w:eastAsia="Arial Unicode MS"/>
              </w:rPr>
              <w:t>N/A</w:t>
            </w:r>
          </w:p>
        </w:tc>
        <w:tc>
          <w:tcPr>
            <w:tcW w:w="907"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szCs w:val="16"/>
              </w:rPr>
            </w:pPr>
            <w:r w:rsidRPr="0032011B">
              <w:rPr>
                <w:rFonts w:eastAsia="Arial Unicode MS"/>
              </w:rPr>
              <w:t>93.5</w:t>
            </w:r>
          </w:p>
        </w:tc>
        <w:tc>
          <w:tcPr>
            <w:tcW w:w="900" w:type="dxa"/>
            <w:tcBorders>
              <w:top w:val="single" w:sz="4" w:space="0" w:color="auto"/>
              <w:left w:val="nil"/>
              <w:bottom w:val="single" w:sz="4" w:space="0" w:color="auto"/>
              <w:right w:val="single" w:sz="4" w:space="0" w:color="auto"/>
            </w:tcBorders>
            <w:shd w:val="clear" w:color="auto" w:fill="auto"/>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szCs w:val="16"/>
              </w:rPr>
            </w:pPr>
            <w:r w:rsidRPr="0032011B">
              <w:rPr>
                <w:rFonts w:eastAsia="Arial Unicode MS"/>
              </w:rPr>
              <w:t>100</w:t>
            </w:r>
          </w:p>
        </w:tc>
        <w:tc>
          <w:tcPr>
            <w:tcW w:w="720" w:type="dxa"/>
            <w:tcBorders>
              <w:top w:val="single" w:sz="4" w:space="0" w:color="auto"/>
              <w:left w:val="single" w:sz="4" w:space="0" w:color="auto"/>
              <w:bottom w:val="single" w:sz="4" w:space="0" w:color="auto"/>
              <w:right w:val="single" w:sz="4" w:space="0" w:color="auto"/>
            </w:tcBorders>
            <w:shd w:val="clear" w:color="auto" w:fill="CCCCCC"/>
            <w:tcMar>
              <w:top w:w="20" w:type="dxa"/>
              <w:left w:w="20" w:type="dxa"/>
              <w:bottom w:w="0" w:type="dxa"/>
              <w:right w:w="20" w:type="dxa"/>
            </w:tcMar>
            <w:vAlign w:val="center"/>
          </w:tcPr>
          <w:p w:rsidR="007D4B70" w:rsidRPr="0032011B" w:rsidRDefault="004852D5" w:rsidP="004852D5">
            <w:pPr>
              <w:spacing w:before="100" w:beforeAutospacing="1" w:after="100" w:afterAutospacing="1"/>
              <w:jc w:val="center"/>
              <w:rPr>
                <w:rFonts w:eastAsia="Arial Unicode MS"/>
                <w:szCs w:val="16"/>
              </w:rPr>
            </w:pPr>
            <w:r w:rsidRPr="0032011B">
              <w:rPr>
                <w:rFonts w:eastAsia="Arial Unicode MS"/>
              </w:rPr>
              <w:t>95.8</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jc w:val="center"/>
              <w:rPr>
                <w:rFonts w:eastAsia="Arial Unicode MS"/>
              </w:rPr>
            </w:pPr>
            <w:r w:rsidRPr="0032011B">
              <w:rPr>
                <w:rFonts w:eastAsia="Arial Unicode MS"/>
              </w:rPr>
              <w:t>88</w:t>
            </w:r>
          </w:p>
        </w:tc>
        <w:tc>
          <w:tcPr>
            <w:tcW w:w="1080" w:type="dxa"/>
            <w:tcBorders>
              <w:top w:val="single" w:sz="4" w:space="0" w:color="auto"/>
              <w:left w:val="nil"/>
              <w:bottom w:val="single" w:sz="4" w:space="0" w:color="auto"/>
              <w:right w:val="single" w:sz="4" w:space="0" w:color="auto"/>
            </w:tcBorders>
            <w:shd w:val="clear" w:color="auto" w:fill="auto"/>
            <w:noWrap/>
            <w:tcMar>
              <w:top w:w="20" w:type="dxa"/>
              <w:left w:w="20" w:type="dxa"/>
              <w:bottom w:w="0" w:type="dxa"/>
              <w:right w:w="20" w:type="dxa"/>
            </w:tcMar>
            <w:vAlign w:val="center"/>
          </w:tcPr>
          <w:p w:rsidR="007D4B70" w:rsidRPr="0032011B" w:rsidRDefault="007D4B70" w:rsidP="007D4B70">
            <w:pPr>
              <w:spacing w:before="100" w:beforeAutospacing="1" w:after="100" w:afterAutospacing="1"/>
              <w:rPr>
                <w:rFonts w:eastAsia="Arial Unicode MS"/>
              </w:rPr>
            </w:pPr>
            <w:r w:rsidRPr="0032011B">
              <w:rPr>
                <w:rFonts w:eastAsia="Arial Unicode MS"/>
              </w:rPr>
              <w:t xml:space="preserve">      8</w:t>
            </w:r>
            <w:r w:rsidR="00581887">
              <w:rPr>
                <w:rFonts w:eastAsia="Arial Unicode MS"/>
              </w:rPr>
              <w:t>5</w:t>
            </w:r>
          </w:p>
        </w:tc>
      </w:tr>
    </w:tbl>
    <w:p w:rsidR="0065620E" w:rsidRDefault="0065620E" w:rsidP="007D4B70">
      <w:pPr>
        <w:rPr>
          <w:b/>
          <w:sz w:val="18"/>
          <w:szCs w:val="18"/>
        </w:rPr>
      </w:pPr>
    </w:p>
    <w:p w:rsidR="007D4B70" w:rsidRDefault="007D4B70" w:rsidP="007D4B70">
      <w:pPr>
        <w:rPr>
          <w:color w:val="000000"/>
          <w:sz w:val="16"/>
          <w:szCs w:val="16"/>
        </w:rPr>
      </w:pPr>
      <w:r w:rsidRPr="0032011B">
        <w:rPr>
          <w:b/>
          <w:sz w:val="18"/>
          <w:szCs w:val="18"/>
        </w:rPr>
        <w:t xml:space="preserve">Footnote: </w:t>
      </w:r>
      <w:r w:rsidRPr="0032011B">
        <w:rPr>
          <w:sz w:val="18"/>
          <w:szCs w:val="18"/>
        </w:rPr>
        <w:t xml:space="preserve"> </w:t>
      </w:r>
      <w:r w:rsidR="004852D5" w:rsidRPr="0032011B">
        <w:rPr>
          <w:sz w:val="16"/>
          <w:szCs w:val="16"/>
        </w:rPr>
        <w:t xml:space="preserve"> </w:t>
      </w:r>
      <w:r w:rsidR="009E6741" w:rsidRPr="0032011B">
        <w:rPr>
          <w:sz w:val="16"/>
          <w:szCs w:val="16"/>
        </w:rPr>
        <w:t xml:space="preserve">ATF has established a benchmark for its performance index using FY 2010 actual performance data and resource levels.  The benchmark level is expressed as a performance index target of “100” in the FY 2011 Congressional Budget Request.  From this benchmark, ATF has determined the FY 2012 performance targets by estimating expected performance with the level of resources at the FY 2012 current rate.  ATF’s FY 2012 performance targets represent the Bureau’s capability (relative to the FY 2010 benchmark level and within the resources requested) to impact strategic risk areas (Performance Goals/Outcome).  Using the underlying benchmarked proxy index indicators as a starting point, ATF is able to project anticipated mission performance, with results displayed at the performance goal index levels (Actuals).  Please refer to section 3.a. for a discussion of the Performance Plan and Report of Outcomes.  </w:t>
      </w:r>
    </w:p>
    <w:p w:rsidR="005C3540" w:rsidRDefault="005C3540">
      <w:pPr>
        <w:rPr>
          <w:color w:val="000000"/>
          <w:sz w:val="16"/>
          <w:szCs w:val="16"/>
        </w:rPr>
        <w:sectPr w:rsidR="005C3540" w:rsidSect="003D58F4">
          <w:pgSz w:w="15840" w:h="12240" w:orient="landscape" w:code="1"/>
          <w:pgMar w:top="1080" w:right="1440" w:bottom="1440" w:left="1440" w:header="720" w:footer="720" w:gutter="0"/>
          <w:cols w:space="720"/>
          <w:docGrid w:linePitch="360"/>
        </w:sectPr>
      </w:pPr>
    </w:p>
    <w:p w:rsidR="007D4B70" w:rsidRPr="00762F09" w:rsidRDefault="0027121A" w:rsidP="00D27887">
      <w:pPr>
        <w:spacing w:before="100" w:beforeAutospacing="1" w:after="100" w:afterAutospacing="1"/>
        <w:ind w:right="-18"/>
        <w:rPr>
          <w:b/>
          <w:bCs/>
        </w:rPr>
      </w:pPr>
      <w:r>
        <w:rPr>
          <w:b/>
          <w:bCs/>
        </w:rPr>
        <w:t>3</w:t>
      </w:r>
      <w:r w:rsidR="007D4B70" w:rsidRPr="00762F09">
        <w:rPr>
          <w:b/>
          <w:bCs/>
        </w:rPr>
        <w:t>.    Performance, Resources, and Strategies</w:t>
      </w:r>
      <w:r w:rsidR="007D4B70">
        <w:rPr>
          <w:b/>
          <w:bCs/>
        </w:rPr>
        <w:t xml:space="preserve"> (Arson </w:t>
      </w:r>
      <w:r w:rsidR="00AD46F6">
        <w:rPr>
          <w:b/>
          <w:bCs/>
        </w:rPr>
        <w:t>and</w:t>
      </w:r>
      <w:r w:rsidR="007D4B70">
        <w:rPr>
          <w:b/>
          <w:bCs/>
        </w:rPr>
        <w:t xml:space="preserve"> Explosives)</w:t>
      </w:r>
    </w:p>
    <w:p w:rsidR="007D4B70" w:rsidRPr="00762F09" w:rsidRDefault="007D4B70" w:rsidP="00D27887">
      <w:pPr>
        <w:numPr>
          <w:ilvl w:val="0"/>
          <w:numId w:val="5"/>
        </w:numPr>
        <w:spacing w:before="100" w:beforeAutospacing="1" w:after="100" w:afterAutospacing="1"/>
        <w:ind w:right="-18"/>
        <w:rPr>
          <w:b/>
          <w:bCs/>
        </w:rPr>
      </w:pPr>
      <w:r w:rsidRPr="00762F09">
        <w:rPr>
          <w:b/>
          <w:bCs/>
        </w:rPr>
        <w:t>Performance Plan and Report for Outcomes</w:t>
      </w:r>
    </w:p>
    <w:p w:rsidR="007D4B70" w:rsidRDefault="007D4B70" w:rsidP="00D27887">
      <w:pPr>
        <w:spacing w:before="100" w:beforeAutospacing="1" w:after="100" w:afterAutospacing="1"/>
        <w:ind w:right="-18"/>
      </w:pPr>
      <w:r w:rsidRPr="00762F09">
        <w:t xml:space="preserve">The arson and explosives decision unit contributes to </w:t>
      </w:r>
      <w:r>
        <w:t>DOJ</w:t>
      </w:r>
      <w:r w:rsidRPr="00762F09">
        <w:t>’s Strategic Goal 1</w:t>
      </w:r>
      <w:r>
        <w:t xml:space="preserve"> - Preventing Terrorism and Promoting the Nation’s Security</w:t>
      </w:r>
      <w:r w:rsidRPr="00762F09">
        <w:t xml:space="preserve"> and </w:t>
      </w:r>
      <w:r>
        <w:t xml:space="preserve">Strategic Goal </w:t>
      </w:r>
      <w:r w:rsidRPr="00762F09">
        <w:t>2</w:t>
      </w:r>
      <w:r>
        <w:t xml:space="preserve"> - Preventing Crime, Enforcing </w:t>
      </w:r>
      <w:r w:rsidR="00D31D89">
        <w:t>Federal</w:t>
      </w:r>
      <w:r>
        <w:t xml:space="preserve"> Laws, and Representing the Rights and Interests of the American People</w:t>
      </w:r>
      <w:r w:rsidRPr="00762F09">
        <w:t>.</w:t>
      </w:r>
    </w:p>
    <w:p w:rsidR="007D4B70" w:rsidRPr="00762F09" w:rsidRDefault="007D4B70" w:rsidP="00D27887">
      <w:pPr>
        <w:spacing w:before="100" w:beforeAutospacing="1" w:after="100" w:afterAutospacing="1"/>
        <w:ind w:right="-18"/>
      </w:pPr>
      <w:r w:rsidRPr="00762F09">
        <w:t xml:space="preserve">This unit complements ATF’s firearms decision unit </w:t>
      </w:r>
      <w:r>
        <w:t xml:space="preserve">by effectively applying </w:t>
      </w:r>
      <w:r w:rsidRPr="00762F09">
        <w:t xml:space="preserve">advanced investigative techniques, vigorous </w:t>
      </w:r>
      <w:r>
        <w:t xml:space="preserve">referrals for </w:t>
      </w:r>
      <w:r w:rsidRPr="00762F09">
        <w:t>prosecut</w:t>
      </w:r>
      <w:r>
        <w:t xml:space="preserve">ion, targeting </w:t>
      </w:r>
      <w:r w:rsidRPr="00762F09">
        <w:t xml:space="preserve">training and prevention strategies </w:t>
      </w:r>
      <w:r>
        <w:t xml:space="preserve">to focus ATF’s expertise in </w:t>
      </w:r>
      <w:r w:rsidRPr="00762F09">
        <w:t xml:space="preserve">law enforcement, industry regulation, industry outreach, technology, and </w:t>
      </w:r>
      <w:r>
        <w:t xml:space="preserve">mitigation of </w:t>
      </w:r>
      <w:r w:rsidRPr="00762F09">
        <w:t>public safety</w:t>
      </w:r>
      <w:r w:rsidRPr="00762F09">
        <w:rPr>
          <w:b/>
          <w:bCs/>
        </w:rPr>
        <w:t xml:space="preserve"> </w:t>
      </w:r>
      <w:r w:rsidRPr="00762F09">
        <w:t xml:space="preserve">risks relative to regulated commodities.  </w:t>
      </w:r>
    </w:p>
    <w:p w:rsidR="007D4B70" w:rsidRPr="00865B9E" w:rsidRDefault="007D4B70" w:rsidP="00D27887">
      <w:pPr>
        <w:pStyle w:val="Header"/>
        <w:tabs>
          <w:tab w:val="left" w:pos="720"/>
        </w:tabs>
        <w:spacing w:before="100" w:beforeAutospacing="1" w:after="100" w:afterAutospacing="1"/>
        <w:ind w:right="-18"/>
      </w:pPr>
      <w:r>
        <w:t xml:space="preserve">ATF, as the sole </w:t>
      </w:r>
      <w:r w:rsidRPr="00865B9E">
        <w:t xml:space="preserve">explosives regulatory enforcement </w:t>
      </w:r>
      <w:r>
        <w:t xml:space="preserve">entity, </w:t>
      </w:r>
      <w:r w:rsidRPr="00865B9E">
        <w:t>safeguards the American</w:t>
      </w:r>
      <w:r w:rsidRPr="00865B9E">
        <w:rPr>
          <w:b/>
        </w:rPr>
        <w:t xml:space="preserve"> </w:t>
      </w:r>
      <w:r w:rsidRPr="00865B9E">
        <w:t>public from explosives incidents caused by improperly stored materials.  The</w:t>
      </w:r>
      <w:r>
        <w:t xml:space="preserve"> regulatory</w:t>
      </w:r>
      <w:r w:rsidRPr="00865B9E">
        <w:t xml:space="preserve"> program minimizes criminals’ access to and use of explosive materials by heightening accountability for and increasing th</w:t>
      </w:r>
      <w:r>
        <w:t>e traceability of materials in partnership with t</w:t>
      </w:r>
      <w:r w:rsidRPr="00865B9E">
        <w:t>he explosives industry.</w:t>
      </w:r>
    </w:p>
    <w:p w:rsidR="007D4B70" w:rsidRPr="00762F09" w:rsidRDefault="007D4B70" w:rsidP="00D27887">
      <w:pPr>
        <w:pStyle w:val="BodyText"/>
        <w:spacing w:before="100" w:beforeAutospacing="1" w:after="100" w:afterAutospacing="1"/>
        <w:ind w:right="-18"/>
        <w:rPr>
          <w:b/>
          <w:bCs/>
          <w:szCs w:val="24"/>
        </w:rPr>
      </w:pPr>
      <w:r w:rsidRPr="00762F09">
        <w:rPr>
          <w:b/>
          <w:bCs/>
          <w:szCs w:val="24"/>
        </w:rPr>
        <w:t>b. Strategies to Accomplish Outcomes</w:t>
      </w:r>
    </w:p>
    <w:p w:rsidR="007D4B70" w:rsidRPr="00762F09" w:rsidRDefault="007D4B70" w:rsidP="00D27887">
      <w:pPr>
        <w:spacing w:before="100" w:beforeAutospacing="1" w:after="100" w:afterAutospacing="1"/>
        <w:ind w:right="-18"/>
      </w:pPr>
      <w:r w:rsidRPr="00762F09">
        <w:t>ATF</w:t>
      </w:r>
      <w:r>
        <w:t>’s core</w:t>
      </w:r>
      <w:r w:rsidRPr="00762F09">
        <w:t xml:space="preserve"> </w:t>
      </w:r>
      <w:r>
        <w:t>mission concentrates</w:t>
      </w:r>
      <w:r w:rsidRPr="00762F09">
        <w:t xml:space="preserve"> resources and specialized expertise to achieve post-</w:t>
      </w:r>
      <w:r>
        <w:t xml:space="preserve">explosives </w:t>
      </w:r>
      <w:r w:rsidRPr="00762F09">
        <w:t xml:space="preserve">incident </w:t>
      </w:r>
      <w:r>
        <w:t xml:space="preserve">and to deny </w:t>
      </w:r>
      <w:r w:rsidRPr="00762F09">
        <w:t xml:space="preserve">the criminal use of explosives.  ATF </w:t>
      </w:r>
      <w:r>
        <w:t>provides the sole commercial explosives industry inspection program that</w:t>
      </w:r>
      <w:r w:rsidRPr="00762F09">
        <w:t xml:space="preserve"> </w:t>
      </w:r>
      <w:r>
        <w:t xml:space="preserve">protects the </w:t>
      </w:r>
      <w:r w:rsidRPr="00762F09">
        <w:t>public from the unauthorized use of explosive materials.</w:t>
      </w:r>
    </w:p>
    <w:p w:rsidR="007D4B70" w:rsidRPr="00762F09" w:rsidRDefault="007D4B70" w:rsidP="00D27887">
      <w:pPr>
        <w:autoSpaceDE w:val="0"/>
        <w:autoSpaceDN w:val="0"/>
        <w:adjustRightInd w:val="0"/>
        <w:spacing w:before="100" w:beforeAutospacing="1" w:after="100" w:afterAutospacing="1"/>
        <w:ind w:right="-18"/>
        <w:rPr>
          <w:bCs/>
        </w:rPr>
      </w:pPr>
      <w:r w:rsidRPr="00762F09">
        <w:t xml:space="preserve">Educating the </w:t>
      </w:r>
      <w:r>
        <w:t xml:space="preserve">explosives </w:t>
      </w:r>
      <w:r w:rsidRPr="00762F09">
        <w:t xml:space="preserve">industry on </w:t>
      </w:r>
      <w:r w:rsidR="00D31D89">
        <w:t>Federal</w:t>
      </w:r>
      <w:r w:rsidRPr="00762F09">
        <w:t xml:space="preserve"> policies and regulations, product storage safety, and theft prevention, as well as inspecting industry members, </w:t>
      </w:r>
      <w:r>
        <w:t xml:space="preserve">to secure </w:t>
      </w:r>
      <w:r w:rsidRPr="00762F09">
        <w:t>public safety</w:t>
      </w:r>
      <w:r>
        <w:t xml:space="preserve"> remain among ATF’s core mission objectives</w:t>
      </w:r>
      <w:r w:rsidRPr="00762F09">
        <w:t xml:space="preserve">.  </w:t>
      </w:r>
      <w:r>
        <w:t xml:space="preserve">ATF’s </w:t>
      </w:r>
      <w:r w:rsidR="00D31D89">
        <w:t>Federal</w:t>
      </w:r>
      <w:r>
        <w:t xml:space="preserve"> oversight of e</w:t>
      </w:r>
      <w:r w:rsidRPr="00762F09">
        <w:rPr>
          <w:bCs/>
        </w:rPr>
        <w:t>xplosives licensees and permittees</w:t>
      </w:r>
      <w:r>
        <w:rPr>
          <w:bCs/>
        </w:rPr>
        <w:t xml:space="preserve">, in cooperation with the chemical industries </w:t>
      </w:r>
      <w:r w:rsidRPr="00762F09">
        <w:rPr>
          <w:bCs/>
        </w:rPr>
        <w:t>and public safety agencies</w:t>
      </w:r>
      <w:r>
        <w:rPr>
          <w:bCs/>
        </w:rPr>
        <w:t>,</w:t>
      </w:r>
      <w:r w:rsidRPr="00762F09">
        <w:rPr>
          <w:bCs/>
        </w:rPr>
        <w:t xml:space="preserve"> will mitigate the possibility of terrorists obtaining explosives through the legal explosives industry.</w:t>
      </w:r>
    </w:p>
    <w:p w:rsidR="007D4B70" w:rsidRPr="005E671B" w:rsidRDefault="007D4B70" w:rsidP="00D27887">
      <w:pPr>
        <w:pStyle w:val="Heading1"/>
        <w:spacing w:before="100" w:beforeAutospacing="1" w:after="100" w:afterAutospacing="1"/>
        <w:ind w:right="-18"/>
        <w:jc w:val="left"/>
        <w:rPr>
          <w:rFonts w:ascii="Times New Roman" w:hAnsi="Times New Roman"/>
          <w:szCs w:val="24"/>
        </w:rPr>
      </w:pPr>
      <w:bookmarkStart w:id="48" w:name="_Toc224026887"/>
      <w:r w:rsidRPr="005E671B">
        <w:rPr>
          <w:rFonts w:ascii="Times New Roman" w:hAnsi="Times New Roman"/>
          <w:szCs w:val="24"/>
        </w:rPr>
        <w:t>Crosscutting Activities</w:t>
      </w:r>
      <w:bookmarkEnd w:id="48"/>
      <w:r w:rsidRPr="005E671B">
        <w:rPr>
          <w:rFonts w:ascii="Times New Roman" w:hAnsi="Times New Roman"/>
          <w:szCs w:val="24"/>
        </w:rPr>
        <w:t xml:space="preserve"> </w:t>
      </w:r>
    </w:p>
    <w:p w:rsidR="007D4B70" w:rsidRPr="00762F09" w:rsidRDefault="007D4B70" w:rsidP="00D27887">
      <w:pPr>
        <w:pStyle w:val="List2"/>
        <w:spacing w:before="100" w:beforeAutospacing="1" w:after="100" w:afterAutospacing="1"/>
        <w:ind w:left="0" w:right="-18" w:firstLine="0"/>
        <w:rPr>
          <w:szCs w:val="24"/>
        </w:rPr>
      </w:pPr>
      <w:r w:rsidRPr="00762F09">
        <w:rPr>
          <w:szCs w:val="24"/>
        </w:rPr>
        <w:t>ATF participates in multi-agency efforts such as the JTTF, High Intensity Drug Trafficking Area (HIDTA), High Intensity Financial Crime Areas (HIFCA)</w:t>
      </w:r>
      <w:r>
        <w:rPr>
          <w:szCs w:val="24"/>
        </w:rPr>
        <w:t>,</w:t>
      </w:r>
      <w:r w:rsidRPr="00762F09">
        <w:rPr>
          <w:szCs w:val="24"/>
        </w:rPr>
        <w:t xml:space="preserve"> the Organized Crime Drug Enforcement Task Force (OCDETF)</w:t>
      </w:r>
      <w:r>
        <w:rPr>
          <w:szCs w:val="24"/>
        </w:rPr>
        <w:t xml:space="preserve">, </w:t>
      </w:r>
      <w:r w:rsidRPr="00865B9E">
        <w:rPr>
          <w:szCs w:val="24"/>
        </w:rPr>
        <w:t>and the</w:t>
      </w:r>
      <w:r>
        <w:rPr>
          <w:color w:val="5F497A" w:themeColor="accent4" w:themeShade="BF"/>
          <w:szCs w:val="24"/>
        </w:rPr>
        <w:t xml:space="preserve"> </w:t>
      </w:r>
      <w:r>
        <w:rPr>
          <w:szCs w:val="24"/>
        </w:rPr>
        <w:t>Terrorist Explosives Devices Analytical Center (TEDAC),</w:t>
      </w:r>
      <w:r w:rsidRPr="00762F09">
        <w:rPr>
          <w:szCs w:val="24"/>
        </w:rPr>
        <w:t xml:space="preserve"> </w:t>
      </w:r>
      <w:r>
        <w:rPr>
          <w:szCs w:val="24"/>
        </w:rPr>
        <w:t>by</w:t>
      </w:r>
      <w:r w:rsidRPr="00762F09">
        <w:rPr>
          <w:szCs w:val="24"/>
        </w:rPr>
        <w:t xml:space="preserve"> direct investigative expertise to </w:t>
      </w:r>
      <w:r>
        <w:rPr>
          <w:szCs w:val="24"/>
        </w:rPr>
        <w:t xml:space="preserve">criminal explosives, arson incidents and threats. </w:t>
      </w:r>
    </w:p>
    <w:p w:rsidR="007D4B70" w:rsidRPr="00762F09" w:rsidRDefault="007D4B70" w:rsidP="00D27887">
      <w:pPr>
        <w:pStyle w:val="List2"/>
        <w:spacing w:before="100" w:beforeAutospacing="1" w:after="100" w:afterAutospacing="1"/>
        <w:ind w:left="0" w:right="-18" w:firstLine="0"/>
        <w:rPr>
          <w:szCs w:val="24"/>
        </w:rPr>
      </w:pPr>
      <w:r w:rsidRPr="00762F09">
        <w:rPr>
          <w:szCs w:val="24"/>
        </w:rPr>
        <w:t xml:space="preserve">The Bomb and Arson Tracking System (BATS) provides valuable investigative information and intelligence to share with ATF’s </w:t>
      </w:r>
      <w:r w:rsidR="00D31D89">
        <w:rPr>
          <w:szCs w:val="24"/>
        </w:rPr>
        <w:t>Federal</w:t>
      </w:r>
      <w:r w:rsidRPr="00762F09">
        <w:rPr>
          <w:szCs w:val="24"/>
        </w:rPr>
        <w:t xml:space="preserve">, </w:t>
      </w:r>
      <w:r w:rsidR="00D31D89">
        <w:rPr>
          <w:szCs w:val="24"/>
        </w:rPr>
        <w:t>state</w:t>
      </w:r>
      <w:r w:rsidRPr="00762F09">
        <w:rPr>
          <w:szCs w:val="24"/>
        </w:rPr>
        <w:t>, local, and international law enforcement partners such as the National Gang Intelligence Center (NGIC), Regional Information Sharing System (RISS), International Organized Crime (IOC)</w:t>
      </w:r>
      <w:r>
        <w:rPr>
          <w:szCs w:val="24"/>
        </w:rPr>
        <w:t xml:space="preserve"> Coordination Center</w:t>
      </w:r>
      <w:r w:rsidRPr="00762F09">
        <w:rPr>
          <w:szCs w:val="24"/>
        </w:rPr>
        <w:t xml:space="preserve">, and the OCDETF Fusion Center.  ATF </w:t>
      </w:r>
      <w:r>
        <w:rPr>
          <w:szCs w:val="24"/>
        </w:rPr>
        <w:t>assigns</w:t>
      </w:r>
      <w:r w:rsidRPr="00762F09">
        <w:rPr>
          <w:szCs w:val="24"/>
        </w:rPr>
        <w:t xml:space="preserve"> representatives </w:t>
      </w:r>
      <w:r>
        <w:rPr>
          <w:szCs w:val="24"/>
        </w:rPr>
        <w:t>to</w:t>
      </w:r>
      <w:r w:rsidRPr="00762F09">
        <w:rPr>
          <w:szCs w:val="24"/>
        </w:rPr>
        <w:t xml:space="preserve"> various law enforcement and intelligence agencies such as </w:t>
      </w:r>
      <w:r>
        <w:rPr>
          <w:szCs w:val="24"/>
        </w:rPr>
        <w:t xml:space="preserve">the </w:t>
      </w:r>
      <w:r w:rsidRPr="00762F09">
        <w:rPr>
          <w:szCs w:val="24"/>
        </w:rPr>
        <w:t xml:space="preserve">DIA, FBI, Department of Homeland Security (DHS), </w:t>
      </w:r>
      <w:r>
        <w:rPr>
          <w:szCs w:val="24"/>
        </w:rPr>
        <w:t xml:space="preserve">the </w:t>
      </w:r>
      <w:r w:rsidRPr="00762F09">
        <w:rPr>
          <w:szCs w:val="24"/>
        </w:rPr>
        <w:t xml:space="preserve">Department of </w:t>
      </w:r>
      <w:r w:rsidR="00D31D89">
        <w:rPr>
          <w:szCs w:val="24"/>
        </w:rPr>
        <w:t>State</w:t>
      </w:r>
      <w:r>
        <w:rPr>
          <w:szCs w:val="24"/>
        </w:rPr>
        <w:t xml:space="preserve"> and OGAs to leverage </w:t>
      </w:r>
      <w:r w:rsidR="00D31D89">
        <w:rPr>
          <w:szCs w:val="24"/>
        </w:rPr>
        <w:t>Federal</w:t>
      </w:r>
      <w:r>
        <w:rPr>
          <w:szCs w:val="24"/>
        </w:rPr>
        <w:t xml:space="preserve"> response</w:t>
      </w:r>
      <w:r w:rsidRPr="00762F09">
        <w:rPr>
          <w:szCs w:val="24"/>
        </w:rPr>
        <w:t>.</w:t>
      </w:r>
    </w:p>
    <w:p w:rsidR="007D4B70" w:rsidRPr="00762F09" w:rsidRDefault="007D4B70" w:rsidP="00D27887">
      <w:pPr>
        <w:pStyle w:val="List2"/>
        <w:spacing w:before="100" w:beforeAutospacing="1" w:after="100" w:afterAutospacing="1"/>
        <w:ind w:left="0" w:right="-18" w:firstLine="0"/>
        <w:rPr>
          <w:szCs w:val="24"/>
        </w:rPr>
      </w:pPr>
      <w:r w:rsidRPr="00762F09">
        <w:rPr>
          <w:szCs w:val="24"/>
        </w:rPr>
        <w:t xml:space="preserve">ATF </w:t>
      </w:r>
      <w:r>
        <w:rPr>
          <w:szCs w:val="24"/>
        </w:rPr>
        <w:t>fulfills</w:t>
      </w:r>
      <w:r w:rsidRPr="00762F09">
        <w:rPr>
          <w:szCs w:val="24"/>
        </w:rPr>
        <w:t xml:space="preserve"> its responsibilities under the National Implementation Plan for the War on Terror, </w:t>
      </w:r>
      <w:r>
        <w:rPr>
          <w:szCs w:val="24"/>
        </w:rPr>
        <w:t xml:space="preserve">by </w:t>
      </w:r>
      <w:r w:rsidRPr="00762F09">
        <w:rPr>
          <w:szCs w:val="24"/>
        </w:rPr>
        <w:t>support</w:t>
      </w:r>
      <w:r>
        <w:rPr>
          <w:szCs w:val="24"/>
        </w:rPr>
        <w:t>ing</w:t>
      </w:r>
      <w:r w:rsidRPr="00762F09">
        <w:rPr>
          <w:szCs w:val="24"/>
        </w:rPr>
        <w:t xml:space="preserve"> the implementation plan for Homeland Security Presidential Directive 19 (Combating Terrorist Use of Explosives in the </w:t>
      </w:r>
      <w:r>
        <w:rPr>
          <w:szCs w:val="24"/>
        </w:rPr>
        <w:t>U.S.</w:t>
      </w:r>
      <w:r w:rsidRPr="00762F09">
        <w:rPr>
          <w:szCs w:val="24"/>
        </w:rPr>
        <w:t xml:space="preserve">), and </w:t>
      </w:r>
      <w:r>
        <w:rPr>
          <w:szCs w:val="24"/>
        </w:rPr>
        <w:t>through ATF’s explosives canine programs, contributions on the TEDAC staff</w:t>
      </w:r>
      <w:r w:rsidRPr="00762F09">
        <w:rPr>
          <w:szCs w:val="24"/>
        </w:rPr>
        <w:t xml:space="preserve">, and by </w:t>
      </w:r>
      <w:r>
        <w:rPr>
          <w:szCs w:val="24"/>
        </w:rPr>
        <w:t xml:space="preserve">hosting technology </w:t>
      </w:r>
      <w:r w:rsidRPr="00762F09">
        <w:rPr>
          <w:szCs w:val="24"/>
        </w:rPr>
        <w:t>resources such as BATS</w:t>
      </w:r>
      <w:r>
        <w:rPr>
          <w:szCs w:val="24"/>
        </w:rPr>
        <w:t xml:space="preserve"> and</w:t>
      </w:r>
      <w:r w:rsidRPr="00762F09">
        <w:rPr>
          <w:szCs w:val="24"/>
        </w:rPr>
        <w:t xml:space="preserve"> Dfuze </w:t>
      </w:r>
      <w:r>
        <w:rPr>
          <w:szCs w:val="24"/>
        </w:rPr>
        <w:t xml:space="preserve">data bases for domestic and international explosive incidents.  </w:t>
      </w:r>
    </w:p>
    <w:p w:rsidR="007D4B70" w:rsidRDefault="007D4B70" w:rsidP="00D27887">
      <w:pPr>
        <w:ind w:right="-18"/>
        <w:rPr>
          <w:color w:val="000000"/>
          <w:sz w:val="16"/>
          <w:szCs w:val="16"/>
        </w:rPr>
      </w:pPr>
    </w:p>
    <w:p w:rsidR="007D4B70" w:rsidRDefault="007D4B70" w:rsidP="00D27887">
      <w:pPr>
        <w:ind w:right="-18"/>
        <w:rPr>
          <w:sz w:val="16"/>
          <w:szCs w:val="16"/>
        </w:rPr>
      </w:pPr>
    </w:p>
    <w:p w:rsidR="007D4B70" w:rsidRDefault="007D4B70" w:rsidP="00D27887">
      <w:pPr>
        <w:ind w:right="-18"/>
        <w:rPr>
          <w:b/>
          <w:bCs/>
        </w:rPr>
      </w:pPr>
      <w:r>
        <w:rPr>
          <w:b/>
          <w:bCs/>
        </w:rPr>
        <w:br w:type="page"/>
      </w:r>
    </w:p>
    <w:p w:rsidR="00FA2AAB" w:rsidRPr="00F373CD" w:rsidRDefault="00FA2AAB" w:rsidP="005009F3">
      <w:pPr>
        <w:spacing w:before="100" w:beforeAutospacing="1" w:after="100" w:afterAutospacing="1"/>
        <w:rPr>
          <w:b/>
          <w:color w:val="FF0000"/>
        </w:rPr>
      </w:pPr>
      <w:r w:rsidRPr="00762F09">
        <w:rPr>
          <w:b/>
        </w:rPr>
        <w:t xml:space="preserve">C.  </w:t>
      </w:r>
      <w:r w:rsidRPr="002D1D76">
        <w:rPr>
          <w:b/>
        </w:rPr>
        <w:t xml:space="preserve">Alcohol and </w:t>
      </w:r>
      <w:r w:rsidR="00AB4BAD" w:rsidRPr="002D1D76">
        <w:rPr>
          <w:b/>
        </w:rPr>
        <w:t xml:space="preserve">Tobacco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40"/>
        <w:gridCol w:w="1260"/>
        <w:gridCol w:w="1080"/>
        <w:gridCol w:w="1980"/>
      </w:tblGrid>
      <w:tr w:rsidR="00FA2AAB" w:rsidRPr="00762F09" w:rsidTr="00143009">
        <w:tc>
          <w:tcPr>
            <w:tcW w:w="5040" w:type="dxa"/>
          </w:tcPr>
          <w:p w:rsidR="00FA2AAB" w:rsidRPr="00143009" w:rsidRDefault="00FA2AAB" w:rsidP="00143009">
            <w:pPr>
              <w:spacing w:before="100" w:beforeAutospacing="1" w:after="100" w:afterAutospacing="1"/>
              <w:rPr>
                <w:b/>
                <w:bCs/>
              </w:rPr>
            </w:pPr>
            <w:r w:rsidRPr="00143009">
              <w:rPr>
                <w:b/>
                <w:bCs/>
              </w:rPr>
              <w:t>Alcohol and Tobacco  TOTAL</w:t>
            </w:r>
          </w:p>
        </w:tc>
        <w:tc>
          <w:tcPr>
            <w:tcW w:w="1260" w:type="dxa"/>
          </w:tcPr>
          <w:p w:rsidR="00FA2AAB" w:rsidRPr="00143009" w:rsidRDefault="00FA2AAB" w:rsidP="00143009">
            <w:pPr>
              <w:spacing w:before="100" w:beforeAutospacing="1" w:after="100" w:afterAutospacing="1"/>
              <w:jc w:val="center"/>
              <w:rPr>
                <w:b/>
                <w:bCs/>
              </w:rPr>
            </w:pPr>
            <w:smartTag w:uri="urn:schemas-microsoft-com:office:smarttags" w:element="place">
              <w:smartTag w:uri="urn:schemas-microsoft-com:office:smarttags" w:element="City">
                <w:r w:rsidRPr="00143009">
                  <w:rPr>
                    <w:b/>
                    <w:bCs/>
                  </w:rPr>
                  <w:t>Perm</w:t>
                </w:r>
              </w:smartTag>
            </w:smartTag>
            <w:r w:rsidRPr="00143009">
              <w:rPr>
                <w:b/>
                <w:bCs/>
              </w:rPr>
              <w:t xml:space="preserve"> Pos.</w:t>
            </w:r>
          </w:p>
        </w:tc>
        <w:tc>
          <w:tcPr>
            <w:tcW w:w="1080" w:type="dxa"/>
          </w:tcPr>
          <w:p w:rsidR="00FA2AAB" w:rsidRPr="00143009" w:rsidRDefault="00FA2AAB" w:rsidP="00143009">
            <w:pPr>
              <w:spacing w:before="100" w:beforeAutospacing="1" w:after="100" w:afterAutospacing="1"/>
              <w:jc w:val="center"/>
              <w:rPr>
                <w:b/>
                <w:bCs/>
              </w:rPr>
            </w:pPr>
            <w:r w:rsidRPr="00143009">
              <w:rPr>
                <w:b/>
                <w:bCs/>
              </w:rPr>
              <w:t>FTE</w:t>
            </w:r>
          </w:p>
        </w:tc>
        <w:tc>
          <w:tcPr>
            <w:tcW w:w="1980" w:type="dxa"/>
          </w:tcPr>
          <w:p w:rsidR="00FA2AAB" w:rsidRPr="00143009" w:rsidRDefault="00FA2AAB" w:rsidP="00143009">
            <w:pPr>
              <w:spacing w:before="100" w:beforeAutospacing="1" w:after="100" w:afterAutospacing="1"/>
              <w:jc w:val="center"/>
              <w:rPr>
                <w:b/>
                <w:bCs/>
              </w:rPr>
            </w:pPr>
            <w:r w:rsidRPr="00143009">
              <w:rPr>
                <w:b/>
                <w:bCs/>
              </w:rPr>
              <w:t>Amount</w:t>
            </w:r>
          </w:p>
        </w:tc>
      </w:tr>
      <w:tr w:rsidR="00FA2AAB" w:rsidRPr="00762F09" w:rsidTr="00143009">
        <w:tc>
          <w:tcPr>
            <w:tcW w:w="5040" w:type="dxa"/>
          </w:tcPr>
          <w:p w:rsidR="00FA2AAB" w:rsidRPr="00762F09" w:rsidRDefault="006C7DF9" w:rsidP="006C7DF9">
            <w:pPr>
              <w:spacing w:before="100" w:beforeAutospacing="1" w:after="100" w:afterAutospacing="1"/>
            </w:pPr>
            <w:r w:rsidRPr="00762F09">
              <w:t>20</w:t>
            </w:r>
            <w:r>
              <w:t>1</w:t>
            </w:r>
            <w:r w:rsidR="00C073A9">
              <w:t>1</w:t>
            </w:r>
            <w:r w:rsidRPr="00762F09">
              <w:t xml:space="preserve"> </w:t>
            </w:r>
            <w:r w:rsidR="00FA2AAB" w:rsidRPr="00762F09">
              <w:t>Enacted w/Rescissions</w:t>
            </w:r>
          </w:p>
        </w:tc>
        <w:tc>
          <w:tcPr>
            <w:tcW w:w="1260" w:type="dxa"/>
          </w:tcPr>
          <w:p w:rsidR="00FA2AAB" w:rsidRPr="00762F09" w:rsidRDefault="00EA75AF" w:rsidP="00143009">
            <w:pPr>
              <w:spacing w:before="100" w:beforeAutospacing="1" w:after="100" w:afterAutospacing="1"/>
              <w:jc w:val="right"/>
            </w:pPr>
            <w:r>
              <w:t>102</w:t>
            </w:r>
          </w:p>
        </w:tc>
        <w:tc>
          <w:tcPr>
            <w:tcW w:w="1080" w:type="dxa"/>
          </w:tcPr>
          <w:p w:rsidR="00FA2AAB" w:rsidRPr="00143009" w:rsidRDefault="00EA75AF" w:rsidP="00143009">
            <w:pPr>
              <w:spacing w:before="100" w:beforeAutospacing="1" w:after="100" w:afterAutospacing="1"/>
              <w:jc w:val="right"/>
              <w:rPr>
                <w:bCs/>
              </w:rPr>
            </w:pPr>
            <w:r>
              <w:rPr>
                <w:bCs/>
              </w:rPr>
              <w:t>10</w:t>
            </w:r>
            <w:r w:rsidR="00FA2AAB" w:rsidRPr="00143009">
              <w:rPr>
                <w:bCs/>
              </w:rPr>
              <w:t>0</w:t>
            </w:r>
          </w:p>
        </w:tc>
        <w:tc>
          <w:tcPr>
            <w:tcW w:w="1980" w:type="dxa"/>
          </w:tcPr>
          <w:p w:rsidR="00FA2AAB" w:rsidRPr="00762F09" w:rsidRDefault="006C7DF9" w:rsidP="00C80DDF">
            <w:pPr>
              <w:spacing w:before="100" w:beforeAutospacing="1" w:after="100" w:afterAutospacing="1"/>
              <w:jc w:val="right"/>
            </w:pPr>
            <w:r>
              <w:t>22,</w:t>
            </w:r>
            <w:r w:rsidR="00C80DDF">
              <w:t>250</w:t>
            </w:r>
          </w:p>
        </w:tc>
      </w:tr>
      <w:tr w:rsidR="00FA2AAB" w:rsidRPr="00762F09" w:rsidTr="00143009">
        <w:tc>
          <w:tcPr>
            <w:tcW w:w="5040" w:type="dxa"/>
          </w:tcPr>
          <w:p w:rsidR="00FA2AAB" w:rsidRPr="00762F09" w:rsidRDefault="006C7DF9" w:rsidP="006C7DF9">
            <w:pPr>
              <w:spacing w:before="100" w:beforeAutospacing="1" w:after="100" w:afterAutospacing="1"/>
              <w:ind w:right="-468"/>
            </w:pPr>
            <w:r w:rsidRPr="00762F09">
              <w:t>20</w:t>
            </w:r>
            <w:r>
              <w:t>1</w:t>
            </w:r>
            <w:r w:rsidR="00C073A9">
              <w:t>1</w:t>
            </w:r>
            <w:r w:rsidRPr="00762F09">
              <w:t xml:space="preserve"> </w:t>
            </w:r>
            <w:r w:rsidR="00AB4BAD" w:rsidRPr="00762F09">
              <w:t>Supplemental</w:t>
            </w:r>
          </w:p>
        </w:tc>
        <w:tc>
          <w:tcPr>
            <w:tcW w:w="1260" w:type="dxa"/>
          </w:tcPr>
          <w:p w:rsidR="00FA2AAB" w:rsidRPr="00762F09" w:rsidRDefault="00FA2AAB" w:rsidP="00143009">
            <w:pPr>
              <w:spacing w:before="100" w:beforeAutospacing="1" w:after="100" w:afterAutospacing="1"/>
              <w:jc w:val="right"/>
            </w:pPr>
            <w:r w:rsidRPr="00762F09">
              <w:t>0</w:t>
            </w:r>
          </w:p>
        </w:tc>
        <w:tc>
          <w:tcPr>
            <w:tcW w:w="1080" w:type="dxa"/>
          </w:tcPr>
          <w:p w:rsidR="00FA2AAB" w:rsidRPr="00762F09" w:rsidRDefault="00FA2AAB" w:rsidP="00143009">
            <w:pPr>
              <w:spacing w:before="100" w:beforeAutospacing="1" w:after="100" w:afterAutospacing="1"/>
              <w:jc w:val="right"/>
            </w:pPr>
            <w:r w:rsidRPr="00762F09">
              <w:t>0</w:t>
            </w:r>
          </w:p>
        </w:tc>
        <w:tc>
          <w:tcPr>
            <w:tcW w:w="1980" w:type="dxa"/>
          </w:tcPr>
          <w:p w:rsidR="00FA2AAB" w:rsidRPr="00762F09" w:rsidRDefault="006C7DF9" w:rsidP="00143009">
            <w:pPr>
              <w:spacing w:before="100" w:beforeAutospacing="1" w:after="100" w:afterAutospacing="1"/>
              <w:jc w:val="right"/>
            </w:pPr>
            <w:r>
              <w:t>0</w:t>
            </w:r>
          </w:p>
        </w:tc>
      </w:tr>
      <w:tr w:rsidR="00FA2AAB" w:rsidRPr="00762F09" w:rsidTr="00143009">
        <w:tc>
          <w:tcPr>
            <w:tcW w:w="5040" w:type="dxa"/>
          </w:tcPr>
          <w:p w:rsidR="00FA2AAB" w:rsidRPr="00762F09" w:rsidRDefault="006C7DF9" w:rsidP="006C7DF9">
            <w:pPr>
              <w:spacing w:before="100" w:beforeAutospacing="1" w:after="100" w:afterAutospacing="1"/>
              <w:ind w:right="-468"/>
            </w:pPr>
            <w:r w:rsidRPr="00762F09">
              <w:t>20</w:t>
            </w:r>
            <w:r>
              <w:t>1</w:t>
            </w:r>
            <w:r w:rsidR="00C073A9">
              <w:t>1</w:t>
            </w:r>
            <w:r w:rsidRPr="00762F09">
              <w:t xml:space="preserve"> </w:t>
            </w:r>
            <w:r w:rsidR="00FA2AAB" w:rsidRPr="00762F09">
              <w:t xml:space="preserve">Enacted w/Rescissions and </w:t>
            </w:r>
            <w:r w:rsidR="00AB4BAD" w:rsidRPr="00762F09">
              <w:t>Supplemental</w:t>
            </w:r>
          </w:p>
        </w:tc>
        <w:tc>
          <w:tcPr>
            <w:tcW w:w="1260" w:type="dxa"/>
          </w:tcPr>
          <w:p w:rsidR="00FA2AAB" w:rsidRPr="00762F09" w:rsidRDefault="00EA75AF" w:rsidP="00143009">
            <w:pPr>
              <w:spacing w:before="100" w:beforeAutospacing="1" w:after="100" w:afterAutospacing="1"/>
              <w:jc w:val="right"/>
            </w:pPr>
            <w:r>
              <w:t>102</w:t>
            </w:r>
          </w:p>
        </w:tc>
        <w:tc>
          <w:tcPr>
            <w:tcW w:w="1080" w:type="dxa"/>
          </w:tcPr>
          <w:p w:rsidR="00FA2AAB" w:rsidRPr="00762F09" w:rsidRDefault="00EA75AF" w:rsidP="00143009">
            <w:pPr>
              <w:spacing w:before="100" w:beforeAutospacing="1" w:after="100" w:afterAutospacing="1"/>
              <w:jc w:val="right"/>
            </w:pPr>
            <w:r>
              <w:t>10</w:t>
            </w:r>
            <w:r w:rsidR="00FA2AAB" w:rsidRPr="00762F09">
              <w:t>0</w:t>
            </w:r>
          </w:p>
        </w:tc>
        <w:tc>
          <w:tcPr>
            <w:tcW w:w="1980" w:type="dxa"/>
          </w:tcPr>
          <w:p w:rsidR="00FA2AAB" w:rsidRPr="00762F09" w:rsidRDefault="00B24AFF" w:rsidP="00C80DDF">
            <w:pPr>
              <w:spacing w:before="100" w:beforeAutospacing="1" w:after="100" w:afterAutospacing="1"/>
              <w:jc w:val="right"/>
            </w:pPr>
            <w:r>
              <w:t>22,2</w:t>
            </w:r>
            <w:r w:rsidR="00C80DDF">
              <w:t>50</w:t>
            </w:r>
          </w:p>
        </w:tc>
      </w:tr>
      <w:tr w:rsidR="00FA2AAB" w:rsidRPr="00762F09" w:rsidTr="00143009">
        <w:tc>
          <w:tcPr>
            <w:tcW w:w="5040" w:type="dxa"/>
          </w:tcPr>
          <w:p w:rsidR="00FA2AAB" w:rsidRPr="00762F09" w:rsidRDefault="006C7DF9" w:rsidP="001C297D">
            <w:pPr>
              <w:spacing w:before="100" w:beforeAutospacing="1" w:after="100" w:afterAutospacing="1"/>
              <w:ind w:right="-468"/>
            </w:pPr>
            <w:r w:rsidRPr="00762F09">
              <w:t>20</w:t>
            </w:r>
            <w:r>
              <w:t>1</w:t>
            </w:r>
            <w:r w:rsidR="00C073A9">
              <w:t>2</w:t>
            </w:r>
            <w:r>
              <w:t xml:space="preserve"> </w:t>
            </w:r>
            <w:r w:rsidR="002F3467">
              <w:t>Enacted</w:t>
            </w:r>
          </w:p>
        </w:tc>
        <w:tc>
          <w:tcPr>
            <w:tcW w:w="1260" w:type="dxa"/>
          </w:tcPr>
          <w:p w:rsidR="00FA2AAB" w:rsidRPr="00762F09" w:rsidRDefault="00EA75AF" w:rsidP="00F129F7">
            <w:pPr>
              <w:spacing w:before="100" w:beforeAutospacing="1" w:after="100" w:afterAutospacing="1"/>
              <w:jc w:val="right"/>
            </w:pPr>
            <w:r>
              <w:t>102</w:t>
            </w:r>
          </w:p>
        </w:tc>
        <w:tc>
          <w:tcPr>
            <w:tcW w:w="1080" w:type="dxa"/>
          </w:tcPr>
          <w:p w:rsidR="00FA2AAB" w:rsidRPr="00762F09" w:rsidRDefault="00EA75AF" w:rsidP="00F129F7">
            <w:pPr>
              <w:spacing w:before="100" w:beforeAutospacing="1" w:after="100" w:afterAutospacing="1"/>
              <w:jc w:val="right"/>
            </w:pPr>
            <w:r>
              <w:t>10</w:t>
            </w:r>
            <w:r w:rsidR="00F129F7">
              <w:t>0</w:t>
            </w:r>
          </w:p>
        </w:tc>
        <w:tc>
          <w:tcPr>
            <w:tcW w:w="1980" w:type="dxa"/>
          </w:tcPr>
          <w:p w:rsidR="00FA2AAB" w:rsidRPr="00762F09" w:rsidRDefault="00E67E64" w:rsidP="00A25AB4">
            <w:pPr>
              <w:spacing w:before="100" w:beforeAutospacing="1" w:after="100" w:afterAutospacing="1"/>
              <w:jc w:val="right"/>
            </w:pPr>
            <w:r>
              <w:t>23,040</w:t>
            </w:r>
          </w:p>
        </w:tc>
      </w:tr>
      <w:tr w:rsidR="00FA2AAB" w:rsidRPr="00762F09" w:rsidTr="00143009">
        <w:tc>
          <w:tcPr>
            <w:tcW w:w="5040" w:type="dxa"/>
          </w:tcPr>
          <w:p w:rsidR="00FA2AAB" w:rsidRPr="00762F09" w:rsidRDefault="00FA2AAB" w:rsidP="00143009">
            <w:pPr>
              <w:spacing w:before="100" w:beforeAutospacing="1" w:after="100" w:afterAutospacing="1"/>
              <w:ind w:right="-468"/>
            </w:pPr>
            <w:r w:rsidRPr="00762F09">
              <w:t>Adjustments to Base and Technical Adjustments</w:t>
            </w:r>
          </w:p>
        </w:tc>
        <w:tc>
          <w:tcPr>
            <w:tcW w:w="1260" w:type="dxa"/>
          </w:tcPr>
          <w:p w:rsidR="00FA2AAB" w:rsidRPr="00477A23" w:rsidRDefault="00FA2AAB" w:rsidP="00143009">
            <w:pPr>
              <w:spacing w:before="100" w:beforeAutospacing="1" w:after="100" w:afterAutospacing="1"/>
              <w:jc w:val="right"/>
            </w:pPr>
            <w:r w:rsidRPr="00477A23">
              <w:t>0</w:t>
            </w:r>
          </w:p>
        </w:tc>
        <w:tc>
          <w:tcPr>
            <w:tcW w:w="1080" w:type="dxa"/>
          </w:tcPr>
          <w:p w:rsidR="00FA2AAB" w:rsidRPr="00477A23" w:rsidRDefault="00FA2AAB" w:rsidP="00143009">
            <w:pPr>
              <w:spacing w:before="100" w:beforeAutospacing="1" w:after="100" w:afterAutospacing="1"/>
              <w:jc w:val="right"/>
            </w:pPr>
            <w:r w:rsidRPr="00477A23">
              <w:t>0</w:t>
            </w:r>
          </w:p>
        </w:tc>
        <w:tc>
          <w:tcPr>
            <w:tcW w:w="1980" w:type="dxa"/>
          </w:tcPr>
          <w:p w:rsidR="00FA2AAB" w:rsidRPr="00477A23" w:rsidRDefault="00E67E64" w:rsidP="0009194F">
            <w:pPr>
              <w:spacing w:before="100" w:beforeAutospacing="1" w:after="100" w:afterAutospacing="1"/>
              <w:jc w:val="right"/>
            </w:pPr>
            <w:r>
              <w:t>5</w:t>
            </w:r>
            <w:r w:rsidR="00C80DDF">
              <w:t>65</w:t>
            </w:r>
          </w:p>
        </w:tc>
      </w:tr>
      <w:tr w:rsidR="00FA2AAB" w:rsidRPr="00762F09" w:rsidTr="00143009">
        <w:tc>
          <w:tcPr>
            <w:tcW w:w="5040" w:type="dxa"/>
          </w:tcPr>
          <w:p w:rsidR="00FA2AAB" w:rsidRPr="00762F09" w:rsidRDefault="006C7DF9" w:rsidP="006C7DF9">
            <w:pPr>
              <w:spacing w:before="100" w:beforeAutospacing="1" w:after="100" w:afterAutospacing="1"/>
            </w:pPr>
            <w:r w:rsidRPr="00762F09">
              <w:t>201</w:t>
            </w:r>
            <w:r w:rsidR="00C073A9">
              <w:t>3</w:t>
            </w:r>
            <w:r w:rsidRPr="00762F09">
              <w:t xml:space="preserve"> </w:t>
            </w:r>
            <w:r w:rsidR="00FA2AAB" w:rsidRPr="00762F09">
              <w:t>Current Services</w:t>
            </w:r>
          </w:p>
        </w:tc>
        <w:tc>
          <w:tcPr>
            <w:tcW w:w="1260" w:type="dxa"/>
          </w:tcPr>
          <w:p w:rsidR="00FA2AAB" w:rsidRPr="00477A23" w:rsidRDefault="00EA75AF" w:rsidP="00F129F7">
            <w:pPr>
              <w:spacing w:before="100" w:beforeAutospacing="1" w:after="100" w:afterAutospacing="1"/>
              <w:jc w:val="right"/>
            </w:pPr>
            <w:r>
              <w:t>102</w:t>
            </w:r>
          </w:p>
        </w:tc>
        <w:tc>
          <w:tcPr>
            <w:tcW w:w="1080" w:type="dxa"/>
          </w:tcPr>
          <w:p w:rsidR="00FA2AAB" w:rsidRPr="00477A23" w:rsidRDefault="00EA75AF" w:rsidP="00F129F7">
            <w:pPr>
              <w:spacing w:before="100" w:beforeAutospacing="1" w:after="100" w:afterAutospacing="1"/>
              <w:jc w:val="right"/>
            </w:pPr>
            <w:r>
              <w:t>10</w:t>
            </w:r>
            <w:r w:rsidR="00F129F7">
              <w:t>0</w:t>
            </w:r>
          </w:p>
        </w:tc>
        <w:tc>
          <w:tcPr>
            <w:tcW w:w="1980" w:type="dxa"/>
          </w:tcPr>
          <w:p w:rsidR="00FA2AAB" w:rsidRPr="00477A23" w:rsidRDefault="00E67E64" w:rsidP="00C80DDF">
            <w:pPr>
              <w:spacing w:before="100" w:beforeAutospacing="1" w:after="100" w:afterAutospacing="1"/>
              <w:jc w:val="right"/>
            </w:pPr>
            <w:r>
              <w:t>23,6</w:t>
            </w:r>
            <w:r w:rsidR="00C80DDF">
              <w:t>05</w:t>
            </w:r>
          </w:p>
        </w:tc>
      </w:tr>
      <w:tr w:rsidR="00FA2AAB" w:rsidRPr="00762F09" w:rsidTr="00143009">
        <w:tc>
          <w:tcPr>
            <w:tcW w:w="5040" w:type="dxa"/>
          </w:tcPr>
          <w:p w:rsidR="00FA2AAB" w:rsidRPr="00762F09" w:rsidRDefault="006C7DF9" w:rsidP="00426BDA">
            <w:pPr>
              <w:spacing w:before="100" w:beforeAutospacing="1" w:after="100" w:afterAutospacing="1"/>
            </w:pPr>
            <w:r w:rsidRPr="00762F09">
              <w:t>201</w:t>
            </w:r>
            <w:r w:rsidR="00C073A9">
              <w:t>3</w:t>
            </w:r>
            <w:r>
              <w:t xml:space="preserve"> </w:t>
            </w:r>
            <w:r w:rsidR="00426BDA">
              <w:t>Program Increases</w:t>
            </w:r>
          </w:p>
        </w:tc>
        <w:tc>
          <w:tcPr>
            <w:tcW w:w="1260" w:type="dxa"/>
          </w:tcPr>
          <w:p w:rsidR="00FA2AAB" w:rsidRPr="00477A23" w:rsidRDefault="008C2DDF" w:rsidP="00F129F7">
            <w:pPr>
              <w:spacing w:before="100" w:beforeAutospacing="1" w:after="100" w:afterAutospacing="1"/>
              <w:jc w:val="right"/>
            </w:pPr>
            <w:r>
              <w:t>0</w:t>
            </w:r>
          </w:p>
        </w:tc>
        <w:tc>
          <w:tcPr>
            <w:tcW w:w="1080" w:type="dxa"/>
          </w:tcPr>
          <w:p w:rsidR="00FA2AAB" w:rsidRPr="00477A23" w:rsidRDefault="0048571E" w:rsidP="00143009">
            <w:pPr>
              <w:spacing w:before="100" w:beforeAutospacing="1" w:after="100" w:afterAutospacing="1"/>
              <w:jc w:val="right"/>
            </w:pPr>
            <w:r>
              <w:t>0</w:t>
            </w:r>
          </w:p>
        </w:tc>
        <w:tc>
          <w:tcPr>
            <w:tcW w:w="1980" w:type="dxa"/>
          </w:tcPr>
          <w:p w:rsidR="00FA2AAB" w:rsidRPr="00477A23" w:rsidRDefault="001C297D" w:rsidP="00772A05">
            <w:pPr>
              <w:spacing w:before="100" w:beforeAutospacing="1" w:after="100" w:afterAutospacing="1"/>
              <w:jc w:val="right"/>
            </w:pPr>
            <w:r>
              <w:t>0</w:t>
            </w:r>
          </w:p>
        </w:tc>
      </w:tr>
      <w:tr w:rsidR="00676C34" w:rsidRPr="00762F09" w:rsidTr="00143009">
        <w:tc>
          <w:tcPr>
            <w:tcW w:w="5040" w:type="dxa"/>
          </w:tcPr>
          <w:p w:rsidR="00676C34" w:rsidRPr="00762F09" w:rsidRDefault="006C7DF9" w:rsidP="006C7DF9">
            <w:pPr>
              <w:spacing w:before="100" w:beforeAutospacing="1" w:after="100" w:afterAutospacing="1"/>
            </w:pPr>
            <w:r>
              <w:t>201</w:t>
            </w:r>
            <w:r w:rsidR="00C073A9">
              <w:t>3</w:t>
            </w:r>
            <w:r>
              <w:t xml:space="preserve"> </w:t>
            </w:r>
            <w:r w:rsidR="00426BDA">
              <w:t xml:space="preserve">Program </w:t>
            </w:r>
            <w:r w:rsidR="00676C34">
              <w:t>Offsets</w:t>
            </w:r>
          </w:p>
        </w:tc>
        <w:tc>
          <w:tcPr>
            <w:tcW w:w="1260" w:type="dxa"/>
          </w:tcPr>
          <w:p w:rsidR="00676C34" w:rsidRDefault="001C297D" w:rsidP="00E67E64">
            <w:pPr>
              <w:spacing w:before="100" w:beforeAutospacing="1" w:after="100" w:afterAutospacing="1"/>
              <w:jc w:val="right"/>
            </w:pPr>
            <w:r>
              <w:t>(</w:t>
            </w:r>
            <w:r w:rsidR="00E67E64">
              <w:t>3</w:t>
            </w:r>
            <w:r>
              <w:t>)</w:t>
            </w:r>
          </w:p>
        </w:tc>
        <w:tc>
          <w:tcPr>
            <w:tcW w:w="1080" w:type="dxa"/>
          </w:tcPr>
          <w:p w:rsidR="00676C34" w:rsidRDefault="001C297D" w:rsidP="00E67E64">
            <w:pPr>
              <w:spacing w:before="100" w:beforeAutospacing="1" w:after="100" w:afterAutospacing="1"/>
              <w:jc w:val="right"/>
            </w:pPr>
            <w:r>
              <w:t>(</w:t>
            </w:r>
            <w:r w:rsidR="00E67E64">
              <w:t>3</w:t>
            </w:r>
            <w:r>
              <w:t>)</w:t>
            </w:r>
          </w:p>
        </w:tc>
        <w:tc>
          <w:tcPr>
            <w:tcW w:w="1980" w:type="dxa"/>
          </w:tcPr>
          <w:p w:rsidR="00676C34" w:rsidRDefault="00E67E64" w:rsidP="008C2DDF">
            <w:pPr>
              <w:spacing w:before="100" w:beforeAutospacing="1" w:after="100" w:afterAutospacing="1"/>
              <w:jc w:val="right"/>
            </w:pPr>
            <w:r>
              <w:t>(538)</w:t>
            </w:r>
          </w:p>
        </w:tc>
      </w:tr>
      <w:tr w:rsidR="00FA2AAB" w:rsidRPr="00762F09" w:rsidTr="00143009">
        <w:tc>
          <w:tcPr>
            <w:tcW w:w="5040" w:type="dxa"/>
          </w:tcPr>
          <w:p w:rsidR="00FA2AAB" w:rsidRPr="00762F09" w:rsidRDefault="006C7DF9" w:rsidP="006C7DF9">
            <w:pPr>
              <w:spacing w:before="100" w:beforeAutospacing="1" w:after="100" w:afterAutospacing="1"/>
            </w:pPr>
            <w:r w:rsidRPr="00762F09">
              <w:t>201</w:t>
            </w:r>
            <w:r w:rsidR="00C073A9">
              <w:t>3</w:t>
            </w:r>
            <w:r w:rsidRPr="00762F09">
              <w:t xml:space="preserve"> </w:t>
            </w:r>
            <w:r w:rsidR="00FA2AAB" w:rsidRPr="00762F09">
              <w:t>Request</w:t>
            </w:r>
          </w:p>
        </w:tc>
        <w:tc>
          <w:tcPr>
            <w:tcW w:w="1260" w:type="dxa"/>
          </w:tcPr>
          <w:p w:rsidR="00FA2AAB" w:rsidRPr="00477A23" w:rsidRDefault="00EA75AF" w:rsidP="008C2DDF">
            <w:pPr>
              <w:spacing w:before="100" w:beforeAutospacing="1" w:after="100" w:afterAutospacing="1"/>
              <w:jc w:val="right"/>
            </w:pPr>
            <w:r>
              <w:t>99</w:t>
            </w:r>
          </w:p>
        </w:tc>
        <w:tc>
          <w:tcPr>
            <w:tcW w:w="1080" w:type="dxa"/>
          </w:tcPr>
          <w:p w:rsidR="00FA2AAB" w:rsidRPr="00477A23" w:rsidRDefault="00EA75AF" w:rsidP="00F129F7">
            <w:pPr>
              <w:spacing w:before="100" w:beforeAutospacing="1" w:after="100" w:afterAutospacing="1"/>
              <w:jc w:val="right"/>
            </w:pPr>
            <w:r>
              <w:t>97</w:t>
            </w:r>
          </w:p>
        </w:tc>
        <w:tc>
          <w:tcPr>
            <w:tcW w:w="1980" w:type="dxa"/>
          </w:tcPr>
          <w:p w:rsidR="00FA2AAB" w:rsidRPr="00477A23" w:rsidRDefault="00E67E64" w:rsidP="00C80DDF">
            <w:pPr>
              <w:spacing w:before="100" w:beforeAutospacing="1" w:after="100" w:afterAutospacing="1"/>
              <w:jc w:val="right"/>
            </w:pPr>
            <w:r>
              <w:t>23,0</w:t>
            </w:r>
            <w:r w:rsidR="00C80DDF">
              <w:t>67</w:t>
            </w:r>
          </w:p>
        </w:tc>
      </w:tr>
      <w:tr w:rsidR="00FA2AAB" w:rsidRPr="00762F09" w:rsidTr="00143009">
        <w:tc>
          <w:tcPr>
            <w:tcW w:w="5040" w:type="dxa"/>
            <w:shd w:val="clear" w:color="auto" w:fill="E0E0E0"/>
          </w:tcPr>
          <w:p w:rsidR="00FA2AAB" w:rsidRPr="00143009" w:rsidRDefault="00FA2AAB" w:rsidP="006C7DF9">
            <w:pPr>
              <w:spacing w:before="100" w:beforeAutospacing="1" w:after="100" w:afterAutospacing="1"/>
              <w:rPr>
                <w:b/>
                <w:bCs/>
              </w:rPr>
            </w:pPr>
            <w:r w:rsidRPr="00143009">
              <w:rPr>
                <w:b/>
                <w:bCs/>
              </w:rPr>
              <w:t xml:space="preserve">Total Change </w:t>
            </w:r>
            <w:r w:rsidR="006C7DF9" w:rsidRPr="00143009">
              <w:rPr>
                <w:b/>
                <w:bCs/>
              </w:rPr>
              <w:t>201</w:t>
            </w:r>
            <w:r w:rsidR="00C073A9">
              <w:rPr>
                <w:b/>
                <w:bCs/>
              </w:rPr>
              <w:t>2</w:t>
            </w:r>
            <w:r w:rsidRPr="00143009">
              <w:rPr>
                <w:b/>
                <w:bCs/>
              </w:rPr>
              <w:t>-</w:t>
            </w:r>
            <w:r w:rsidR="006C7DF9" w:rsidRPr="00143009">
              <w:rPr>
                <w:b/>
                <w:bCs/>
              </w:rPr>
              <w:t>201</w:t>
            </w:r>
            <w:r w:rsidR="00C073A9">
              <w:rPr>
                <w:b/>
                <w:bCs/>
              </w:rPr>
              <w:t>3</w:t>
            </w:r>
          </w:p>
        </w:tc>
        <w:tc>
          <w:tcPr>
            <w:tcW w:w="1260" w:type="dxa"/>
            <w:shd w:val="clear" w:color="auto" w:fill="E0E0E0"/>
          </w:tcPr>
          <w:p w:rsidR="00FA2AAB" w:rsidRPr="00477A23" w:rsidRDefault="001C297D" w:rsidP="00E67E64">
            <w:pPr>
              <w:spacing w:before="100" w:beforeAutospacing="1" w:after="100" w:afterAutospacing="1"/>
              <w:jc w:val="right"/>
              <w:rPr>
                <w:b/>
              </w:rPr>
            </w:pPr>
            <w:r>
              <w:rPr>
                <w:b/>
              </w:rPr>
              <w:t>(</w:t>
            </w:r>
            <w:r w:rsidR="00E67E64">
              <w:rPr>
                <w:b/>
              </w:rPr>
              <w:t>3</w:t>
            </w:r>
            <w:r>
              <w:rPr>
                <w:b/>
              </w:rPr>
              <w:t>)</w:t>
            </w:r>
          </w:p>
        </w:tc>
        <w:tc>
          <w:tcPr>
            <w:tcW w:w="1080" w:type="dxa"/>
            <w:shd w:val="clear" w:color="auto" w:fill="E0E0E0"/>
          </w:tcPr>
          <w:p w:rsidR="00FA2AAB" w:rsidRPr="00477A23" w:rsidRDefault="001C297D" w:rsidP="00E67E64">
            <w:pPr>
              <w:spacing w:before="100" w:beforeAutospacing="1" w:after="100" w:afterAutospacing="1"/>
              <w:jc w:val="right"/>
              <w:rPr>
                <w:b/>
              </w:rPr>
            </w:pPr>
            <w:r>
              <w:rPr>
                <w:b/>
              </w:rPr>
              <w:t>(</w:t>
            </w:r>
            <w:r w:rsidR="00E67E64">
              <w:rPr>
                <w:b/>
              </w:rPr>
              <w:t>3</w:t>
            </w:r>
            <w:r>
              <w:rPr>
                <w:b/>
              </w:rPr>
              <w:t>)</w:t>
            </w:r>
          </w:p>
        </w:tc>
        <w:tc>
          <w:tcPr>
            <w:tcW w:w="1980" w:type="dxa"/>
            <w:shd w:val="clear" w:color="auto" w:fill="E0E0E0"/>
          </w:tcPr>
          <w:p w:rsidR="00FA2AAB" w:rsidRPr="00477A23" w:rsidRDefault="00C80DDF" w:rsidP="00F129F7">
            <w:pPr>
              <w:spacing w:before="100" w:beforeAutospacing="1" w:after="100" w:afterAutospacing="1"/>
              <w:jc w:val="right"/>
              <w:rPr>
                <w:b/>
              </w:rPr>
            </w:pPr>
            <w:r>
              <w:rPr>
                <w:b/>
              </w:rPr>
              <w:t>27</w:t>
            </w:r>
          </w:p>
        </w:tc>
      </w:tr>
    </w:tbl>
    <w:p w:rsidR="008061A9" w:rsidRDefault="00175423" w:rsidP="00754DA4">
      <w:pPr>
        <w:pStyle w:val="BodyText"/>
        <w:numPr>
          <w:ilvl w:val="0"/>
          <w:numId w:val="78"/>
        </w:numPr>
        <w:spacing w:before="100" w:beforeAutospacing="1" w:after="100" w:afterAutospacing="1"/>
        <w:ind w:hanging="450"/>
        <w:rPr>
          <w:b/>
          <w:bCs/>
        </w:rPr>
      </w:pPr>
      <w:r w:rsidRPr="00762F09">
        <w:rPr>
          <w:b/>
          <w:bCs/>
        </w:rPr>
        <w:t>Program Description</w:t>
      </w:r>
      <w:r w:rsidRPr="00366A78" w:rsidDel="00175423">
        <w:rPr>
          <w:b/>
          <w:bCs/>
        </w:rPr>
        <w:t xml:space="preserve"> </w:t>
      </w:r>
    </w:p>
    <w:p w:rsidR="008061A9" w:rsidRDefault="00AC4803">
      <w:pPr>
        <w:pStyle w:val="BodyText"/>
        <w:spacing w:before="100" w:beforeAutospacing="1" w:after="100" w:afterAutospacing="1"/>
        <w:rPr>
          <w:bCs/>
        </w:rPr>
      </w:pPr>
      <w:r>
        <w:rPr>
          <w:bCs/>
        </w:rPr>
        <w:t>Illegal diversion of tobacco products deprives governments of due revenue (tax losses are estimated in the billions of dollars) and enables organized criminal enterprises (including terrorist organizations) to gain substantial profits.  Unlike the trafficking of illegal drugs that are readily identifiable as contraband, the diversion of tobacco and alcohol products attracts less scrutiny and has a reduced risk of apprehension while still offering high potential profits.  In addition, immense profits and relatively low penalties attract organized crime and fundraisers for terrorist groups.</w:t>
      </w:r>
    </w:p>
    <w:p w:rsidR="00990A77" w:rsidRDefault="00AC4803" w:rsidP="00D27887">
      <w:pPr>
        <w:pStyle w:val="BodyText"/>
        <w:spacing w:before="100" w:beforeAutospacing="1" w:after="100" w:afterAutospacing="1"/>
        <w:rPr>
          <w:bCs/>
        </w:rPr>
      </w:pPr>
      <w:r>
        <w:rPr>
          <w:bCs/>
        </w:rPr>
        <w:t xml:space="preserve">Criminals have long exploited the differences among </w:t>
      </w:r>
      <w:r w:rsidR="00D31D89">
        <w:rPr>
          <w:bCs/>
        </w:rPr>
        <w:t>Federal</w:t>
      </w:r>
      <w:r>
        <w:rPr>
          <w:bCs/>
        </w:rPr>
        <w:t xml:space="preserve"> and </w:t>
      </w:r>
      <w:r w:rsidR="00D31D89">
        <w:rPr>
          <w:bCs/>
        </w:rPr>
        <w:t>state</w:t>
      </w:r>
      <w:r>
        <w:rPr>
          <w:bCs/>
        </w:rPr>
        <w:t xml:space="preserve"> excise tax rates on alcohol and cigarettes by illegally producing, distributing, and smuggling alcohol and cigarettes into domestic and international high tax jurisdictions, activities collectively referred to as diversion.</w:t>
      </w:r>
    </w:p>
    <w:p w:rsidR="00F676C6" w:rsidRDefault="00FE158C" w:rsidP="00D27887">
      <w:pPr>
        <w:pStyle w:val="BodyText"/>
        <w:spacing w:before="100" w:beforeAutospacing="1" w:after="100" w:afterAutospacing="1"/>
        <w:rPr>
          <w:bCs/>
        </w:rPr>
      </w:pPr>
      <w:r>
        <w:rPr>
          <w:bCs/>
          <w:noProof/>
        </w:rPr>
        <w:drawing>
          <wp:anchor distT="0" distB="0" distL="114300" distR="114300" simplePos="0" relativeHeight="251680768" behindDoc="0" locked="0" layoutInCell="1" allowOverlap="1">
            <wp:simplePos x="0" y="0"/>
            <wp:positionH relativeFrom="column">
              <wp:posOffset>4109720</wp:posOffset>
            </wp:positionH>
            <wp:positionV relativeFrom="paragraph">
              <wp:posOffset>671195</wp:posOffset>
            </wp:positionV>
            <wp:extent cx="1569085" cy="1838325"/>
            <wp:effectExtent l="19050" t="0" r="0" b="0"/>
            <wp:wrapThrough wrapText="bothSides">
              <wp:wrapPolygon edited="0">
                <wp:start x="-262" y="0"/>
                <wp:lineTo x="-262" y="21488"/>
                <wp:lineTo x="21504" y="21488"/>
                <wp:lineTo x="21504" y="0"/>
                <wp:lineTo x="-262" y="0"/>
              </wp:wrapPolygon>
            </wp:wrapThrough>
            <wp:docPr id="560" name="Picture 834" descr="The photograph on page 53 is an illustration of an illegal purchase of contraband cigarettes to an undercover agent of the ATF.  The agent is conductiong a sting operation selling contraband tobacco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44" cstate="print"/>
                    <a:srcRect/>
                    <a:stretch>
                      <a:fillRect/>
                    </a:stretch>
                  </pic:blipFill>
                  <pic:spPr bwMode="auto">
                    <a:xfrm>
                      <a:off x="0" y="0"/>
                      <a:ext cx="1569085" cy="1838325"/>
                    </a:xfrm>
                    <a:prstGeom prst="rect">
                      <a:avLst/>
                    </a:prstGeom>
                    <a:noFill/>
                  </pic:spPr>
                </pic:pic>
              </a:graphicData>
            </a:graphic>
          </wp:anchor>
        </w:drawing>
      </w:r>
      <w:r w:rsidR="00AC4803">
        <w:rPr>
          <w:bCs/>
        </w:rPr>
        <w:t xml:space="preserve">Alcohol diversion raises images of prohibition-era moonshiners and bootleggers.  While moonshiners still exist, more recent and complex alcohol diversion includes the diversion of distilled spirits from the U.S. to the former Soviet countries and to European Union countries.  In many of these cases, distilled spirits are mislabeled as industrial products to perpetrate the fraud.  </w:t>
      </w:r>
      <w:r w:rsidR="007F248C">
        <w:rPr>
          <w:bCs/>
        </w:rPr>
        <w:t xml:space="preserve">ATF’s primary jurisdiction relating to tobacco is the Contraband Cigarette Trafficking Act (CCTA), which makes it unlawful for any person to ship, transport, receive, possess, sell, distribute, or purchase more than 10,000 cigarettes that bear no evidence of </w:t>
      </w:r>
      <w:r w:rsidR="00D31D89">
        <w:rPr>
          <w:bCs/>
        </w:rPr>
        <w:t>state</w:t>
      </w:r>
      <w:r w:rsidR="007F248C">
        <w:rPr>
          <w:bCs/>
        </w:rPr>
        <w:t xml:space="preserve"> tax payment for the </w:t>
      </w:r>
      <w:r w:rsidR="00D31D89">
        <w:rPr>
          <w:bCs/>
        </w:rPr>
        <w:t>state</w:t>
      </w:r>
      <w:r w:rsidR="007F248C">
        <w:rPr>
          <w:bCs/>
        </w:rPr>
        <w:t xml:space="preserve"> in which the cigarettes are found.  The CCTA was enacted to support </w:t>
      </w:r>
      <w:r w:rsidR="00D31D89">
        <w:rPr>
          <w:bCs/>
        </w:rPr>
        <w:t>state</w:t>
      </w:r>
      <w:r w:rsidR="007F248C">
        <w:rPr>
          <w:bCs/>
        </w:rPr>
        <w:t xml:space="preserve"> and local law enforcement agencies in </w:t>
      </w:r>
      <w:r w:rsidR="00F94F22">
        <w:rPr>
          <w:bCs/>
        </w:rPr>
        <w:t>efforts</w:t>
      </w:r>
      <w:r w:rsidR="007F248C">
        <w:rPr>
          <w:bCs/>
        </w:rPr>
        <w:t xml:space="preserve"> to stop structured and organized criminal groups that derive significant financial gain through the transportation of contraband tobacco from no- or low-tax locales to high-tax locales.  </w:t>
      </w:r>
      <w:r w:rsidR="004852D5" w:rsidRPr="00CF10C8">
        <w:rPr>
          <w:bCs/>
        </w:rPr>
        <w:t>To prevent these crimes, ATF works</w:t>
      </w:r>
      <w:r w:rsidR="004852D5">
        <w:rPr>
          <w:bCs/>
          <w:color w:val="FF00FF"/>
        </w:rPr>
        <w:t xml:space="preserve"> </w:t>
      </w:r>
      <w:r w:rsidR="007F248C">
        <w:rPr>
          <w:bCs/>
        </w:rPr>
        <w:t xml:space="preserve">with other </w:t>
      </w:r>
      <w:r w:rsidR="00D31D89">
        <w:rPr>
          <w:bCs/>
        </w:rPr>
        <w:t>Federal</w:t>
      </w:r>
      <w:r w:rsidR="007F248C">
        <w:rPr>
          <w:bCs/>
        </w:rPr>
        <w:t xml:space="preserve"> law enforcement and revenue agencies, </w:t>
      </w:r>
      <w:r w:rsidR="00D31D89">
        <w:rPr>
          <w:bCs/>
        </w:rPr>
        <w:t>state</w:t>
      </w:r>
      <w:r w:rsidR="007F248C">
        <w:rPr>
          <w:bCs/>
        </w:rPr>
        <w:t xml:space="preserve"> and local law enforcement and revenue agencies, and international law enforcement and revenue agencies.  ATF often charges defendants with violations other than CCTA violations, ranging from conspiracy to </w:t>
      </w:r>
      <w:r w:rsidR="00D31D89">
        <w:rPr>
          <w:bCs/>
        </w:rPr>
        <w:t>Federal</w:t>
      </w:r>
      <w:r w:rsidR="007F248C">
        <w:rPr>
          <w:bCs/>
        </w:rPr>
        <w:t xml:space="preserve"> charges of </w:t>
      </w:r>
      <w:r w:rsidR="00F94F22">
        <w:rPr>
          <w:bCs/>
        </w:rPr>
        <w:t>m</w:t>
      </w:r>
      <w:r w:rsidR="007F248C">
        <w:rPr>
          <w:bCs/>
        </w:rPr>
        <w:t>urder-for-</w:t>
      </w:r>
      <w:r w:rsidR="00F94F22">
        <w:rPr>
          <w:bCs/>
        </w:rPr>
        <w:t>h</w:t>
      </w:r>
      <w:r w:rsidR="007F248C">
        <w:rPr>
          <w:bCs/>
        </w:rPr>
        <w:t>ire.  Throu</w:t>
      </w:r>
      <w:r w:rsidR="00F676C6">
        <w:rPr>
          <w:bCs/>
        </w:rPr>
        <w:t>gh the successful prosecution and plea agreements in these complex cases involving inter</w:t>
      </w:r>
      <w:r w:rsidR="00D31D89">
        <w:rPr>
          <w:bCs/>
        </w:rPr>
        <w:t>state</w:t>
      </w:r>
      <w:r w:rsidR="00F676C6">
        <w:rPr>
          <w:bCs/>
        </w:rPr>
        <w:t xml:space="preserve"> commerce, </w:t>
      </w:r>
      <w:r w:rsidR="00D31D89">
        <w:rPr>
          <w:bCs/>
        </w:rPr>
        <w:t>state</w:t>
      </w:r>
      <w:r w:rsidR="00F676C6">
        <w:rPr>
          <w:bCs/>
        </w:rPr>
        <w:t>s have recovered millions of dollars in excise tax revenues.</w:t>
      </w:r>
    </w:p>
    <w:p w:rsidR="00CF10C8" w:rsidRDefault="00F676C6" w:rsidP="00D27887">
      <w:pPr>
        <w:pStyle w:val="BodyText"/>
        <w:spacing w:before="100" w:beforeAutospacing="1" w:after="100" w:afterAutospacing="1"/>
        <w:rPr>
          <w:bCs/>
        </w:rPr>
      </w:pPr>
      <w:r>
        <w:rPr>
          <w:bCs/>
        </w:rPr>
        <w:t>Organized criminal groups, including those with ties to terrorist organizations, have increasingly engaged in the illegal trafficking in tobacco products, particularly counterfeit and lawfully manufactured cigarettes.  The proliferation of large volume trafficking across international borders and inter</w:t>
      </w:r>
      <w:r w:rsidR="00D31D89">
        <w:rPr>
          <w:bCs/>
        </w:rPr>
        <w:t>state</w:t>
      </w:r>
      <w:r>
        <w:rPr>
          <w:bCs/>
        </w:rPr>
        <w:t xml:space="preserve"> commerce, without payment of tax, provides funding and material support to terrorist organizations and other organized criminal enterprises.  ATF has conducted two tobacco diversion </w:t>
      </w:r>
      <w:r w:rsidR="00AB4BAD">
        <w:rPr>
          <w:bCs/>
        </w:rPr>
        <w:t>investigations, which</w:t>
      </w:r>
      <w:r>
        <w:rPr>
          <w:bCs/>
        </w:rPr>
        <w:t xml:space="preserve"> resulted in convictions for Material Support to a Terrorist Organization. </w:t>
      </w:r>
    </w:p>
    <w:p w:rsidR="00CF10C8" w:rsidRPr="00122812" w:rsidRDefault="00CF10C8" w:rsidP="00CF10C8">
      <w:pPr>
        <w:pStyle w:val="PlainText"/>
        <w:tabs>
          <w:tab w:val="left" w:pos="8100"/>
        </w:tabs>
        <w:ind w:left="720" w:right="1260"/>
        <w:rPr>
          <w:rFonts w:ascii="Times New Roman" w:hAnsi="Times New Roman"/>
          <w:i/>
          <w:sz w:val="24"/>
          <w:szCs w:val="24"/>
        </w:rPr>
      </w:pPr>
      <w:r>
        <w:rPr>
          <w:rFonts w:ascii="Times New Roman" w:hAnsi="Times New Roman"/>
          <w:i/>
          <w:sz w:val="24"/>
          <w:szCs w:val="24"/>
        </w:rPr>
        <w:t>“Integrate federal law enforcement and domestic/international intelligence efforts to dismantle terrorist networks and diminish their support worldwide.”</w:t>
      </w:r>
    </w:p>
    <w:p w:rsidR="00CF10C8" w:rsidRPr="00122812" w:rsidRDefault="00CF10C8" w:rsidP="00CF10C8">
      <w:pPr>
        <w:rPr>
          <w:i/>
        </w:rPr>
      </w:pPr>
    </w:p>
    <w:p w:rsidR="00CF10C8" w:rsidRDefault="00CF10C8" w:rsidP="00CF10C8">
      <w:pPr>
        <w:ind w:left="360"/>
        <w:jc w:val="right"/>
      </w:pPr>
      <w:r>
        <w:t xml:space="preserve">Source: </w:t>
      </w:r>
      <w:r w:rsidRPr="00407775">
        <w:rPr>
          <w:u w:val="single"/>
        </w:rPr>
        <w:t>US Department of Justice Fiscal Years 2012-2016 Strategic Plan</w:t>
      </w:r>
      <w:r>
        <w:t>, page 12</w:t>
      </w:r>
    </w:p>
    <w:p w:rsidR="002D1D76" w:rsidRPr="00990A77" w:rsidRDefault="00CF10C8" w:rsidP="00572BA5">
      <w:pPr>
        <w:pStyle w:val="BodyText"/>
        <w:spacing w:before="100" w:beforeAutospacing="1" w:after="100" w:afterAutospacing="1"/>
        <w:rPr>
          <w:bCs/>
        </w:rPr>
      </w:pPr>
      <w:r w:rsidRPr="0032011B">
        <w:t>During FY 2011, ATF opened approximately 1,125 investigations into the diversion of alcohol and tobacco products, recommending the prosecution of approximately 213 defendants and seizing approximately $32 million in valued assets.</w:t>
      </w:r>
      <w:r w:rsidRPr="0032011B">
        <w:rPr>
          <w:bCs/>
        </w:rPr>
        <w:t xml:space="preserve"> </w:t>
      </w:r>
      <w:r w:rsidR="00C34432" w:rsidRPr="0032011B">
        <w:rPr>
          <w:bCs/>
        </w:rPr>
        <w:t xml:space="preserve">Recently, ATF has seen a </w:t>
      </w:r>
      <w:r w:rsidR="00475F12" w:rsidRPr="0032011B">
        <w:rPr>
          <w:bCs/>
        </w:rPr>
        <w:t xml:space="preserve">sharp increase in the involvement of organized criminal groups in the diversion of tobacco products.  These groups are increasing their involvement due to the huge profits tobacco diversion generates for their criminal organizations.  The profits gained through tobacco diversion are then filtered back into their criminal organizations to fund other criminal activities, including other types of fraud and violent crime.  These criminal organizations affect the core of national and financial security and the quality of life of </w:t>
      </w:r>
      <w:r w:rsidR="008B0D2E" w:rsidRPr="0032011B">
        <w:rPr>
          <w:bCs/>
        </w:rPr>
        <w:t>all American</w:t>
      </w:r>
      <w:r w:rsidR="00407775" w:rsidRPr="0032011B">
        <w:rPr>
          <w:bCs/>
        </w:rPr>
        <w:t>s</w:t>
      </w:r>
      <w:r w:rsidR="00475F12" w:rsidRPr="0032011B">
        <w:rPr>
          <w:bCs/>
        </w:rPr>
        <w:t xml:space="preserve">.  </w:t>
      </w:r>
    </w:p>
    <w:p w:rsidR="000327AA" w:rsidRPr="00CF10C8" w:rsidRDefault="00CF10C8" w:rsidP="00572BA5">
      <w:pPr>
        <w:pStyle w:val="BodyText"/>
        <w:spacing w:before="100" w:beforeAutospacing="1" w:after="100" w:afterAutospacing="1"/>
        <w:rPr>
          <w:b/>
          <w:bCs/>
        </w:rPr>
      </w:pPr>
      <w:r w:rsidRPr="00CF10C8">
        <w:rPr>
          <w:b/>
          <w:bCs/>
        </w:rPr>
        <w:t xml:space="preserve">Tobacco Diversion Investigations </w:t>
      </w:r>
    </w:p>
    <w:p w:rsidR="00CF10C8" w:rsidRPr="0032011B" w:rsidRDefault="00CF10C8" w:rsidP="008B0D2E">
      <w:pPr>
        <w:pStyle w:val="ListParagraph"/>
        <w:rPr>
          <w:b/>
          <w:i/>
        </w:rPr>
      </w:pPr>
      <w:r w:rsidRPr="0032011B">
        <w:rPr>
          <w:b/>
          <w:i/>
        </w:rPr>
        <w:t>Silver Cloud Smoke Shop</w:t>
      </w:r>
    </w:p>
    <w:p w:rsidR="00CF10C8" w:rsidRPr="0032011B" w:rsidRDefault="00CF10C8" w:rsidP="008B0D2E">
      <w:pPr>
        <w:pStyle w:val="ListParagraph"/>
      </w:pPr>
      <w:r w:rsidRPr="0032011B">
        <w:rPr>
          <w:i/>
        </w:rPr>
        <w:t xml:space="preserve">  </w:t>
      </w:r>
    </w:p>
    <w:p w:rsidR="00D31375" w:rsidRPr="0032011B" w:rsidRDefault="009E6741" w:rsidP="008B0D2E">
      <w:pPr>
        <w:pStyle w:val="ListParagraph"/>
      </w:pPr>
      <w:r w:rsidRPr="0032011B">
        <w:t xml:space="preserve">On October 14, 2011, in Albuquerque Federal court, a member of the Pueblo de San Ildefonso was sentenced to a 33-month term of imprisonment to be followed by 3 years of supervised release for illegally trafficking in contraband cigarettes.  ATF </w:t>
      </w:r>
      <w:r w:rsidR="00990A77">
        <w:t xml:space="preserve">successfully </w:t>
      </w:r>
      <w:r w:rsidRPr="0032011B">
        <w:t>initiated the investigation into Rainbird’s internet business, which conspired to sell contraband cigarettes in interstate commerce without paying the applicable State cigarette taxes from 2003 through 2008.  The business sold to over 6,000 customers in 30 states.  ATF estimates that Rainbird evaded paying more than $7 million in taxes.  Rainbird was ordered to pay $60,000 in restitution to the Pueblo de San Ildefonso and $34,500 in restitution to the New Mexico Taxation and Revenue Department.  ATF seized and forfeited various assets derived from his criminal activity, including $169,446.72 located in four bank accounts; a 2001 Chevrolet Corvette and a 2004 Infinity FX; and 4,829 cartons of cigarettes.   </w:t>
      </w:r>
    </w:p>
    <w:p w:rsidR="00D31375" w:rsidRPr="0032011B" w:rsidRDefault="00D31375" w:rsidP="008B0D2E">
      <w:pPr>
        <w:pStyle w:val="ListParagraph"/>
      </w:pPr>
    </w:p>
    <w:p w:rsidR="00D31375" w:rsidRPr="0032011B" w:rsidRDefault="00D31375" w:rsidP="00D31375">
      <w:pPr>
        <w:pStyle w:val="ListParagraph"/>
        <w:numPr>
          <w:ilvl w:val="0"/>
          <w:numId w:val="51"/>
        </w:numPr>
      </w:pPr>
      <w:r w:rsidRPr="0032011B">
        <w:rPr>
          <w:b/>
        </w:rPr>
        <w:t>Foreign Tobacco</w:t>
      </w:r>
      <w:r w:rsidRPr="0032011B">
        <w:t>:  Foreign market tobacco imported and sold in the United States without tax</w:t>
      </w:r>
    </w:p>
    <w:p w:rsidR="00D31375" w:rsidRPr="0032011B" w:rsidRDefault="00D31375" w:rsidP="00D31375">
      <w:pPr>
        <w:pStyle w:val="ListParagraph"/>
      </w:pPr>
    </w:p>
    <w:p w:rsidR="00D31375" w:rsidRPr="0032011B" w:rsidRDefault="00D31375" w:rsidP="00D31375">
      <w:pPr>
        <w:pStyle w:val="ListParagraph"/>
        <w:rPr>
          <w:i/>
        </w:rPr>
      </w:pPr>
      <w:r w:rsidRPr="0032011B">
        <w:rPr>
          <w:b/>
          <w:i/>
        </w:rPr>
        <w:t>Operation Little Saigon</w:t>
      </w:r>
      <w:r w:rsidRPr="0032011B">
        <w:rPr>
          <w:i/>
        </w:rPr>
        <w:t xml:space="preserve">  </w:t>
      </w:r>
    </w:p>
    <w:p w:rsidR="00D31375" w:rsidRPr="0032011B" w:rsidRDefault="00D31375" w:rsidP="00D31375">
      <w:pPr>
        <w:pStyle w:val="ListParagraph"/>
        <w:rPr>
          <w:i/>
        </w:rPr>
      </w:pPr>
    </w:p>
    <w:p w:rsidR="00D31375" w:rsidRPr="0032011B" w:rsidRDefault="00D31375" w:rsidP="00D31375">
      <w:pPr>
        <w:pStyle w:val="ListParagraph"/>
      </w:pPr>
      <w:r w:rsidRPr="0032011B">
        <w:t xml:space="preserve">Operation Little Saigon is an investigation out of the Seattle Field Division with nexus to Boston and Dallas.  A massive amount of Vietnamese cigarettes are being mailed to individuals in the United States from Vietnam, </w:t>
      </w:r>
      <w:r w:rsidR="00990A77">
        <w:t xml:space="preserve">and </w:t>
      </w:r>
      <w:r w:rsidRPr="0032011B">
        <w:t xml:space="preserve">then sold to stores and individuals in the Vietnamese communities in large American cities.  There is no U.S. or State tax on these cigarettes, nor do they meet FDA requirements.  The cigarettes are hidden in packages labeled “gift” and pass undetected through the U.S. Postal Service/CBP inspections at major airports.  Millions of dollars of tax loss results, as well as the presence of non-regulated tobacco product on U.S. streets.  Investigation is ongoing, but ATF has served numerous Federal search warrants and seized over $300,000 in currency. </w:t>
      </w:r>
    </w:p>
    <w:p w:rsidR="00D31375" w:rsidRPr="0032011B" w:rsidRDefault="00D31375" w:rsidP="00D31375">
      <w:pPr>
        <w:pStyle w:val="ListParagraph"/>
      </w:pPr>
    </w:p>
    <w:p w:rsidR="00D31375" w:rsidRPr="0032011B" w:rsidRDefault="00D31375" w:rsidP="00D31375">
      <w:pPr>
        <w:pStyle w:val="ListParagraph"/>
        <w:numPr>
          <w:ilvl w:val="0"/>
          <w:numId w:val="51"/>
        </w:numPr>
      </w:pPr>
      <w:r w:rsidRPr="0032011B">
        <w:rPr>
          <w:b/>
        </w:rPr>
        <w:t>Churning</w:t>
      </w:r>
      <w:r w:rsidRPr="0032011B">
        <w:t>:  Proceeds from tobacco used by ATF to further investigation</w:t>
      </w:r>
    </w:p>
    <w:p w:rsidR="00D31375" w:rsidRPr="0032011B" w:rsidRDefault="00D31375" w:rsidP="00D31375">
      <w:pPr>
        <w:pStyle w:val="ListParagraph"/>
      </w:pPr>
    </w:p>
    <w:p w:rsidR="00D31375" w:rsidRPr="0032011B" w:rsidRDefault="00D31375" w:rsidP="00D31375">
      <w:pPr>
        <w:pStyle w:val="ListParagraph"/>
        <w:rPr>
          <w:i/>
        </w:rPr>
      </w:pPr>
      <w:r w:rsidRPr="0032011B">
        <w:rPr>
          <w:b/>
          <w:i/>
        </w:rPr>
        <w:t>The Eduard Ifraimov Case</w:t>
      </w:r>
      <w:r w:rsidRPr="0032011B">
        <w:rPr>
          <w:i/>
        </w:rPr>
        <w:t xml:space="preserve"> </w:t>
      </w:r>
    </w:p>
    <w:p w:rsidR="00D31375" w:rsidRPr="0032011B" w:rsidRDefault="00D31375" w:rsidP="00D31375">
      <w:pPr>
        <w:pStyle w:val="ListParagraph"/>
        <w:rPr>
          <w:i/>
        </w:rPr>
      </w:pPr>
    </w:p>
    <w:p w:rsidR="00D31375" w:rsidRPr="0032011B" w:rsidRDefault="00D31375" w:rsidP="00D31375">
      <w:pPr>
        <w:pStyle w:val="ListParagraph"/>
      </w:pPr>
      <w:r w:rsidRPr="0032011B">
        <w:t xml:space="preserve">In the summer of 2008, ATF learned that for 2 years Eduard Ifraimov had been purchasing large amounts of cigarettes in Delaware and transporting them back to New York City where he sold them, avoiding the New York State and City cigarette taxes. An undercover ATF Special Agent, posing as a smuggler in untaxed cigarettes, was introduced to Ifraimov, who from August 2008 to the date of his arrest on April 23, 2010, purchased from the undercover agent more than 23,000 cartons of cigarettes at a price exceeding $900,000. </w:t>
      </w:r>
      <w:r w:rsidR="00990A77">
        <w:t xml:space="preserve"> </w:t>
      </w:r>
      <w:r w:rsidRPr="0032011B">
        <w:t>These cigarettes bore counterfeit Delaware tax stamps or were unstamped.</w:t>
      </w:r>
      <w:r w:rsidR="00990A77">
        <w:t xml:space="preserve"> </w:t>
      </w:r>
      <w:r w:rsidRPr="0032011B">
        <w:t xml:space="preserve"> In selling the cigarettes in New York City, Ifraimov avoided New York State and City taxes totaling $42.50 per carton, for a total tax loss in those jurisdictions exceeding $975,000.</w:t>
      </w:r>
      <w:r w:rsidRPr="0032011B">
        <w:rPr>
          <w:rFonts w:ascii="Arial" w:hAnsi="Arial" w:cs="Arial"/>
          <w:sz w:val="18"/>
          <w:szCs w:val="18"/>
        </w:rPr>
        <w:t xml:space="preserve">  </w:t>
      </w:r>
      <w:r w:rsidRPr="0032011B">
        <w:t>Eduard Ifraimov was sentenced to 21 months in prison for trafficking in untaxed cigarettes, receipt of counterfeit cigarette tax stamps, and money laundering.</w:t>
      </w:r>
      <w:r w:rsidR="00990A77">
        <w:t xml:space="preserve">  ATF returned the proceeds of goods sold to its churning account for future investigations.</w:t>
      </w:r>
    </w:p>
    <w:p w:rsidR="008B0D2E" w:rsidRPr="0032011B" w:rsidRDefault="009E6741" w:rsidP="008B0D2E">
      <w:pPr>
        <w:pStyle w:val="ListParagraph"/>
        <w:rPr>
          <w:i/>
        </w:rPr>
      </w:pPr>
      <w:r w:rsidRPr="0032011B">
        <w:t xml:space="preserve">         </w:t>
      </w:r>
    </w:p>
    <w:p w:rsidR="008B0D2E" w:rsidRPr="0032011B" w:rsidRDefault="009E6741" w:rsidP="008B0D2E">
      <w:pPr>
        <w:pStyle w:val="PlainText"/>
        <w:numPr>
          <w:ilvl w:val="0"/>
          <w:numId w:val="51"/>
        </w:numPr>
        <w:rPr>
          <w:rFonts w:ascii="Times New Roman" w:hAnsi="Times New Roman"/>
          <w:sz w:val="24"/>
          <w:szCs w:val="24"/>
        </w:rPr>
      </w:pPr>
      <w:r w:rsidRPr="0032011B">
        <w:rPr>
          <w:rFonts w:ascii="Times New Roman" w:hAnsi="Times New Roman"/>
          <w:b/>
          <w:sz w:val="24"/>
          <w:szCs w:val="24"/>
        </w:rPr>
        <w:t>Other Tobacco Products (OTP)</w:t>
      </w:r>
      <w:r w:rsidRPr="0032011B">
        <w:rPr>
          <w:rFonts w:ascii="Times New Roman" w:hAnsi="Times New Roman"/>
          <w:sz w:val="24"/>
          <w:szCs w:val="24"/>
        </w:rPr>
        <w:t>:  Diversion of Non-Cigarette Tobacco products (Chew, Snuff, Snus, etc)</w:t>
      </w:r>
    </w:p>
    <w:p w:rsidR="008B0D2E" w:rsidRPr="0032011B" w:rsidRDefault="008B0D2E" w:rsidP="008B0D2E">
      <w:pPr>
        <w:pStyle w:val="PlainText"/>
        <w:ind w:left="720"/>
        <w:rPr>
          <w:rFonts w:ascii="Times New Roman" w:hAnsi="Times New Roman"/>
          <w:sz w:val="24"/>
          <w:szCs w:val="24"/>
        </w:rPr>
      </w:pPr>
    </w:p>
    <w:p w:rsidR="00CF10C8" w:rsidRPr="0032011B" w:rsidRDefault="009E6741" w:rsidP="008B0D2E">
      <w:pPr>
        <w:pStyle w:val="PlainText"/>
        <w:ind w:left="720"/>
        <w:rPr>
          <w:rFonts w:ascii="Times New Roman" w:hAnsi="Times New Roman"/>
          <w:i/>
          <w:sz w:val="24"/>
          <w:szCs w:val="24"/>
        </w:rPr>
      </w:pPr>
      <w:r w:rsidRPr="0032011B">
        <w:rPr>
          <w:rFonts w:ascii="Times New Roman" w:hAnsi="Times New Roman"/>
          <w:b/>
          <w:i/>
          <w:sz w:val="24"/>
          <w:szCs w:val="24"/>
        </w:rPr>
        <w:t>Ideal Tobacco</w:t>
      </w:r>
      <w:r w:rsidRPr="0032011B">
        <w:rPr>
          <w:rFonts w:ascii="Times New Roman" w:hAnsi="Times New Roman"/>
          <w:i/>
          <w:sz w:val="24"/>
          <w:szCs w:val="24"/>
        </w:rPr>
        <w:t xml:space="preserve">  </w:t>
      </w:r>
    </w:p>
    <w:p w:rsidR="00CF10C8" w:rsidRPr="0032011B" w:rsidRDefault="00CF10C8" w:rsidP="008B0D2E">
      <w:pPr>
        <w:pStyle w:val="PlainText"/>
        <w:ind w:left="720"/>
        <w:rPr>
          <w:rFonts w:ascii="Times New Roman" w:hAnsi="Times New Roman"/>
          <w:i/>
          <w:sz w:val="24"/>
          <w:szCs w:val="24"/>
        </w:rPr>
      </w:pPr>
    </w:p>
    <w:p w:rsidR="008B0D2E" w:rsidRPr="0032011B" w:rsidRDefault="009E6741" w:rsidP="008B0D2E">
      <w:pPr>
        <w:pStyle w:val="PlainText"/>
        <w:ind w:left="720"/>
      </w:pPr>
      <w:r w:rsidRPr="0032011B">
        <w:rPr>
          <w:rFonts w:ascii="Times New Roman" w:hAnsi="Times New Roman"/>
          <w:sz w:val="24"/>
          <w:szCs w:val="24"/>
        </w:rPr>
        <w:t xml:space="preserve">ATF initiated a 3-year investigation into the diversion of “other tobacco products” by Ideal Tobacco, located in Las Vegas, Nevada.  Ideal Tobacco sold large quantities of other tobacco products in the State of California and evaded or conspired to evade the California excise tax.  It has been estimated that Ideal Tobacco and its customers deprived the State of California of over $30 million in excise tax revenue.   ATF served eight search warrants and seven seizure warrants for residences and businesses in Las Vegas, Nevada; Phoenix, Arizona; and Los Angeles, California.  As a result of these warrants, ATF seized an estimated wholesale value of $15 million in other tobacco products and a total of $227,830 in cash and bank accounts.  Furthermore, ATF filed real property complaints against two warehouse locations with an appraised value of $5.1 million.  Fourteen individuals and three companies, who were customers of Ideal Tobacco, have been indicted in Los Angeles and Sacramento for violations of the Contraband Cigarette Trafficking Act and mail fraud.  Fourteen of seventeen defendants have plead guilty to date.  </w:t>
      </w:r>
    </w:p>
    <w:p w:rsidR="008B0D2E" w:rsidRPr="0032011B" w:rsidRDefault="008B0D2E" w:rsidP="008B0D2E">
      <w:pPr>
        <w:pStyle w:val="ListParagraph"/>
      </w:pPr>
    </w:p>
    <w:p w:rsidR="008B0D2E" w:rsidRPr="0032011B" w:rsidRDefault="009E6741" w:rsidP="008B0D2E">
      <w:pPr>
        <w:pStyle w:val="ListParagraph"/>
        <w:numPr>
          <w:ilvl w:val="0"/>
          <w:numId w:val="51"/>
        </w:numPr>
      </w:pPr>
      <w:r w:rsidRPr="0032011B">
        <w:rPr>
          <w:b/>
        </w:rPr>
        <w:t>CCTA</w:t>
      </w:r>
      <w:r w:rsidRPr="0032011B">
        <w:t xml:space="preserve">: Traditional CCTA </w:t>
      </w:r>
      <w:r w:rsidR="002E33B8">
        <w:t>I</w:t>
      </w:r>
      <w:r w:rsidR="00747115">
        <w:t xml:space="preserve">nvestigation </w:t>
      </w:r>
    </w:p>
    <w:p w:rsidR="00D31375" w:rsidRPr="0032011B" w:rsidRDefault="00D31375" w:rsidP="00D31375">
      <w:pPr>
        <w:pStyle w:val="BodyText"/>
        <w:spacing w:before="100" w:beforeAutospacing="1" w:after="100" w:afterAutospacing="1"/>
        <w:ind w:left="720"/>
        <w:rPr>
          <w:b/>
          <w:i/>
          <w:szCs w:val="24"/>
        </w:rPr>
      </w:pPr>
      <w:r w:rsidRPr="0032011B">
        <w:rPr>
          <w:b/>
          <w:i/>
          <w:szCs w:val="24"/>
        </w:rPr>
        <w:t>The</w:t>
      </w:r>
      <w:r w:rsidR="009E6741" w:rsidRPr="0032011B">
        <w:rPr>
          <w:b/>
          <w:i/>
          <w:szCs w:val="24"/>
        </w:rPr>
        <w:t xml:space="preserve"> Mohammed</w:t>
      </w:r>
      <w:r w:rsidRPr="0032011B">
        <w:rPr>
          <w:b/>
          <w:i/>
          <w:szCs w:val="24"/>
        </w:rPr>
        <w:t xml:space="preserve"> Alazzam Case</w:t>
      </w:r>
    </w:p>
    <w:p w:rsidR="008B0D2E" w:rsidRPr="0032011B" w:rsidRDefault="009E6741" w:rsidP="00D31375">
      <w:pPr>
        <w:pStyle w:val="BodyText"/>
        <w:spacing w:before="100" w:beforeAutospacing="1" w:after="100" w:afterAutospacing="1"/>
        <w:ind w:left="720"/>
        <w:rPr>
          <w:szCs w:val="24"/>
        </w:rPr>
      </w:pPr>
      <w:r w:rsidRPr="0032011B">
        <w:rPr>
          <w:szCs w:val="24"/>
        </w:rPr>
        <w:t>From December 2008 through May 2011, ATF initiated an investigation into Mohammed Alazzam, et al, for suspected contraband cigarette trafficking in the New York City and Westchester County areas.  This investigation identified an organized conspiracy of individuals engaged in cigarette trafficking, in which the source of supply spanned from Long Island Indian Reservations, to Southern and Midwest States.  The Alazzam organization operated a black market for the wholesale distribution of contraband cigarettes.  In May 2011, ATF Agents from the New York and New Jersey Field Divisions, and detectives from the Yonkers Police Department, affected numerous Federal arrest and search warrants for multiple individuals, residences, and storage facilities.  ATF seized approximately $135,000 and over 3,000 cartons of contraband cigarettes.  Alazzam and ten other defendants have been charged with conspiracy to distribute contraband cigarettes.</w:t>
      </w:r>
    </w:p>
    <w:p w:rsidR="008B0D2E" w:rsidRPr="00D31375" w:rsidRDefault="00D31375" w:rsidP="00572BA5">
      <w:pPr>
        <w:pStyle w:val="BodyText"/>
        <w:spacing w:before="100" w:beforeAutospacing="1" w:after="100" w:afterAutospacing="1"/>
        <w:rPr>
          <w:b/>
          <w:bCs/>
        </w:rPr>
      </w:pPr>
      <w:r w:rsidRPr="00D31375">
        <w:rPr>
          <w:b/>
          <w:bCs/>
        </w:rPr>
        <w:t>Fi</w:t>
      </w:r>
      <w:r>
        <w:rPr>
          <w:b/>
          <w:bCs/>
        </w:rPr>
        <w:t xml:space="preserve">nancial </w:t>
      </w:r>
      <w:r w:rsidRPr="00D31375">
        <w:rPr>
          <w:b/>
          <w:bCs/>
        </w:rPr>
        <w:t>Impacts of Tobacco Diversion</w:t>
      </w:r>
    </w:p>
    <w:p w:rsidR="00C34432" w:rsidRDefault="002A5328" w:rsidP="00D27887">
      <w:pPr>
        <w:pStyle w:val="BodyText"/>
        <w:numPr>
          <w:ilvl w:val="0"/>
          <w:numId w:val="51"/>
        </w:numPr>
        <w:ind w:right="720"/>
        <w:rPr>
          <w:bCs/>
        </w:rPr>
      </w:pPr>
      <w:r w:rsidRPr="00DA2CA1">
        <w:rPr>
          <w:b/>
          <w:bCs/>
        </w:rPr>
        <w:t xml:space="preserve">ATF is currently investigating an illegal </w:t>
      </w:r>
      <w:r w:rsidR="0027342E" w:rsidRPr="00DA2CA1">
        <w:rPr>
          <w:b/>
          <w:bCs/>
        </w:rPr>
        <w:t>i</w:t>
      </w:r>
      <w:r w:rsidRPr="00DA2CA1">
        <w:rPr>
          <w:b/>
          <w:bCs/>
        </w:rPr>
        <w:t xml:space="preserve">nternet cigarette trafficker who in the past </w:t>
      </w:r>
      <w:r w:rsidR="0027342E" w:rsidRPr="00DA2CA1">
        <w:rPr>
          <w:b/>
          <w:bCs/>
        </w:rPr>
        <w:t>five</w:t>
      </w:r>
      <w:r w:rsidRPr="00DA2CA1">
        <w:rPr>
          <w:b/>
          <w:bCs/>
        </w:rPr>
        <w:t xml:space="preserve"> years has gained over $1</w:t>
      </w:r>
      <w:r w:rsidR="00EF581E" w:rsidRPr="00DA2CA1">
        <w:rPr>
          <w:b/>
          <w:bCs/>
        </w:rPr>
        <w:t>30</w:t>
      </w:r>
      <w:r w:rsidRPr="00DA2CA1">
        <w:rPr>
          <w:b/>
          <w:bCs/>
        </w:rPr>
        <w:t xml:space="preserve"> million </w:t>
      </w:r>
      <w:r w:rsidR="00EF581E" w:rsidRPr="00DA2CA1">
        <w:rPr>
          <w:b/>
          <w:bCs/>
        </w:rPr>
        <w:t xml:space="preserve">in proceeds </w:t>
      </w:r>
      <w:r w:rsidRPr="00DA2CA1">
        <w:rPr>
          <w:b/>
          <w:bCs/>
        </w:rPr>
        <w:t>through his illegal diversion scheme.</w:t>
      </w:r>
      <w:r>
        <w:rPr>
          <w:bCs/>
        </w:rPr>
        <w:t xml:space="preserve">  The investigation produced information that led to the serving of search warrants at the sixth largest tobacco manufacturer in the </w:t>
      </w:r>
      <w:r w:rsidR="008024DB" w:rsidRPr="000327AA">
        <w:rPr>
          <w:bCs/>
        </w:rPr>
        <w:t xml:space="preserve">U.S. </w:t>
      </w:r>
      <w:r>
        <w:rPr>
          <w:bCs/>
        </w:rPr>
        <w:t xml:space="preserve">for being complicit in the illegal scheme.  </w:t>
      </w:r>
    </w:p>
    <w:p w:rsidR="007725A2" w:rsidRDefault="00DA2CA1" w:rsidP="00D27887">
      <w:pPr>
        <w:pStyle w:val="ListParagraph"/>
        <w:numPr>
          <w:ilvl w:val="0"/>
          <w:numId w:val="51"/>
        </w:numPr>
        <w:shd w:val="clear" w:color="auto" w:fill="FFFFFF"/>
        <w:spacing w:before="180" w:after="180"/>
        <w:ind w:right="720"/>
      </w:pPr>
      <w:r>
        <w:t>I</w:t>
      </w:r>
      <w:r w:rsidRPr="00DA2CA1">
        <w:t xml:space="preserve">n April 2011, New York City filed a federal lawsuit accusing 32 people of evading millions of dollars in cigarette taxes by buying large quantities of cartons over the internet, and then reselling them on the black market.  </w:t>
      </w:r>
      <w:r w:rsidRPr="00DA2CA1">
        <w:rPr>
          <w:b/>
        </w:rPr>
        <w:t xml:space="preserve">As part of the ongoing investigation, ATF calculated in excess of $120 million </w:t>
      </w:r>
      <w:r>
        <w:rPr>
          <w:b/>
        </w:rPr>
        <w:t xml:space="preserve">was </w:t>
      </w:r>
      <w:r w:rsidRPr="00DA2CA1">
        <w:rPr>
          <w:b/>
        </w:rPr>
        <w:t>owed to all fifty states due to the companies’ failure to file Jenkins Act reports to the states.</w:t>
      </w:r>
      <w:r w:rsidRPr="00DA2CA1">
        <w:t xml:space="preserve">  In addition, millions of dollars of excise taxes were also evaded through tobacco diversion invoicing schemes.</w:t>
      </w:r>
      <w:r>
        <w:t xml:space="preserve"> This</w:t>
      </w:r>
      <w:r w:rsidRPr="00DA2CA1">
        <w:t xml:space="preserve"> suit takes aim at city residents who bought cigarettes from an internet tobacco retailer, a Kentucky company that was raided by federal agents in late 2009 and has since ceased operations.  The city is seeking $6.5 million in unpaid taxes from the company and the other defendants, plus another $13 million in penalties.  </w:t>
      </w:r>
    </w:p>
    <w:p w:rsidR="00DA2CA1" w:rsidRDefault="00DA2CA1" w:rsidP="00D27887">
      <w:pPr>
        <w:pStyle w:val="ListParagraph"/>
        <w:shd w:val="clear" w:color="auto" w:fill="FFFFFF"/>
        <w:spacing w:before="180" w:after="180"/>
        <w:ind w:right="720"/>
      </w:pPr>
    </w:p>
    <w:p w:rsidR="00F52D0E" w:rsidRPr="00DA2CA1" w:rsidRDefault="00F52D0E" w:rsidP="00D27887">
      <w:pPr>
        <w:pStyle w:val="ListParagraph"/>
        <w:numPr>
          <w:ilvl w:val="0"/>
          <w:numId w:val="64"/>
        </w:numPr>
        <w:ind w:right="720"/>
      </w:pPr>
      <w:r>
        <w:t>I</w:t>
      </w:r>
      <w:r w:rsidRPr="00DA2CA1">
        <w:t>n August</w:t>
      </w:r>
      <w:r w:rsidRPr="00DA2CA1">
        <w:rPr>
          <w:vertAlign w:val="superscript"/>
        </w:rPr>
        <w:t xml:space="preserve"> </w:t>
      </w:r>
      <w:r w:rsidRPr="00DA2CA1">
        <w:t>20</w:t>
      </w:r>
      <w:r>
        <w:t xml:space="preserve">10, 15 </w:t>
      </w:r>
      <w:r w:rsidRPr="00DA2CA1">
        <w:t>individuals were arrested for charges including</w:t>
      </w:r>
      <w:r>
        <w:t xml:space="preserve"> mail f</w:t>
      </w:r>
      <w:r w:rsidRPr="00DA2CA1">
        <w:t xml:space="preserve">raud, </w:t>
      </w:r>
      <w:r>
        <w:t>violations of the</w:t>
      </w:r>
      <w:r w:rsidRPr="00DA2CA1">
        <w:t xml:space="preserve"> Contraband Cigarette Trafficking Act (CCTA) and </w:t>
      </w:r>
      <w:r>
        <w:t>c</w:t>
      </w:r>
      <w:r w:rsidRPr="00DA2CA1">
        <w:t xml:space="preserve">onspiracy.  </w:t>
      </w:r>
      <w:r w:rsidRPr="00A22591">
        <w:rPr>
          <w:b/>
        </w:rPr>
        <w:t xml:space="preserve">These individuals evaded approximately $35,000,000 in excise tax due to the State of California. The indictments include criminal forfeiture provisions for up to $23,228,000. </w:t>
      </w:r>
      <w:r w:rsidRPr="00DA2CA1">
        <w:t xml:space="preserve"> Fourteen suspects were indicte</w:t>
      </w:r>
      <w:r>
        <w:t>d for a total of 194 counts of m</w:t>
      </w:r>
      <w:r w:rsidRPr="00DA2CA1">
        <w:t xml:space="preserve">ail </w:t>
      </w:r>
      <w:r>
        <w:t>f</w:t>
      </w:r>
      <w:r w:rsidRPr="00DA2CA1">
        <w:t xml:space="preserve">raud, 44 counts of violations of the CCTA, and </w:t>
      </w:r>
      <w:r>
        <w:t>four</w:t>
      </w:r>
      <w:r w:rsidRPr="00DA2CA1">
        <w:t xml:space="preserve"> counts of conspiracy all based on bringing untaxed </w:t>
      </w:r>
      <w:r>
        <w:t>other tobacco p</w:t>
      </w:r>
      <w:r w:rsidRPr="00DA2CA1">
        <w:t>roducts into California and not paying the excise tax due.  This case was conducted by ATF, the California Board of Equalization, and the California Department of Justice.</w:t>
      </w:r>
    </w:p>
    <w:p w:rsidR="00A22591" w:rsidRPr="00A22591" w:rsidRDefault="00A22591" w:rsidP="00D27887">
      <w:pPr>
        <w:pStyle w:val="ListParagraph"/>
        <w:ind w:right="720"/>
        <w:rPr>
          <w:b/>
        </w:rPr>
      </w:pPr>
    </w:p>
    <w:p w:rsidR="00A22591" w:rsidRPr="00A22591" w:rsidRDefault="00A22591" w:rsidP="00D27887">
      <w:pPr>
        <w:pStyle w:val="ListParagraph"/>
        <w:numPr>
          <w:ilvl w:val="0"/>
          <w:numId w:val="64"/>
        </w:numPr>
        <w:ind w:right="720"/>
        <w:rPr>
          <w:b/>
        </w:rPr>
      </w:pPr>
      <w:r>
        <w:rPr>
          <w:bCs/>
        </w:rPr>
        <w:t>I</w:t>
      </w:r>
      <w:r w:rsidRPr="00A22591">
        <w:rPr>
          <w:bCs/>
        </w:rPr>
        <w:t xml:space="preserve">n November 2010, a California businessman was sentenced after pleading guilty (in April 2010) to one count each of </w:t>
      </w:r>
      <w:r w:rsidRPr="00A22591">
        <w:rPr>
          <w:bCs/>
          <w:i/>
        </w:rPr>
        <w:t>Conspiracy to Traffic in Contraband Cigarettes</w:t>
      </w:r>
      <w:r w:rsidRPr="00A22591">
        <w:rPr>
          <w:bCs/>
        </w:rPr>
        <w:t xml:space="preserve"> and </w:t>
      </w:r>
      <w:r w:rsidRPr="00A22591">
        <w:rPr>
          <w:bCs/>
          <w:i/>
        </w:rPr>
        <w:t>Conspiracy to Launder Monetary Instruments</w:t>
      </w:r>
      <w:r w:rsidRPr="00A22591">
        <w:rPr>
          <w:bCs/>
        </w:rPr>
        <w:t>.  The U.S. District Court</w:t>
      </w:r>
      <w:r>
        <w:rPr>
          <w:bCs/>
        </w:rPr>
        <w:t xml:space="preserve"> for the Western District of Washington</w:t>
      </w:r>
      <w:r w:rsidRPr="00A22591">
        <w:rPr>
          <w:bCs/>
        </w:rPr>
        <w:t xml:space="preserve"> sentenced the defendant to 18 months</w:t>
      </w:r>
      <w:r>
        <w:rPr>
          <w:bCs/>
        </w:rPr>
        <w:t xml:space="preserve"> of imprisonment and three</w:t>
      </w:r>
      <w:r w:rsidRPr="00A22591">
        <w:rPr>
          <w:bCs/>
        </w:rPr>
        <w:t xml:space="preserve"> years of supervised release.  </w:t>
      </w:r>
      <w:r w:rsidRPr="00A22591">
        <w:rPr>
          <w:b/>
          <w:bCs/>
        </w:rPr>
        <w:t>The defendant was ordered to pay $18,003,341 in restitution to the State of Washington, which represented the excise tax loss on 917,413 cartons of contraband cigarettes transported to smoke shops l</w:t>
      </w:r>
      <w:r>
        <w:rPr>
          <w:b/>
          <w:bCs/>
        </w:rPr>
        <w:t>ocated in western Washington</w:t>
      </w:r>
      <w:r w:rsidRPr="00A22591">
        <w:rPr>
          <w:b/>
          <w:bCs/>
        </w:rPr>
        <w:t>.</w:t>
      </w:r>
      <w:r w:rsidRPr="00A22591">
        <w:rPr>
          <w:bCs/>
        </w:rPr>
        <w:t xml:space="preserve">  Four co-conspirators were previously imposed similar sentences after pleading guilty to the same violations: These defendants were also imposed to pay restitution, joint and several in part with each other and additional defendants.</w:t>
      </w:r>
    </w:p>
    <w:p w:rsidR="00F52D0E" w:rsidRPr="00DA2CA1" w:rsidRDefault="00F52D0E" w:rsidP="00D27887">
      <w:pPr>
        <w:pStyle w:val="ListParagraph"/>
        <w:shd w:val="clear" w:color="auto" w:fill="FFFFFF"/>
        <w:spacing w:before="180" w:after="180"/>
        <w:ind w:right="720"/>
      </w:pPr>
    </w:p>
    <w:p w:rsidR="006145F6" w:rsidRPr="00DA2CA1" w:rsidRDefault="00A91C40" w:rsidP="00D27887">
      <w:pPr>
        <w:pStyle w:val="ListParagraph"/>
        <w:numPr>
          <w:ilvl w:val="0"/>
          <w:numId w:val="64"/>
        </w:numPr>
        <w:ind w:right="720"/>
        <w:rPr>
          <w:b/>
        </w:rPr>
      </w:pPr>
      <w:r w:rsidRPr="00DA2CA1">
        <w:t xml:space="preserve">A tobacco wholesaler and other co-conspirators devised a scheme to defraud the Commonwealth of Kentucky of excise tax revenues.  The object of the conspiracy was the creation of invoices between March 2008 and June 2010, which made it appear that cigarettes purchased from the Kentucky tobacco wholesaler were shipped to an out of state location.  The Commonwealth of Kentucky requires that all cigarettes purchased by licensed resident and non-resident wholesalers have a Kentucky tax stamp affixed.  </w:t>
      </w:r>
      <w:r w:rsidRPr="00DA2CA1">
        <w:rPr>
          <w:b/>
        </w:rPr>
        <w:t>This scheme allowed the purchasers to avoid approximately $6 million in Kentucky taxes.</w:t>
      </w:r>
    </w:p>
    <w:p w:rsidR="006145F6" w:rsidRPr="006145F6" w:rsidRDefault="006145F6" w:rsidP="00D27887">
      <w:pPr>
        <w:ind w:right="720"/>
        <w:rPr>
          <w:color w:val="4F81BD" w:themeColor="accent1"/>
        </w:rPr>
      </w:pPr>
    </w:p>
    <w:p w:rsidR="006145F6" w:rsidRDefault="00A91C40" w:rsidP="00D27887">
      <w:pPr>
        <w:pStyle w:val="ListParagraph"/>
        <w:numPr>
          <w:ilvl w:val="0"/>
          <w:numId w:val="64"/>
        </w:numPr>
        <w:ind w:right="720"/>
      </w:pPr>
      <w:r w:rsidRPr="00DA2CA1">
        <w:t xml:space="preserve">A defendant of Las Vegas, Nevada, was sentenced on November 16, 2011, to 27 months in jail and ordered to pay $690,000 in restitution to the State of California for his involvement in a scheme to defraud California out of excise taxes on </w:t>
      </w:r>
      <w:r w:rsidR="00A22591">
        <w:t>other tobacco products</w:t>
      </w:r>
      <w:r w:rsidRPr="00DA2CA1">
        <w:t xml:space="preserve">.  </w:t>
      </w:r>
      <w:r w:rsidR="00DA2CA1" w:rsidRPr="00DA2CA1">
        <w:rPr>
          <w:b/>
        </w:rPr>
        <w:t>The defendant purchased an untaxed product and distributed it in California without paying the excise tax due.</w:t>
      </w:r>
      <w:r w:rsidR="00DA2CA1">
        <w:t xml:space="preserve">  </w:t>
      </w:r>
      <w:r w:rsidRPr="00DA2CA1">
        <w:t>The defendant pled gu</w:t>
      </w:r>
      <w:r w:rsidR="00DA2CA1" w:rsidRPr="00DA2CA1">
        <w:t xml:space="preserve">ilty to 1 count of </w:t>
      </w:r>
      <w:r w:rsidRPr="00DA2CA1">
        <w:t>Conspiracy to Commit Mail Fraud as part of his plea agreement entered in June 2011.  This investigation was conducted by ATF and the California S</w:t>
      </w:r>
      <w:r w:rsidR="00DA2CA1">
        <w:t>tate Board of Equalization</w:t>
      </w:r>
      <w:r w:rsidRPr="00DA2CA1">
        <w:t xml:space="preserve">.  </w:t>
      </w:r>
    </w:p>
    <w:p w:rsidR="006145F6" w:rsidRPr="006145F6" w:rsidRDefault="006145F6" w:rsidP="00D27887">
      <w:pPr>
        <w:ind w:right="720"/>
        <w:rPr>
          <w:color w:val="4F81BD" w:themeColor="accent1"/>
        </w:rPr>
      </w:pPr>
    </w:p>
    <w:p w:rsidR="006145F6" w:rsidRPr="00A22591" w:rsidRDefault="00A22591" w:rsidP="00D27887">
      <w:pPr>
        <w:pStyle w:val="ListParagraph"/>
        <w:numPr>
          <w:ilvl w:val="0"/>
          <w:numId w:val="64"/>
        </w:numPr>
        <w:ind w:right="720"/>
      </w:pPr>
      <w:r>
        <w:t>I</w:t>
      </w:r>
      <w:r w:rsidR="00A91C40" w:rsidRPr="00A22591">
        <w:t xml:space="preserve">n December 2010, </w:t>
      </w:r>
      <w:r>
        <w:t>a defendant who was a suspect in several other tobacco investigations</w:t>
      </w:r>
      <w:r w:rsidR="00A91C40" w:rsidRPr="00A22591">
        <w:t xml:space="preserve">, was convicted of 23 counts of </w:t>
      </w:r>
      <w:r w:rsidR="007D43D0">
        <w:t>mail fraud</w:t>
      </w:r>
      <w:r w:rsidR="00A91C40" w:rsidRPr="00A22591">
        <w:t xml:space="preserve"> and </w:t>
      </w:r>
      <w:r w:rsidR="007D43D0">
        <w:t>violations of the CCTA</w:t>
      </w:r>
      <w:r w:rsidR="00A91C40" w:rsidRPr="00A22591">
        <w:t xml:space="preserve">.  </w:t>
      </w:r>
      <w:r w:rsidR="007D43D0" w:rsidRPr="007D43D0">
        <w:rPr>
          <w:b/>
        </w:rPr>
        <w:t>The State of California estimated that the defendant may have evaded as much as $10 million in tobacco excise taxes.</w:t>
      </w:r>
      <w:r w:rsidR="007D43D0" w:rsidRPr="00A22591">
        <w:t xml:space="preserve">  The evidence at trial showed that he purchased </w:t>
      </w:r>
      <w:r w:rsidR="007D43D0">
        <w:t xml:space="preserve">other </w:t>
      </w:r>
      <w:r w:rsidR="007D43D0" w:rsidRPr="00A22591">
        <w:t xml:space="preserve">untaxed </w:t>
      </w:r>
      <w:r w:rsidR="007D43D0">
        <w:t>tobacco products</w:t>
      </w:r>
      <w:r w:rsidR="007D43D0" w:rsidRPr="00A22591">
        <w:t xml:space="preserve"> from out-of-state distributors as far away as Chicago, shipped the product into the state using smaller, less regulated, interstate carriers and did n</w:t>
      </w:r>
      <w:r w:rsidR="007D43D0">
        <w:t>ot report the shipments to the s</w:t>
      </w:r>
      <w:r w:rsidR="007D43D0" w:rsidRPr="00A22591">
        <w:t xml:space="preserve">tate.  </w:t>
      </w:r>
      <w:r w:rsidR="00A91C40" w:rsidRPr="00A22591">
        <w:t xml:space="preserve">This case, and the related cases, is the result of an investigation conducted by ATF, the California Attorney General’s Office, and the California State Board of Equalization. </w:t>
      </w:r>
    </w:p>
    <w:p w:rsidR="006145F6" w:rsidRPr="007D43D0" w:rsidRDefault="006145F6" w:rsidP="007D43D0">
      <w:pPr>
        <w:rPr>
          <w:bCs/>
        </w:rPr>
      </w:pPr>
    </w:p>
    <w:p w:rsidR="007A0000" w:rsidRPr="008D071B" w:rsidRDefault="000B201B" w:rsidP="00D27887">
      <w:pPr>
        <w:sectPr w:rsidR="007A0000" w:rsidRPr="008D071B" w:rsidSect="00D27887">
          <w:pgSz w:w="12240" w:h="15840" w:code="1"/>
          <w:pgMar w:top="1440" w:right="1440" w:bottom="1440" w:left="1440" w:header="720" w:footer="720" w:gutter="0"/>
          <w:cols w:space="720"/>
          <w:docGrid w:linePitch="360"/>
        </w:sectPr>
      </w:pPr>
      <w:r w:rsidRPr="008D071B">
        <w:t xml:space="preserve">In addition to investigations related to the CCTA, ATF plays a vital role in implementing and overseeing the Prevent All Cigarette Trafficking Act of 2009 (PACT Act), signed by President Obama in March 2010.  At its core, the new law provides investigative tools to </w:t>
      </w:r>
      <w:r w:rsidR="00D31D89" w:rsidRPr="008D071B">
        <w:t>Federal</w:t>
      </w:r>
      <w:r w:rsidRPr="008D071B">
        <w:t xml:space="preserve"> and </w:t>
      </w:r>
      <w:r w:rsidR="00D31D89" w:rsidRPr="008D071B">
        <w:t>state</w:t>
      </w:r>
      <w:r w:rsidRPr="008D071B">
        <w:t xml:space="preserve"> law enforcement agencies to identify and investigate individuals </w:t>
      </w:r>
      <w:r w:rsidR="0027342E" w:rsidRPr="008D071B">
        <w:t>who</w:t>
      </w:r>
      <w:r w:rsidRPr="008D071B">
        <w:t xml:space="preserve"> engage in the sale and shipment of contraband tobacco products directly to the consumer in non</w:t>
      </w:r>
      <w:r w:rsidR="0027342E" w:rsidRPr="008D071B">
        <w:t>–</w:t>
      </w:r>
      <w:r w:rsidRPr="008D071B">
        <w:t>face</w:t>
      </w:r>
      <w:r w:rsidR="0027342E" w:rsidRPr="008D071B">
        <w:t>-</w:t>
      </w:r>
      <w:r w:rsidRPr="008D071B">
        <w:t>to</w:t>
      </w:r>
      <w:r w:rsidR="0027342E" w:rsidRPr="008D071B">
        <w:t>-</w:t>
      </w:r>
      <w:r w:rsidRPr="008D071B">
        <w:t xml:space="preserve">face transactions.  </w:t>
      </w:r>
      <w:r w:rsidR="00572BA5" w:rsidRPr="008D071B">
        <w:t xml:space="preserve"> </w:t>
      </w:r>
      <w:r w:rsidR="00C30E86" w:rsidRPr="008D071B">
        <w:t>ATF develops</w:t>
      </w:r>
      <w:r w:rsidRPr="008D071B">
        <w:t xml:space="preserve"> the PACT Act </w:t>
      </w:r>
      <w:r w:rsidR="00C30E86" w:rsidRPr="008D071B">
        <w:t xml:space="preserve">mandate of developing </w:t>
      </w:r>
      <w:r w:rsidRPr="008D071B">
        <w:t xml:space="preserve">the Delivery Seller Noncompliant List.  The </w:t>
      </w:r>
      <w:r w:rsidR="00C30E86" w:rsidRPr="008D071B">
        <w:t xml:space="preserve">list, </w:t>
      </w:r>
      <w:r w:rsidRPr="008D071B">
        <w:t>continually updated</w:t>
      </w:r>
      <w:r w:rsidR="00C30E86" w:rsidRPr="008D071B">
        <w:t>, comprises</w:t>
      </w:r>
      <w:r w:rsidRPr="008D071B">
        <w:t xml:space="preserve"> individuals </w:t>
      </w:r>
      <w:r w:rsidR="00C30E86" w:rsidRPr="008D071B">
        <w:t>engaged</w:t>
      </w:r>
      <w:r w:rsidRPr="008D071B">
        <w:t xml:space="preserve"> in </w:t>
      </w:r>
      <w:r w:rsidR="00C30E86" w:rsidRPr="008D071B">
        <w:t>internet or mail order</w:t>
      </w:r>
      <w:r w:rsidRPr="008D071B">
        <w:t xml:space="preserve"> tobacco transactions and in violation of the PACT Act.  The </w:t>
      </w:r>
      <w:r w:rsidR="00C30E86" w:rsidRPr="008D071B">
        <w:t>Federal listing developed by ATF</w:t>
      </w:r>
      <w:r w:rsidRPr="008D071B">
        <w:t xml:space="preserve"> is distributed to the </w:t>
      </w:r>
      <w:r w:rsidR="00D31D89" w:rsidRPr="008D071B">
        <w:t>state</w:t>
      </w:r>
      <w:r w:rsidRPr="008D071B">
        <w:t xml:space="preserve"> governments</w:t>
      </w:r>
      <w:r w:rsidR="00D224D0" w:rsidRPr="008D071B">
        <w:t>, Tribal governments</w:t>
      </w:r>
      <w:r w:rsidRPr="008D071B">
        <w:t xml:space="preserve"> and to common carriers.  The PACT Act prohibits common carriers from delivering packages </w:t>
      </w:r>
      <w:r w:rsidR="00C30E86" w:rsidRPr="008D071B">
        <w:t xml:space="preserve">by </w:t>
      </w:r>
      <w:r w:rsidRPr="008D071B">
        <w:t xml:space="preserve">the individuals on the list. </w:t>
      </w:r>
      <w:r w:rsidR="001F5E5B" w:rsidRPr="008D071B">
        <w:br w:type="page"/>
      </w:r>
    </w:p>
    <w:p w:rsidR="001F5E5B" w:rsidRDefault="0027121A" w:rsidP="001F5E5B">
      <w:pPr>
        <w:rPr>
          <w:b/>
          <w:bCs/>
        </w:rPr>
      </w:pPr>
      <w:r>
        <w:rPr>
          <w:b/>
          <w:bCs/>
        </w:rPr>
        <w:t>2</w:t>
      </w:r>
      <w:r w:rsidRPr="00581887">
        <w:rPr>
          <w:b/>
          <w:bCs/>
        </w:rPr>
        <w:t>.  Performance Table -</w:t>
      </w:r>
      <w:r w:rsidR="001F5E5B" w:rsidRPr="00581887">
        <w:rPr>
          <w:b/>
          <w:bCs/>
        </w:rPr>
        <w:t xml:space="preserve"> Alcohol and Tobacco</w:t>
      </w:r>
      <w:r w:rsidR="00EB785E">
        <w:rPr>
          <w:b/>
          <w:bCs/>
        </w:rPr>
        <w:t xml:space="preserve"> </w:t>
      </w:r>
    </w:p>
    <w:p w:rsidR="001F5E5B" w:rsidRDefault="001F5E5B" w:rsidP="001F5E5B">
      <w:pPr>
        <w:rPr>
          <w:szCs w:val="20"/>
        </w:rPr>
      </w:pPr>
    </w:p>
    <w:tbl>
      <w:tblPr>
        <w:tblW w:w="14718" w:type="dxa"/>
        <w:tblInd w:w="-658" w:type="dxa"/>
        <w:tblLayout w:type="fixed"/>
        <w:tblCellMar>
          <w:left w:w="0" w:type="dxa"/>
          <w:right w:w="0" w:type="dxa"/>
        </w:tblCellMar>
        <w:tblLook w:val="0000"/>
      </w:tblPr>
      <w:tblGrid>
        <w:gridCol w:w="1915"/>
        <w:gridCol w:w="2710"/>
        <w:gridCol w:w="774"/>
        <w:gridCol w:w="1398"/>
        <w:gridCol w:w="538"/>
        <w:gridCol w:w="1205"/>
        <w:gridCol w:w="538"/>
        <w:gridCol w:w="1398"/>
        <w:gridCol w:w="581"/>
        <w:gridCol w:w="1355"/>
        <w:gridCol w:w="774"/>
        <w:gridCol w:w="1532"/>
      </w:tblGrid>
      <w:tr w:rsidR="001F5E5B" w:rsidRPr="00762F09" w:rsidTr="005F43BC">
        <w:trPr>
          <w:trHeight w:val="318"/>
        </w:trPr>
        <w:tc>
          <w:tcPr>
            <w:tcW w:w="14718" w:type="dxa"/>
            <w:gridSpan w:val="12"/>
            <w:tcBorders>
              <w:top w:val="single" w:sz="8" w:space="0" w:color="auto"/>
              <w:left w:val="single" w:sz="8" w:space="0" w:color="auto"/>
              <w:bottom w:val="single" w:sz="4" w:space="0" w:color="auto"/>
              <w:right w:val="single" w:sz="8" w:space="0" w:color="000000"/>
            </w:tcBorders>
            <w:tcMar>
              <w:top w:w="20" w:type="dxa"/>
              <w:left w:w="20" w:type="dxa"/>
              <w:bottom w:w="0" w:type="dxa"/>
              <w:right w:w="20" w:type="dxa"/>
            </w:tcMar>
            <w:vAlign w:val="bottom"/>
          </w:tcPr>
          <w:p w:rsidR="001F5E5B" w:rsidRPr="00762F09" w:rsidRDefault="001F5E5B" w:rsidP="007A0000">
            <w:pPr>
              <w:spacing w:before="100" w:beforeAutospacing="1" w:after="100" w:afterAutospacing="1"/>
              <w:jc w:val="center"/>
              <w:rPr>
                <w:b/>
                <w:bCs/>
                <w:szCs w:val="16"/>
              </w:rPr>
            </w:pPr>
            <w:r w:rsidRPr="00762F09">
              <w:br w:type="page"/>
            </w:r>
            <w:r w:rsidRPr="00762F09">
              <w:rPr>
                <w:b/>
                <w:bCs/>
                <w:szCs w:val="16"/>
              </w:rPr>
              <w:t xml:space="preserve"> PERFORMANCE AND RESOURCES TABLE</w:t>
            </w:r>
            <w:r>
              <w:rPr>
                <w:b/>
                <w:bCs/>
                <w:szCs w:val="16"/>
              </w:rPr>
              <w:t xml:space="preserve"> </w:t>
            </w:r>
          </w:p>
        </w:tc>
      </w:tr>
      <w:tr w:rsidR="001F5E5B" w:rsidRPr="00762F09" w:rsidTr="005F43BC">
        <w:trPr>
          <w:trHeight w:val="318"/>
        </w:trPr>
        <w:tc>
          <w:tcPr>
            <w:tcW w:w="14718" w:type="dxa"/>
            <w:gridSpan w:val="12"/>
            <w:tcBorders>
              <w:top w:val="single" w:sz="8" w:space="0" w:color="auto"/>
              <w:left w:val="single" w:sz="8" w:space="0" w:color="auto"/>
              <w:bottom w:val="single" w:sz="4" w:space="0" w:color="auto"/>
              <w:right w:val="single" w:sz="8" w:space="0" w:color="000000"/>
            </w:tcBorders>
            <w:tcMar>
              <w:top w:w="20" w:type="dxa"/>
              <w:left w:w="20" w:type="dxa"/>
              <w:bottom w:w="0" w:type="dxa"/>
              <w:right w:w="20" w:type="dxa"/>
            </w:tcMar>
            <w:vAlign w:val="bottom"/>
          </w:tcPr>
          <w:p w:rsidR="001F5E5B" w:rsidRPr="00B95767" w:rsidRDefault="001F5E5B" w:rsidP="005F43BC">
            <w:pPr>
              <w:spacing w:before="100" w:beforeAutospacing="1" w:after="100" w:afterAutospacing="1"/>
              <w:rPr>
                <w:b/>
                <w:bCs/>
              </w:rPr>
            </w:pPr>
            <w:r w:rsidRPr="00B95767">
              <w:rPr>
                <w:b/>
                <w:bCs/>
                <w:sz w:val="22"/>
                <w:szCs w:val="22"/>
              </w:rPr>
              <w:t>Decision Unit: Alcohol and Tobacco</w:t>
            </w:r>
          </w:p>
        </w:tc>
      </w:tr>
      <w:tr w:rsidR="001F5E5B" w:rsidRPr="00762F09" w:rsidTr="005F43BC">
        <w:trPr>
          <w:trHeight w:val="318"/>
        </w:trPr>
        <w:tc>
          <w:tcPr>
            <w:tcW w:w="14718" w:type="dxa"/>
            <w:gridSpan w:val="12"/>
            <w:tcBorders>
              <w:top w:val="single" w:sz="8" w:space="0" w:color="auto"/>
              <w:left w:val="single" w:sz="8" w:space="0" w:color="auto"/>
              <w:bottom w:val="single" w:sz="4" w:space="0" w:color="auto"/>
              <w:right w:val="single" w:sz="8" w:space="0" w:color="000000"/>
            </w:tcBorders>
            <w:tcMar>
              <w:top w:w="20" w:type="dxa"/>
              <w:left w:w="20" w:type="dxa"/>
              <w:bottom w:w="0" w:type="dxa"/>
              <w:right w:w="20" w:type="dxa"/>
            </w:tcMar>
            <w:vAlign w:val="bottom"/>
          </w:tcPr>
          <w:p w:rsidR="001F5E5B" w:rsidRPr="00B95767" w:rsidRDefault="001F5E5B" w:rsidP="005F43BC">
            <w:pPr>
              <w:spacing w:before="100" w:beforeAutospacing="1" w:after="100" w:afterAutospacing="1"/>
              <w:rPr>
                <w:b/>
                <w:bCs/>
              </w:rPr>
            </w:pPr>
            <w:r w:rsidRPr="00B95767">
              <w:rPr>
                <w:b/>
                <w:bCs/>
                <w:sz w:val="22"/>
                <w:szCs w:val="22"/>
              </w:rPr>
              <w:t>DOJ Strategic Goal/Objective: Goal 2, Objective 2.2</w:t>
            </w:r>
          </w:p>
        </w:tc>
      </w:tr>
      <w:tr w:rsidR="001F5E5B" w:rsidRPr="00762F09" w:rsidTr="005F43BC">
        <w:trPr>
          <w:trHeight w:val="318"/>
        </w:trPr>
        <w:tc>
          <w:tcPr>
            <w:tcW w:w="4625" w:type="dxa"/>
            <w:gridSpan w:val="2"/>
            <w:tcBorders>
              <w:top w:val="single" w:sz="8" w:space="0" w:color="auto"/>
              <w:left w:val="single" w:sz="8" w:space="0" w:color="auto"/>
              <w:bottom w:val="single" w:sz="4" w:space="0" w:color="auto"/>
              <w:right w:val="single" w:sz="4" w:space="0" w:color="000000"/>
            </w:tcBorders>
            <w:tcMar>
              <w:top w:w="20" w:type="dxa"/>
              <w:left w:w="20" w:type="dxa"/>
              <w:bottom w:w="0" w:type="dxa"/>
              <w:right w:w="20" w:type="dxa"/>
            </w:tcMar>
            <w:vAlign w:val="bottom"/>
          </w:tcPr>
          <w:p w:rsidR="001F5E5B" w:rsidRPr="00B95767" w:rsidRDefault="001F5E5B" w:rsidP="005F43BC">
            <w:pPr>
              <w:spacing w:before="100" w:beforeAutospacing="1" w:after="100" w:afterAutospacing="1"/>
              <w:rPr>
                <w:rFonts w:eastAsia="Arial Unicode MS"/>
                <w:b/>
                <w:bCs/>
                <w:sz w:val="20"/>
                <w:szCs w:val="20"/>
              </w:rPr>
            </w:pPr>
            <w:r w:rsidRPr="00B95767">
              <w:rPr>
                <w:b/>
                <w:bCs/>
                <w:sz w:val="20"/>
                <w:szCs w:val="20"/>
              </w:rPr>
              <w:t>RESOURCES</w:t>
            </w:r>
          </w:p>
        </w:tc>
        <w:tc>
          <w:tcPr>
            <w:tcW w:w="2172" w:type="dxa"/>
            <w:gridSpan w:val="2"/>
            <w:tcBorders>
              <w:top w:val="single" w:sz="8" w:space="0" w:color="auto"/>
              <w:left w:val="nil"/>
              <w:bottom w:val="single" w:sz="4" w:space="0" w:color="auto"/>
              <w:right w:val="single" w:sz="4" w:space="0" w:color="000000"/>
            </w:tcBorders>
            <w:tcMar>
              <w:top w:w="20" w:type="dxa"/>
              <w:left w:w="20" w:type="dxa"/>
              <w:bottom w:w="0" w:type="dxa"/>
              <w:right w:w="20" w:type="dxa"/>
            </w:tcMar>
            <w:vAlign w:val="center"/>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Final Target</w:t>
            </w:r>
          </w:p>
        </w:tc>
        <w:tc>
          <w:tcPr>
            <w:tcW w:w="1743" w:type="dxa"/>
            <w:gridSpan w:val="2"/>
            <w:tcBorders>
              <w:top w:val="single" w:sz="8" w:space="0" w:color="auto"/>
              <w:left w:val="nil"/>
              <w:bottom w:val="single" w:sz="4" w:space="0" w:color="auto"/>
              <w:right w:val="single" w:sz="4" w:space="0" w:color="000000"/>
            </w:tcBorders>
            <w:tcMar>
              <w:top w:w="20" w:type="dxa"/>
              <w:left w:w="20" w:type="dxa"/>
              <w:bottom w:w="0" w:type="dxa"/>
              <w:right w:w="20" w:type="dxa"/>
            </w:tcMar>
            <w:vAlign w:val="center"/>
          </w:tcPr>
          <w:p w:rsidR="001F5E5B" w:rsidRPr="00B95767" w:rsidRDefault="001F5E5B" w:rsidP="005F43BC">
            <w:pPr>
              <w:spacing w:before="100" w:beforeAutospacing="1" w:after="100" w:afterAutospacing="1"/>
              <w:jc w:val="center"/>
              <w:rPr>
                <w:rFonts w:eastAsia="Arial Unicode MS"/>
                <w:b/>
                <w:bCs/>
                <w:sz w:val="20"/>
                <w:szCs w:val="20"/>
              </w:rPr>
            </w:pPr>
            <w:r w:rsidRPr="00B95767">
              <w:rPr>
                <w:b/>
                <w:sz w:val="20"/>
                <w:szCs w:val="20"/>
              </w:rPr>
              <w:t>Actual</w:t>
            </w:r>
            <w:r w:rsidRPr="00B95767">
              <w:rPr>
                <w:b/>
                <w:bCs/>
                <w:sz w:val="20"/>
                <w:szCs w:val="20"/>
              </w:rPr>
              <w:t xml:space="preserve"> </w:t>
            </w:r>
          </w:p>
        </w:tc>
        <w:tc>
          <w:tcPr>
            <w:tcW w:w="1936" w:type="dxa"/>
            <w:gridSpan w:val="2"/>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1F5E5B" w:rsidRPr="00B95767" w:rsidRDefault="002F3467" w:rsidP="005F43BC">
            <w:pPr>
              <w:spacing w:before="100" w:beforeAutospacing="1" w:after="100" w:afterAutospacing="1"/>
              <w:jc w:val="center"/>
              <w:rPr>
                <w:rFonts w:eastAsia="Arial Unicode MS"/>
                <w:b/>
                <w:bCs/>
                <w:sz w:val="20"/>
                <w:szCs w:val="20"/>
              </w:rPr>
            </w:pPr>
            <w:r>
              <w:rPr>
                <w:rFonts w:eastAsia="Arial Unicode MS"/>
                <w:b/>
                <w:bCs/>
                <w:sz w:val="20"/>
                <w:szCs w:val="20"/>
              </w:rPr>
              <w:t>Enacted</w:t>
            </w:r>
          </w:p>
        </w:tc>
        <w:tc>
          <w:tcPr>
            <w:tcW w:w="1936" w:type="dxa"/>
            <w:gridSpan w:val="2"/>
            <w:tcBorders>
              <w:top w:val="single" w:sz="8" w:space="0" w:color="auto"/>
              <w:left w:val="single" w:sz="8" w:space="0" w:color="auto"/>
              <w:bottom w:val="single" w:sz="4" w:space="0" w:color="auto"/>
              <w:right w:val="single" w:sz="8" w:space="0" w:color="auto"/>
            </w:tcBorders>
            <w:vAlign w:val="center"/>
          </w:tcPr>
          <w:p w:rsidR="001F5E5B" w:rsidRPr="00B95767" w:rsidRDefault="001F5E5B" w:rsidP="005F43BC">
            <w:pPr>
              <w:spacing w:before="100" w:beforeAutospacing="1" w:after="100" w:afterAutospacing="1"/>
              <w:jc w:val="center"/>
              <w:rPr>
                <w:b/>
                <w:bCs/>
                <w:sz w:val="20"/>
                <w:szCs w:val="20"/>
              </w:rPr>
            </w:pPr>
            <w:r w:rsidRPr="00B95767">
              <w:rPr>
                <w:b/>
                <w:bCs/>
                <w:sz w:val="20"/>
                <w:szCs w:val="20"/>
              </w:rPr>
              <w:t>Changes</w:t>
            </w:r>
          </w:p>
        </w:tc>
        <w:tc>
          <w:tcPr>
            <w:tcW w:w="2306" w:type="dxa"/>
            <w:gridSpan w:val="2"/>
            <w:tcBorders>
              <w:top w:val="single" w:sz="8" w:space="0" w:color="auto"/>
              <w:left w:val="single" w:sz="8" w:space="0" w:color="auto"/>
              <w:bottom w:val="single" w:sz="4" w:space="0" w:color="auto"/>
              <w:right w:val="single" w:sz="8" w:space="0" w:color="000000"/>
            </w:tcBorders>
            <w:tcMar>
              <w:top w:w="20" w:type="dxa"/>
              <w:left w:w="20" w:type="dxa"/>
              <w:bottom w:w="0" w:type="dxa"/>
              <w:right w:w="20" w:type="dxa"/>
            </w:tcMar>
            <w:vAlign w:val="center"/>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Requested (Total)</w:t>
            </w:r>
          </w:p>
        </w:tc>
      </w:tr>
      <w:tr w:rsidR="001F5E5B" w:rsidRPr="00762F09" w:rsidTr="005F43BC">
        <w:trPr>
          <w:trHeight w:val="777"/>
        </w:trPr>
        <w:tc>
          <w:tcPr>
            <w:tcW w:w="4625" w:type="dxa"/>
            <w:gridSpan w:val="2"/>
            <w:tcBorders>
              <w:top w:val="single" w:sz="4" w:space="0" w:color="auto"/>
              <w:left w:val="single" w:sz="8" w:space="0" w:color="auto"/>
              <w:bottom w:val="single" w:sz="4" w:space="0" w:color="auto"/>
              <w:right w:val="single" w:sz="4" w:space="0" w:color="000000"/>
            </w:tcBorders>
            <w:noWrap/>
            <w:tcMar>
              <w:top w:w="20" w:type="dxa"/>
              <w:left w:w="20" w:type="dxa"/>
              <w:bottom w:w="0" w:type="dxa"/>
              <w:right w:w="20" w:type="dxa"/>
            </w:tcMar>
            <w:vAlign w:val="bottom"/>
          </w:tcPr>
          <w:p w:rsidR="001F5E5B" w:rsidRPr="00B95767" w:rsidRDefault="001F5E5B" w:rsidP="005F43BC">
            <w:pPr>
              <w:spacing w:before="100" w:beforeAutospacing="1" w:after="100" w:afterAutospacing="1"/>
              <w:rPr>
                <w:rFonts w:eastAsia="Arial Unicode MS"/>
                <w:sz w:val="20"/>
                <w:szCs w:val="20"/>
              </w:rPr>
            </w:pPr>
          </w:p>
        </w:tc>
        <w:tc>
          <w:tcPr>
            <w:tcW w:w="2172"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1F5E5B" w:rsidRPr="00B95767" w:rsidRDefault="001F5E5B" w:rsidP="005F43BC">
            <w:pPr>
              <w:spacing w:before="100" w:beforeAutospacing="1" w:after="100" w:afterAutospacing="1"/>
              <w:jc w:val="center"/>
              <w:rPr>
                <w:b/>
                <w:sz w:val="20"/>
                <w:szCs w:val="20"/>
              </w:rPr>
            </w:pPr>
            <w:r>
              <w:rPr>
                <w:b/>
                <w:sz w:val="20"/>
                <w:szCs w:val="20"/>
              </w:rPr>
              <w:t>FY 2011</w:t>
            </w:r>
          </w:p>
        </w:tc>
        <w:tc>
          <w:tcPr>
            <w:tcW w:w="1743"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1F5E5B" w:rsidRPr="00B95767" w:rsidRDefault="001F5E5B" w:rsidP="005F43BC">
            <w:pPr>
              <w:spacing w:before="100" w:beforeAutospacing="1" w:after="100" w:afterAutospacing="1"/>
              <w:jc w:val="center"/>
              <w:rPr>
                <w:rFonts w:eastAsia="Arial Unicode MS"/>
                <w:b/>
                <w:sz w:val="20"/>
                <w:szCs w:val="20"/>
              </w:rPr>
            </w:pPr>
            <w:r w:rsidRPr="00B95767">
              <w:rPr>
                <w:b/>
                <w:sz w:val="20"/>
                <w:szCs w:val="20"/>
              </w:rPr>
              <w:t>FY 20</w:t>
            </w:r>
            <w:r>
              <w:rPr>
                <w:b/>
                <w:sz w:val="20"/>
                <w:szCs w:val="20"/>
              </w:rPr>
              <w:t>11</w:t>
            </w:r>
          </w:p>
        </w:tc>
        <w:tc>
          <w:tcPr>
            <w:tcW w:w="1936"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1F5E5B" w:rsidRPr="001A0FCD" w:rsidRDefault="001F5E5B" w:rsidP="005F43BC">
            <w:pPr>
              <w:spacing w:before="100" w:beforeAutospacing="1" w:after="100" w:afterAutospacing="1"/>
              <w:jc w:val="center"/>
              <w:rPr>
                <w:rFonts w:eastAsia="Arial Unicode MS"/>
                <w:b/>
                <w:sz w:val="20"/>
                <w:szCs w:val="20"/>
              </w:rPr>
            </w:pPr>
            <w:r>
              <w:rPr>
                <w:b/>
                <w:sz w:val="20"/>
                <w:szCs w:val="20"/>
              </w:rPr>
              <w:t>FY 2012</w:t>
            </w:r>
          </w:p>
        </w:tc>
        <w:tc>
          <w:tcPr>
            <w:tcW w:w="1936"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rsidR="001F5E5B" w:rsidRPr="00B95767" w:rsidRDefault="001F5E5B" w:rsidP="005F43BC">
            <w:pPr>
              <w:spacing w:before="100" w:beforeAutospacing="1" w:after="100" w:afterAutospacing="1"/>
              <w:jc w:val="center"/>
              <w:rPr>
                <w:rFonts w:eastAsia="Arial Unicode MS"/>
                <w:b/>
                <w:sz w:val="20"/>
                <w:szCs w:val="20"/>
              </w:rPr>
            </w:pPr>
            <w:r w:rsidRPr="00B95767">
              <w:rPr>
                <w:rFonts w:eastAsia="Arial Unicode MS"/>
                <w:b/>
                <w:sz w:val="20"/>
                <w:szCs w:val="20"/>
              </w:rPr>
              <w:t>Current S</w:t>
            </w:r>
            <w:r>
              <w:rPr>
                <w:rFonts w:eastAsia="Arial Unicode MS"/>
                <w:b/>
                <w:sz w:val="20"/>
                <w:szCs w:val="20"/>
              </w:rPr>
              <w:t>ervices Adj and FY 2013</w:t>
            </w:r>
            <w:r w:rsidRPr="00B95767">
              <w:rPr>
                <w:rFonts w:eastAsia="Arial Unicode MS"/>
                <w:b/>
                <w:sz w:val="20"/>
                <w:szCs w:val="20"/>
              </w:rPr>
              <w:t xml:space="preserve"> Program Change</w:t>
            </w:r>
          </w:p>
        </w:tc>
        <w:tc>
          <w:tcPr>
            <w:tcW w:w="2306" w:type="dxa"/>
            <w:gridSpan w:val="2"/>
            <w:tcBorders>
              <w:top w:val="single" w:sz="4" w:space="0" w:color="auto"/>
              <w:left w:val="nil"/>
              <w:bottom w:val="single" w:sz="4" w:space="0" w:color="auto"/>
              <w:right w:val="single" w:sz="8" w:space="0" w:color="000000"/>
            </w:tcBorders>
            <w:noWrap/>
            <w:tcMar>
              <w:top w:w="20" w:type="dxa"/>
              <w:left w:w="20" w:type="dxa"/>
              <w:bottom w:w="0" w:type="dxa"/>
              <w:right w:w="20" w:type="dxa"/>
            </w:tcMar>
            <w:vAlign w:val="center"/>
          </w:tcPr>
          <w:p w:rsidR="001F5E5B" w:rsidRPr="00B95767" w:rsidRDefault="001F5E5B" w:rsidP="005F43BC">
            <w:pPr>
              <w:spacing w:before="100" w:beforeAutospacing="1" w:after="100" w:afterAutospacing="1"/>
              <w:jc w:val="center"/>
              <w:rPr>
                <w:rFonts w:eastAsia="Arial Unicode MS"/>
                <w:b/>
                <w:sz w:val="20"/>
                <w:szCs w:val="20"/>
              </w:rPr>
            </w:pPr>
            <w:r>
              <w:rPr>
                <w:b/>
                <w:sz w:val="20"/>
                <w:szCs w:val="20"/>
              </w:rPr>
              <w:t>FY 2013</w:t>
            </w:r>
            <w:r w:rsidRPr="00B95767">
              <w:rPr>
                <w:b/>
                <w:sz w:val="20"/>
                <w:szCs w:val="20"/>
              </w:rPr>
              <w:t xml:space="preserve"> Request</w:t>
            </w:r>
          </w:p>
        </w:tc>
      </w:tr>
      <w:tr w:rsidR="001F5E5B" w:rsidRPr="00762F09" w:rsidTr="005F43BC">
        <w:trPr>
          <w:cantSplit/>
          <w:trHeight w:val="318"/>
        </w:trPr>
        <w:tc>
          <w:tcPr>
            <w:tcW w:w="4625" w:type="dxa"/>
            <w:gridSpan w:val="2"/>
            <w:vMerge w:val="restart"/>
            <w:tcBorders>
              <w:top w:val="single" w:sz="4" w:space="0" w:color="auto"/>
              <w:left w:val="single" w:sz="8" w:space="0" w:color="auto"/>
              <w:bottom w:val="single" w:sz="4" w:space="0" w:color="000000"/>
              <w:right w:val="single" w:sz="4" w:space="0" w:color="000000"/>
            </w:tcBorders>
            <w:tcMar>
              <w:top w:w="20" w:type="dxa"/>
              <w:left w:w="20" w:type="dxa"/>
              <w:bottom w:w="0" w:type="dxa"/>
              <w:right w:w="20" w:type="dxa"/>
            </w:tcMar>
          </w:tcPr>
          <w:p w:rsidR="001F5E5B" w:rsidRPr="00A13F4F" w:rsidRDefault="001F5E5B" w:rsidP="005F43BC">
            <w:pPr>
              <w:spacing w:before="100" w:beforeAutospacing="1" w:after="100" w:afterAutospacing="1"/>
              <w:ind w:left="-20"/>
              <w:rPr>
                <w:rFonts w:eastAsia="Arial Unicode MS"/>
                <w:b/>
                <w:bCs/>
                <w:color w:val="FF0000"/>
                <w:sz w:val="20"/>
                <w:szCs w:val="20"/>
              </w:rPr>
            </w:pPr>
            <w:r w:rsidRPr="00B95767">
              <w:rPr>
                <w:b/>
                <w:bCs/>
                <w:sz w:val="20"/>
                <w:szCs w:val="20"/>
              </w:rPr>
              <w:t>Total Costs and F</w:t>
            </w:r>
            <w:r w:rsidRPr="005E671B">
              <w:rPr>
                <w:b/>
                <w:bCs/>
                <w:sz w:val="20"/>
                <w:szCs w:val="20"/>
              </w:rPr>
              <w:t xml:space="preserve">TE                                                  </w:t>
            </w:r>
            <w:r w:rsidRPr="00A13F4F">
              <w:rPr>
                <w:b/>
                <w:bCs/>
                <w:color w:val="FF0000"/>
                <w:sz w:val="20"/>
                <w:szCs w:val="20"/>
              </w:rPr>
              <w:t xml:space="preserve">                                                                                                                                </w:t>
            </w:r>
          </w:p>
        </w:tc>
        <w:tc>
          <w:tcPr>
            <w:tcW w:w="774" w:type="dxa"/>
            <w:tcBorders>
              <w:top w:val="nil"/>
              <w:left w:val="nil"/>
              <w:bottom w:val="single" w:sz="4" w:space="0" w:color="auto"/>
              <w:right w:val="single" w:sz="4" w:space="0" w:color="auto"/>
            </w:tcBorders>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FTE</w:t>
            </w:r>
          </w:p>
        </w:tc>
        <w:tc>
          <w:tcPr>
            <w:tcW w:w="1398" w:type="dxa"/>
            <w:tcBorders>
              <w:top w:val="nil"/>
              <w:left w:val="nil"/>
              <w:bottom w:val="single" w:sz="4" w:space="0" w:color="auto"/>
              <w:right w:val="single" w:sz="4" w:space="0" w:color="auto"/>
            </w:tcBorders>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$000</w:t>
            </w:r>
          </w:p>
        </w:tc>
        <w:tc>
          <w:tcPr>
            <w:tcW w:w="53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FTE</w:t>
            </w:r>
          </w:p>
        </w:tc>
        <w:tc>
          <w:tcPr>
            <w:tcW w:w="12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$000</w:t>
            </w:r>
          </w:p>
        </w:tc>
        <w:tc>
          <w:tcPr>
            <w:tcW w:w="5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FTE</w:t>
            </w:r>
          </w:p>
        </w:tc>
        <w:tc>
          <w:tcPr>
            <w:tcW w:w="1398" w:type="dxa"/>
            <w:tcBorders>
              <w:top w:val="nil"/>
              <w:left w:val="nil"/>
              <w:bottom w:val="single" w:sz="4" w:space="0" w:color="auto"/>
              <w:right w:val="single" w:sz="4" w:space="0" w:color="auto"/>
            </w:tcBorders>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$000</w:t>
            </w:r>
          </w:p>
        </w:tc>
        <w:tc>
          <w:tcPr>
            <w:tcW w:w="5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FTE</w:t>
            </w:r>
          </w:p>
        </w:tc>
        <w:tc>
          <w:tcPr>
            <w:tcW w:w="1355" w:type="dxa"/>
            <w:tcBorders>
              <w:top w:val="nil"/>
              <w:left w:val="nil"/>
              <w:bottom w:val="single" w:sz="4" w:space="0" w:color="auto"/>
              <w:right w:val="single" w:sz="4" w:space="0" w:color="auto"/>
            </w:tcBorders>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Pr>
                <w:rFonts w:eastAsia="Arial Unicode MS"/>
                <w:b/>
                <w:bCs/>
                <w:sz w:val="20"/>
                <w:szCs w:val="20"/>
              </w:rPr>
              <w:t>$000</w:t>
            </w:r>
          </w:p>
        </w:tc>
        <w:tc>
          <w:tcPr>
            <w:tcW w:w="77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FTE</w:t>
            </w:r>
          </w:p>
        </w:tc>
        <w:tc>
          <w:tcPr>
            <w:tcW w:w="1532" w:type="dxa"/>
            <w:tcBorders>
              <w:top w:val="nil"/>
              <w:left w:val="nil"/>
              <w:bottom w:val="single" w:sz="4" w:space="0" w:color="auto"/>
              <w:right w:val="single" w:sz="8" w:space="0" w:color="auto"/>
            </w:tcBorders>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sz w:val="20"/>
                <w:szCs w:val="20"/>
              </w:rPr>
            </w:pPr>
            <w:r>
              <w:rPr>
                <w:rFonts w:eastAsia="Arial Unicode MS"/>
                <w:b/>
                <w:sz w:val="20"/>
                <w:szCs w:val="20"/>
              </w:rPr>
              <w:t>$000</w:t>
            </w:r>
          </w:p>
        </w:tc>
      </w:tr>
      <w:tr w:rsidR="001F5E5B" w:rsidRPr="00762F09" w:rsidTr="005F43BC">
        <w:trPr>
          <w:cantSplit/>
          <w:trHeight w:val="318"/>
        </w:trPr>
        <w:tc>
          <w:tcPr>
            <w:tcW w:w="4625" w:type="dxa"/>
            <w:gridSpan w:val="2"/>
            <w:vMerge/>
            <w:tcBorders>
              <w:top w:val="single" w:sz="4" w:space="0" w:color="auto"/>
              <w:left w:val="single" w:sz="8" w:space="0" w:color="auto"/>
              <w:bottom w:val="single" w:sz="4" w:space="0" w:color="000000"/>
              <w:right w:val="single" w:sz="4" w:space="0" w:color="000000"/>
            </w:tcBorders>
            <w:vAlign w:val="center"/>
          </w:tcPr>
          <w:p w:rsidR="001F5E5B" w:rsidRPr="00B95767" w:rsidRDefault="001F5E5B" w:rsidP="005F43BC">
            <w:pPr>
              <w:spacing w:before="100" w:beforeAutospacing="1" w:after="100" w:afterAutospacing="1"/>
              <w:rPr>
                <w:rFonts w:eastAsia="Arial Unicode MS"/>
                <w:b/>
                <w:bCs/>
                <w:sz w:val="20"/>
                <w:szCs w:val="20"/>
              </w:rPr>
            </w:pPr>
          </w:p>
        </w:tc>
        <w:tc>
          <w:tcPr>
            <w:tcW w:w="774" w:type="dxa"/>
            <w:tcBorders>
              <w:top w:val="nil"/>
              <w:left w:val="nil"/>
              <w:bottom w:val="single" w:sz="4" w:space="0" w:color="auto"/>
              <w:right w:val="nil"/>
            </w:tcBorders>
            <w:noWrap/>
            <w:tcMar>
              <w:top w:w="20" w:type="dxa"/>
              <w:left w:w="20" w:type="dxa"/>
              <w:bottom w:w="0" w:type="dxa"/>
              <w:right w:w="20" w:type="dxa"/>
            </w:tcMar>
            <w:vAlign w:val="bottom"/>
          </w:tcPr>
          <w:p w:rsidR="001F5E5B" w:rsidRPr="00B95767" w:rsidRDefault="008572A8" w:rsidP="005F43BC">
            <w:pPr>
              <w:spacing w:before="100" w:beforeAutospacing="1" w:after="100" w:afterAutospacing="1"/>
              <w:jc w:val="center"/>
              <w:rPr>
                <w:rFonts w:eastAsia="Arial Unicode MS"/>
                <w:b/>
                <w:bCs/>
                <w:sz w:val="20"/>
                <w:szCs w:val="20"/>
              </w:rPr>
            </w:pPr>
            <w:r>
              <w:rPr>
                <w:rFonts w:eastAsia="Arial Unicode MS"/>
                <w:b/>
                <w:bCs/>
                <w:sz w:val="20"/>
                <w:szCs w:val="20"/>
              </w:rPr>
              <w:t>100</w:t>
            </w:r>
          </w:p>
        </w:tc>
        <w:tc>
          <w:tcPr>
            <w:tcW w:w="139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F5E5B" w:rsidRPr="00B95767" w:rsidRDefault="001F5E5B" w:rsidP="00C80DDF">
            <w:pPr>
              <w:spacing w:before="100" w:beforeAutospacing="1" w:after="100" w:afterAutospacing="1"/>
              <w:jc w:val="center"/>
              <w:rPr>
                <w:rFonts w:eastAsia="Arial Unicode MS"/>
                <w:b/>
                <w:bCs/>
                <w:sz w:val="20"/>
                <w:szCs w:val="20"/>
              </w:rPr>
            </w:pPr>
            <w:r>
              <w:rPr>
                <w:rFonts w:eastAsia="Arial Unicode MS"/>
                <w:b/>
                <w:bCs/>
                <w:sz w:val="20"/>
                <w:szCs w:val="20"/>
              </w:rPr>
              <w:t>$22,2</w:t>
            </w:r>
            <w:r w:rsidR="00C80DDF">
              <w:rPr>
                <w:rFonts w:eastAsia="Arial Unicode MS"/>
                <w:b/>
                <w:bCs/>
                <w:sz w:val="20"/>
                <w:szCs w:val="20"/>
              </w:rPr>
              <w:t>50</w:t>
            </w:r>
          </w:p>
        </w:tc>
        <w:tc>
          <w:tcPr>
            <w:tcW w:w="538" w:type="dxa"/>
            <w:tcBorders>
              <w:top w:val="single" w:sz="4" w:space="0" w:color="auto"/>
              <w:left w:val="nil"/>
              <w:bottom w:val="single" w:sz="4" w:space="0" w:color="auto"/>
              <w:right w:val="nil"/>
            </w:tcBorders>
            <w:noWrap/>
            <w:tcMar>
              <w:top w:w="20" w:type="dxa"/>
              <w:left w:w="20" w:type="dxa"/>
              <w:bottom w:w="0" w:type="dxa"/>
              <w:right w:w="20" w:type="dxa"/>
            </w:tcMar>
            <w:vAlign w:val="bottom"/>
          </w:tcPr>
          <w:p w:rsidR="001F5E5B" w:rsidRPr="00A0222C" w:rsidRDefault="00335ABD" w:rsidP="005F43BC">
            <w:pPr>
              <w:spacing w:before="100" w:beforeAutospacing="1" w:after="100" w:afterAutospacing="1"/>
              <w:jc w:val="center"/>
              <w:rPr>
                <w:rFonts w:eastAsia="Arial Unicode MS"/>
                <w:b/>
                <w:bCs/>
                <w:sz w:val="20"/>
                <w:szCs w:val="20"/>
              </w:rPr>
            </w:pPr>
            <w:r>
              <w:rPr>
                <w:rFonts w:eastAsia="Arial Unicode MS"/>
                <w:b/>
                <w:bCs/>
                <w:sz w:val="20"/>
                <w:szCs w:val="20"/>
              </w:rPr>
              <w:t>94</w:t>
            </w:r>
          </w:p>
        </w:tc>
        <w:tc>
          <w:tcPr>
            <w:tcW w:w="12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F5E5B" w:rsidRPr="00A0222C" w:rsidRDefault="00335ABD" w:rsidP="005F43BC">
            <w:pPr>
              <w:spacing w:before="100" w:beforeAutospacing="1" w:after="100" w:afterAutospacing="1"/>
              <w:jc w:val="center"/>
              <w:rPr>
                <w:rFonts w:eastAsia="Arial Unicode MS"/>
                <w:b/>
                <w:bCs/>
                <w:sz w:val="20"/>
                <w:szCs w:val="20"/>
              </w:rPr>
            </w:pPr>
            <w:r>
              <w:rPr>
                <w:rFonts w:eastAsia="Arial Unicode MS"/>
                <w:b/>
                <w:bCs/>
                <w:sz w:val="20"/>
                <w:szCs w:val="20"/>
              </w:rPr>
              <w:t>$22,487</w:t>
            </w:r>
          </w:p>
        </w:tc>
        <w:tc>
          <w:tcPr>
            <w:tcW w:w="5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5E5B" w:rsidRPr="00B95767" w:rsidRDefault="008572A8" w:rsidP="005F43BC">
            <w:pPr>
              <w:spacing w:before="100" w:beforeAutospacing="1" w:after="100" w:afterAutospacing="1"/>
              <w:jc w:val="center"/>
              <w:rPr>
                <w:rFonts w:eastAsia="Arial Unicode MS"/>
                <w:b/>
                <w:bCs/>
                <w:sz w:val="20"/>
                <w:szCs w:val="20"/>
              </w:rPr>
            </w:pPr>
            <w:r>
              <w:rPr>
                <w:rFonts w:eastAsia="Arial Unicode MS"/>
                <w:b/>
                <w:bCs/>
                <w:sz w:val="20"/>
                <w:szCs w:val="20"/>
              </w:rPr>
              <w:t>100</w:t>
            </w:r>
          </w:p>
        </w:tc>
        <w:tc>
          <w:tcPr>
            <w:tcW w:w="139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5E5B" w:rsidRPr="00B95767" w:rsidRDefault="001F5E5B" w:rsidP="003D7692">
            <w:pPr>
              <w:spacing w:before="100" w:beforeAutospacing="1" w:after="100" w:afterAutospacing="1"/>
              <w:jc w:val="center"/>
              <w:rPr>
                <w:rFonts w:eastAsia="Arial Unicode MS"/>
                <w:b/>
                <w:bCs/>
                <w:sz w:val="20"/>
                <w:szCs w:val="20"/>
              </w:rPr>
            </w:pPr>
            <w:r w:rsidRPr="00B95767">
              <w:rPr>
                <w:rFonts w:eastAsia="Arial Unicode MS"/>
                <w:b/>
                <w:bCs/>
                <w:sz w:val="20"/>
                <w:szCs w:val="20"/>
              </w:rPr>
              <w:t>$</w:t>
            </w:r>
            <w:r w:rsidR="003D7692">
              <w:rPr>
                <w:rFonts w:eastAsia="Arial Unicode MS"/>
                <w:b/>
                <w:bCs/>
                <w:sz w:val="20"/>
                <w:szCs w:val="20"/>
              </w:rPr>
              <w:t>23,040</w:t>
            </w:r>
          </w:p>
        </w:tc>
        <w:tc>
          <w:tcPr>
            <w:tcW w:w="58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5E5B" w:rsidRPr="00A0222C" w:rsidRDefault="001F5E5B" w:rsidP="00C022D3">
            <w:pPr>
              <w:spacing w:before="100" w:beforeAutospacing="1" w:after="100" w:afterAutospacing="1"/>
              <w:jc w:val="center"/>
              <w:rPr>
                <w:rFonts w:eastAsia="Arial Unicode MS"/>
                <w:b/>
                <w:bCs/>
                <w:sz w:val="20"/>
                <w:szCs w:val="20"/>
              </w:rPr>
            </w:pPr>
            <w:r>
              <w:rPr>
                <w:b/>
                <w:bCs/>
                <w:sz w:val="20"/>
                <w:szCs w:val="20"/>
              </w:rPr>
              <w:t>(</w:t>
            </w:r>
            <w:r w:rsidR="00C022D3">
              <w:rPr>
                <w:b/>
                <w:bCs/>
                <w:sz w:val="20"/>
                <w:szCs w:val="20"/>
              </w:rPr>
              <w:t>3</w:t>
            </w:r>
            <w:r>
              <w:rPr>
                <w:b/>
                <w:bCs/>
                <w:sz w:val="20"/>
                <w:szCs w:val="20"/>
              </w:rPr>
              <w:t>)</w:t>
            </w:r>
          </w:p>
        </w:tc>
        <w:tc>
          <w:tcPr>
            <w:tcW w:w="135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5E5B" w:rsidRPr="00A0222C" w:rsidRDefault="001F5E5B" w:rsidP="00C022D3">
            <w:pPr>
              <w:spacing w:before="100" w:beforeAutospacing="1" w:after="100" w:afterAutospacing="1"/>
              <w:jc w:val="center"/>
              <w:rPr>
                <w:rFonts w:eastAsia="Arial Unicode MS"/>
                <w:b/>
                <w:bCs/>
                <w:sz w:val="20"/>
                <w:szCs w:val="20"/>
              </w:rPr>
            </w:pPr>
            <w:r>
              <w:rPr>
                <w:rFonts w:eastAsia="Arial Unicode MS"/>
                <w:b/>
                <w:bCs/>
                <w:sz w:val="20"/>
                <w:szCs w:val="20"/>
              </w:rPr>
              <w:t>$</w:t>
            </w:r>
            <w:r w:rsidR="00C022D3">
              <w:rPr>
                <w:rFonts w:eastAsia="Arial Unicode MS"/>
                <w:b/>
                <w:bCs/>
                <w:sz w:val="20"/>
                <w:szCs w:val="20"/>
              </w:rPr>
              <w:t>2</w:t>
            </w:r>
            <w:r w:rsidR="00C80DDF">
              <w:rPr>
                <w:rFonts w:eastAsia="Arial Unicode MS"/>
                <w:b/>
                <w:bCs/>
                <w:sz w:val="20"/>
                <w:szCs w:val="20"/>
              </w:rPr>
              <w:t>7</w:t>
            </w:r>
          </w:p>
        </w:tc>
        <w:tc>
          <w:tcPr>
            <w:tcW w:w="77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5E5B" w:rsidRPr="00A0222C" w:rsidRDefault="008572A8" w:rsidP="005F43BC">
            <w:pPr>
              <w:spacing w:before="100" w:beforeAutospacing="1" w:after="100" w:afterAutospacing="1"/>
              <w:jc w:val="center"/>
              <w:rPr>
                <w:rFonts w:eastAsia="Arial Unicode MS"/>
                <w:b/>
                <w:bCs/>
                <w:sz w:val="20"/>
                <w:szCs w:val="20"/>
              </w:rPr>
            </w:pPr>
            <w:r>
              <w:rPr>
                <w:b/>
                <w:bCs/>
                <w:sz w:val="20"/>
                <w:szCs w:val="20"/>
              </w:rPr>
              <w:t>9</w:t>
            </w:r>
            <w:r w:rsidR="00C022D3">
              <w:rPr>
                <w:b/>
                <w:bCs/>
                <w:sz w:val="20"/>
                <w:szCs w:val="20"/>
              </w:rPr>
              <w:t>7</w:t>
            </w:r>
          </w:p>
        </w:tc>
        <w:tc>
          <w:tcPr>
            <w:tcW w:w="1532" w:type="dxa"/>
            <w:tcBorders>
              <w:top w:val="nil"/>
              <w:left w:val="nil"/>
              <w:bottom w:val="single" w:sz="4" w:space="0" w:color="auto"/>
              <w:right w:val="single" w:sz="8" w:space="0" w:color="auto"/>
            </w:tcBorders>
            <w:noWrap/>
            <w:tcMar>
              <w:top w:w="20" w:type="dxa"/>
              <w:left w:w="20" w:type="dxa"/>
              <w:bottom w:w="0" w:type="dxa"/>
              <w:right w:w="20" w:type="dxa"/>
            </w:tcMar>
            <w:vAlign w:val="bottom"/>
          </w:tcPr>
          <w:p w:rsidR="001F5E5B" w:rsidRPr="00A0222C" w:rsidRDefault="001F5E5B" w:rsidP="003D7692">
            <w:pPr>
              <w:spacing w:before="100" w:beforeAutospacing="1" w:after="100" w:afterAutospacing="1"/>
              <w:jc w:val="center"/>
              <w:rPr>
                <w:rFonts w:eastAsia="Arial Unicode MS"/>
                <w:b/>
                <w:sz w:val="20"/>
                <w:szCs w:val="20"/>
              </w:rPr>
            </w:pPr>
            <w:r>
              <w:rPr>
                <w:rFonts w:eastAsia="Arial Unicode MS"/>
                <w:b/>
                <w:sz w:val="20"/>
                <w:szCs w:val="20"/>
              </w:rPr>
              <w:t>$23,</w:t>
            </w:r>
            <w:r w:rsidR="003D7692">
              <w:rPr>
                <w:rFonts w:eastAsia="Arial Unicode MS"/>
                <w:b/>
                <w:sz w:val="20"/>
                <w:szCs w:val="20"/>
              </w:rPr>
              <w:t>06</w:t>
            </w:r>
            <w:r w:rsidR="00C80DDF">
              <w:rPr>
                <w:rFonts w:eastAsia="Arial Unicode MS"/>
                <w:b/>
                <w:sz w:val="20"/>
                <w:szCs w:val="20"/>
              </w:rPr>
              <w:t>7</w:t>
            </w:r>
          </w:p>
        </w:tc>
      </w:tr>
      <w:tr w:rsidR="001F5E5B" w:rsidRPr="00762F09" w:rsidTr="005F43BC">
        <w:trPr>
          <w:cantSplit/>
          <w:trHeight w:val="406"/>
        </w:trPr>
        <w:tc>
          <w:tcPr>
            <w:tcW w:w="1915" w:type="dxa"/>
            <w:vMerge w:val="restart"/>
            <w:tcBorders>
              <w:top w:val="nil"/>
              <w:left w:val="single" w:sz="8" w:space="0" w:color="auto"/>
              <w:bottom w:val="nil"/>
              <w:right w:val="nil"/>
            </w:tcBorders>
            <w:tcMar>
              <w:top w:w="20" w:type="dxa"/>
              <w:left w:w="20" w:type="dxa"/>
              <w:bottom w:w="0" w:type="dxa"/>
              <w:right w:w="20" w:type="dxa"/>
            </w:tcMar>
            <w:vAlign w:val="center"/>
          </w:tcPr>
          <w:p w:rsidR="001F5E5B" w:rsidRPr="00B95767" w:rsidRDefault="001F5E5B" w:rsidP="005F43BC">
            <w:pPr>
              <w:spacing w:before="100" w:beforeAutospacing="1" w:after="100" w:afterAutospacing="1"/>
              <w:rPr>
                <w:rFonts w:eastAsia="Arial Unicode MS"/>
                <w:b/>
                <w:bCs/>
                <w:sz w:val="20"/>
                <w:szCs w:val="20"/>
              </w:rPr>
            </w:pPr>
            <w:r w:rsidRPr="00B95767">
              <w:rPr>
                <w:b/>
                <w:bCs/>
                <w:sz w:val="20"/>
                <w:szCs w:val="20"/>
              </w:rPr>
              <w:t>Program Activity</w:t>
            </w:r>
          </w:p>
        </w:tc>
        <w:tc>
          <w:tcPr>
            <w:tcW w:w="2710" w:type="dxa"/>
            <w:vMerge w:val="restart"/>
            <w:tcBorders>
              <w:top w:val="nil"/>
              <w:left w:val="single" w:sz="4" w:space="0" w:color="auto"/>
              <w:bottom w:val="nil"/>
              <w:right w:val="single" w:sz="4" w:space="0" w:color="auto"/>
            </w:tcBorders>
            <w:tcMar>
              <w:top w:w="20" w:type="dxa"/>
              <w:left w:w="20" w:type="dxa"/>
              <w:bottom w:w="0" w:type="dxa"/>
              <w:right w:w="20" w:type="dxa"/>
            </w:tcMar>
            <w:vAlign w:val="center"/>
          </w:tcPr>
          <w:p w:rsidR="001F5E5B" w:rsidRPr="00B95767" w:rsidRDefault="001F5E5B" w:rsidP="005F43BC">
            <w:pPr>
              <w:spacing w:before="100" w:beforeAutospacing="1" w:after="100" w:afterAutospacing="1"/>
              <w:rPr>
                <w:rFonts w:eastAsia="Arial Unicode MS"/>
                <w:b/>
                <w:bCs/>
                <w:sz w:val="20"/>
                <w:szCs w:val="20"/>
              </w:rPr>
            </w:pPr>
            <w:r w:rsidRPr="00B95767">
              <w:rPr>
                <w:b/>
                <w:bCs/>
                <w:sz w:val="20"/>
                <w:szCs w:val="20"/>
              </w:rPr>
              <w:t>Criminal investigations</w:t>
            </w:r>
          </w:p>
        </w:tc>
        <w:tc>
          <w:tcPr>
            <w:tcW w:w="774" w:type="dxa"/>
            <w:tcBorders>
              <w:top w:val="nil"/>
              <w:left w:val="nil"/>
              <w:bottom w:val="single" w:sz="4" w:space="0" w:color="auto"/>
              <w:right w:val="single" w:sz="4" w:space="0" w:color="auto"/>
            </w:tcBorders>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FTE</w:t>
            </w:r>
          </w:p>
        </w:tc>
        <w:tc>
          <w:tcPr>
            <w:tcW w:w="1398" w:type="dxa"/>
            <w:tcBorders>
              <w:top w:val="nil"/>
              <w:left w:val="nil"/>
              <w:bottom w:val="single" w:sz="4" w:space="0" w:color="auto"/>
              <w:right w:val="single" w:sz="4" w:space="0" w:color="auto"/>
            </w:tcBorders>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$000</w:t>
            </w:r>
          </w:p>
        </w:tc>
        <w:tc>
          <w:tcPr>
            <w:tcW w:w="53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FTE</w:t>
            </w:r>
          </w:p>
        </w:tc>
        <w:tc>
          <w:tcPr>
            <w:tcW w:w="120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$000</w:t>
            </w:r>
          </w:p>
        </w:tc>
        <w:tc>
          <w:tcPr>
            <w:tcW w:w="53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FTE</w:t>
            </w:r>
          </w:p>
        </w:tc>
        <w:tc>
          <w:tcPr>
            <w:tcW w:w="139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r w:rsidRPr="00B95767">
              <w:rPr>
                <w:b/>
                <w:bCs/>
                <w:sz w:val="20"/>
                <w:szCs w:val="20"/>
              </w:rPr>
              <w:t>$000</w:t>
            </w:r>
          </w:p>
        </w:tc>
        <w:tc>
          <w:tcPr>
            <w:tcW w:w="5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p>
        </w:tc>
        <w:tc>
          <w:tcPr>
            <w:tcW w:w="13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p>
        </w:tc>
        <w:tc>
          <w:tcPr>
            <w:tcW w:w="774" w:type="dxa"/>
            <w:tcBorders>
              <w:top w:val="single" w:sz="8" w:space="0" w:color="auto"/>
              <w:left w:val="nil"/>
              <w:bottom w:val="single" w:sz="4" w:space="0" w:color="auto"/>
              <w:right w:val="single" w:sz="8" w:space="0" w:color="auto"/>
            </w:tcBorders>
            <w:noWrap/>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bCs/>
                <w:sz w:val="20"/>
                <w:szCs w:val="20"/>
              </w:rPr>
            </w:pPr>
          </w:p>
        </w:tc>
        <w:tc>
          <w:tcPr>
            <w:tcW w:w="1532" w:type="dxa"/>
            <w:tcBorders>
              <w:top w:val="single" w:sz="8" w:space="0" w:color="auto"/>
              <w:left w:val="single" w:sz="8" w:space="0" w:color="auto"/>
              <w:bottom w:val="single" w:sz="4" w:space="0" w:color="auto"/>
              <w:right w:val="single" w:sz="8" w:space="0" w:color="auto"/>
            </w:tcBorders>
            <w:tcMar>
              <w:top w:w="20" w:type="dxa"/>
              <w:left w:w="20" w:type="dxa"/>
              <w:bottom w:w="0" w:type="dxa"/>
              <w:right w:w="20" w:type="dxa"/>
            </w:tcMar>
            <w:vAlign w:val="bottom"/>
          </w:tcPr>
          <w:p w:rsidR="001F5E5B" w:rsidRPr="00B95767" w:rsidRDefault="001F5E5B" w:rsidP="005F43BC">
            <w:pPr>
              <w:spacing w:before="100" w:beforeAutospacing="1" w:after="100" w:afterAutospacing="1"/>
              <w:jc w:val="center"/>
              <w:rPr>
                <w:rFonts w:eastAsia="Arial Unicode MS"/>
                <w:b/>
                <w:sz w:val="20"/>
                <w:szCs w:val="20"/>
              </w:rPr>
            </w:pPr>
          </w:p>
        </w:tc>
      </w:tr>
      <w:tr w:rsidR="001F5E5B" w:rsidRPr="00762F09" w:rsidTr="005F43BC">
        <w:trPr>
          <w:cantSplit/>
          <w:trHeight w:val="318"/>
        </w:trPr>
        <w:tc>
          <w:tcPr>
            <w:tcW w:w="1915" w:type="dxa"/>
            <w:vMerge/>
            <w:tcBorders>
              <w:top w:val="nil"/>
              <w:left w:val="single" w:sz="8" w:space="0" w:color="auto"/>
              <w:bottom w:val="single" w:sz="4" w:space="0" w:color="auto"/>
              <w:right w:val="nil"/>
            </w:tcBorders>
            <w:vAlign w:val="center"/>
          </w:tcPr>
          <w:p w:rsidR="001F5E5B" w:rsidRPr="00B95767" w:rsidRDefault="001F5E5B" w:rsidP="005F43BC">
            <w:pPr>
              <w:spacing w:before="100" w:beforeAutospacing="1" w:after="100" w:afterAutospacing="1"/>
              <w:rPr>
                <w:rFonts w:eastAsia="Arial Unicode MS"/>
                <w:b/>
                <w:bCs/>
                <w:sz w:val="20"/>
                <w:szCs w:val="20"/>
              </w:rPr>
            </w:pPr>
          </w:p>
        </w:tc>
        <w:tc>
          <w:tcPr>
            <w:tcW w:w="2710" w:type="dxa"/>
            <w:vMerge/>
            <w:tcBorders>
              <w:top w:val="nil"/>
              <w:left w:val="single" w:sz="4" w:space="0" w:color="auto"/>
              <w:bottom w:val="single" w:sz="4" w:space="0" w:color="auto"/>
              <w:right w:val="single" w:sz="4" w:space="0" w:color="auto"/>
            </w:tcBorders>
            <w:vAlign w:val="center"/>
          </w:tcPr>
          <w:p w:rsidR="001F5E5B" w:rsidRPr="00B95767" w:rsidRDefault="001F5E5B" w:rsidP="005F43BC">
            <w:pPr>
              <w:spacing w:before="100" w:beforeAutospacing="1" w:after="100" w:afterAutospacing="1"/>
              <w:rPr>
                <w:rFonts w:eastAsia="Arial Unicode MS"/>
                <w:b/>
                <w:bCs/>
                <w:sz w:val="20"/>
                <w:szCs w:val="20"/>
              </w:rPr>
            </w:pPr>
          </w:p>
        </w:tc>
        <w:tc>
          <w:tcPr>
            <w:tcW w:w="774" w:type="dxa"/>
            <w:tcBorders>
              <w:top w:val="nil"/>
              <w:left w:val="nil"/>
              <w:bottom w:val="single" w:sz="4" w:space="0" w:color="auto"/>
              <w:right w:val="nil"/>
            </w:tcBorders>
            <w:noWrap/>
            <w:tcMar>
              <w:top w:w="20" w:type="dxa"/>
              <w:left w:w="20" w:type="dxa"/>
              <w:bottom w:w="0" w:type="dxa"/>
              <w:right w:w="20" w:type="dxa"/>
            </w:tcMar>
            <w:vAlign w:val="bottom"/>
          </w:tcPr>
          <w:p w:rsidR="001F5E5B" w:rsidRPr="00B95767" w:rsidRDefault="008572A8" w:rsidP="005F43BC">
            <w:pPr>
              <w:spacing w:before="100" w:beforeAutospacing="1" w:after="100" w:afterAutospacing="1"/>
              <w:jc w:val="center"/>
              <w:rPr>
                <w:rFonts w:eastAsia="Arial Unicode MS"/>
                <w:b/>
                <w:bCs/>
                <w:sz w:val="20"/>
                <w:szCs w:val="20"/>
              </w:rPr>
            </w:pPr>
            <w:r>
              <w:rPr>
                <w:rFonts w:eastAsia="Arial Unicode MS"/>
                <w:b/>
                <w:bCs/>
                <w:sz w:val="20"/>
                <w:szCs w:val="20"/>
              </w:rPr>
              <w:t>100</w:t>
            </w:r>
          </w:p>
        </w:tc>
        <w:tc>
          <w:tcPr>
            <w:tcW w:w="1398"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1F5E5B" w:rsidRPr="00B95767" w:rsidRDefault="001F5E5B" w:rsidP="00C80DDF">
            <w:pPr>
              <w:spacing w:before="100" w:beforeAutospacing="1" w:after="100" w:afterAutospacing="1"/>
              <w:jc w:val="center"/>
              <w:rPr>
                <w:rFonts w:eastAsia="Arial Unicode MS"/>
                <w:b/>
                <w:bCs/>
                <w:sz w:val="20"/>
                <w:szCs w:val="20"/>
              </w:rPr>
            </w:pPr>
            <w:r>
              <w:rPr>
                <w:rFonts w:eastAsia="Arial Unicode MS"/>
                <w:b/>
                <w:bCs/>
                <w:sz w:val="20"/>
                <w:szCs w:val="20"/>
              </w:rPr>
              <w:t>$22,2</w:t>
            </w:r>
            <w:r w:rsidR="00C80DDF">
              <w:rPr>
                <w:rFonts w:eastAsia="Arial Unicode MS"/>
                <w:b/>
                <w:bCs/>
                <w:sz w:val="20"/>
                <w:szCs w:val="20"/>
              </w:rPr>
              <w:t>50</w:t>
            </w:r>
          </w:p>
        </w:tc>
        <w:tc>
          <w:tcPr>
            <w:tcW w:w="538" w:type="dxa"/>
            <w:tcBorders>
              <w:top w:val="single" w:sz="4" w:space="0" w:color="auto"/>
              <w:left w:val="nil"/>
              <w:bottom w:val="single" w:sz="4" w:space="0" w:color="auto"/>
              <w:right w:val="nil"/>
            </w:tcBorders>
            <w:noWrap/>
            <w:tcMar>
              <w:top w:w="20" w:type="dxa"/>
              <w:left w:w="20" w:type="dxa"/>
              <w:bottom w:w="0" w:type="dxa"/>
              <w:right w:w="20" w:type="dxa"/>
            </w:tcMar>
            <w:vAlign w:val="bottom"/>
          </w:tcPr>
          <w:p w:rsidR="001F5E5B" w:rsidRPr="00A0222C" w:rsidRDefault="00335ABD" w:rsidP="005F43BC">
            <w:pPr>
              <w:spacing w:before="100" w:beforeAutospacing="1" w:after="100" w:afterAutospacing="1"/>
              <w:jc w:val="center"/>
              <w:rPr>
                <w:rFonts w:eastAsia="Arial Unicode MS"/>
                <w:b/>
                <w:bCs/>
                <w:sz w:val="20"/>
                <w:szCs w:val="20"/>
              </w:rPr>
            </w:pPr>
            <w:r>
              <w:rPr>
                <w:rFonts w:eastAsia="Arial Unicode MS"/>
                <w:b/>
                <w:bCs/>
                <w:sz w:val="20"/>
                <w:szCs w:val="20"/>
              </w:rPr>
              <w:t>94</w:t>
            </w:r>
          </w:p>
        </w:tc>
        <w:tc>
          <w:tcPr>
            <w:tcW w:w="1205"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1F5E5B" w:rsidRPr="00A0222C" w:rsidRDefault="00752DD1" w:rsidP="005F43BC">
            <w:pPr>
              <w:spacing w:before="100" w:beforeAutospacing="1" w:after="100" w:afterAutospacing="1"/>
              <w:jc w:val="center"/>
              <w:rPr>
                <w:rFonts w:eastAsia="Arial Unicode MS"/>
                <w:b/>
                <w:bCs/>
                <w:sz w:val="20"/>
                <w:szCs w:val="20"/>
              </w:rPr>
            </w:pPr>
            <w:r>
              <w:rPr>
                <w:rFonts w:eastAsia="Arial Unicode MS"/>
                <w:b/>
                <w:bCs/>
                <w:sz w:val="20"/>
                <w:szCs w:val="20"/>
              </w:rPr>
              <w:t>$22,487</w:t>
            </w:r>
          </w:p>
        </w:tc>
        <w:tc>
          <w:tcPr>
            <w:tcW w:w="5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5E5B" w:rsidRPr="00B95767" w:rsidRDefault="008572A8" w:rsidP="005F43BC">
            <w:pPr>
              <w:spacing w:before="100" w:beforeAutospacing="1" w:after="100" w:afterAutospacing="1"/>
              <w:jc w:val="center"/>
              <w:rPr>
                <w:rFonts w:eastAsia="Arial Unicode MS"/>
                <w:b/>
                <w:bCs/>
                <w:sz w:val="20"/>
                <w:szCs w:val="20"/>
              </w:rPr>
            </w:pPr>
            <w:r>
              <w:rPr>
                <w:rFonts w:eastAsia="Arial Unicode MS"/>
                <w:b/>
                <w:bCs/>
                <w:sz w:val="20"/>
                <w:szCs w:val="20"/>
              </w:rPr>
              <w:t>100</w:t>
            </w:r>
          </w:p>
        </w:tc>
        <w:tc>
          <w:tcPr>
            <w:tcW w:w="139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5E5B" w:rsidRPr="00B95767" w:rsidRDefault="001F5E5B" w:rsidP="00C022D3">
            <w:pPr>
              <w:spacing w:before="100" w:beforeAutospacing="1" w:after="100" w:afterAutospacing="1"/>
              <w:jc w:val="center"/>
              <w:rPr>
                <w:rFonts w:eastAsia="Arial Unicode MS"/>
                <w:b/>
                <w:bCs/>
                <w:sz w:val="20"/>
                <w:szCs w:val="20"/>
              </w:rPr>
            </w:pPr>
            <w:r>
              <w:rPr>
                <w:rFonts w:eastAsia="Arial Unicode MS"/>
                <w:b/>
                <w:bCs/>
                <w:sz w:val="20"/>
                <w:szCs w:val="20"/>
              </w:rPr>
              <w:t>$</w:t>
            </w:r>
            <w:r w:rsidR="00C022D3">
              <w:rPr>
                <w:rFonts w:eastAsia="Arial Unicode MS"/>
                <w:b/>
                <w:bCs/>
                <w:sz w:val="20"/>
                <w:szCs w:val="20"/>
              </w:rPr>
              <w:t>23,040</w:t>
            </w:r>
          </w:p>
        </w:tc>
        <w:tc>
          <w:tcPr>
            <w:tcW w:w="58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1F5E5B" w:rsidRPr="00A0222C" w:rsidRDefault="001F5E5B" w:rsidP="003D7692">
            <w:pPr>
              <w:spacing w:before="100" w:beforeAutospacing="1" w:after="100" w:afterAutospacing="1"/>
              <w:jc w:val="center"/>
              <w:rPr>
                <w:rFonts w:eastAsia="Arial Unicode MS"/>
                <w:b/>
                <w:bCs/>
                <w:sz w:val="20"/>
                <w:szCs w:val="20"/>
              </w:rPr>
            </w:pPr>
            <w:bookmarkStart w:id="49" w:name="OLE_LINK2"/>
            <w:bookmarkStart w:id="50" w:name="OLE_LINK5"/>
            <w:r>
              <w:rPr>
                <w:rFonts w:eastAsia="Arial Unicode MS"/>
                <w:b/>
                <w:bCs/>
                <w:sz w:val="20"/>
                <w:szCs w:val="20"/>
              </w:rPr>
              <w:t>(</w:t>
            </w:r>
            <w:r w:rsidR="003D7692">
              <w:rPr>
                <w:rFonts w:eastAsia="Arial Unicode MS"/>
                <w:b/>
                <w:bCs/>
                <w:sz w:val="20"/>
                <w:szCs w:val="20"/>
              </w:rPr>
              <w:t>3</w:t>
            </w:r>
            <w:r>
              <w:rPr>
                <w:rFonts w:eastAsia="Arial Unicode MS"/>
                <w:b/>
                <w:bCs/>
                <w:sz w:val="20"/>
                <w:szCs w:val="20"/>
              </w:rPr>
              <w:t>)</w:t>
            </w:r>
            <w:bookmarkEnd w:id="49"/>
            <w:bookmarkEnd w:id="50"/>
          </w:p>
        </w:tc>
        <w:tc>
          <w:tcPr>
            <w:tcW w:w="1355"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1F5E5B" w:rsidRPr="00A0222C" w:rsidRDefault="001F5E5B" w:rsidP="00C022D3">
            <w:pPr>
              <w:spacing w:before="100" w:beforeAutospacing="1" w:after="100" w:afterAutospacing="1"/>
              <w:jc w:val="center"/>
              <w:rPr>
                <w:rFonts w:eastAsia="Arial Unicode MS"/>
                <w:b/>
                <w:bCs/>
                <w:sz w:val="20"/>
                <w:szCs w:val="20"/>
              </w:rPr>
            </w:pPr>
            <w:r>
              <w:rPr>
                <w:rFonts w:eastAsia="Arial Unicode MS"/>
                <w:b/>
                <w:bCs/>
                <w:sz w:val="20"/>
                <w:szCs w:val="20"/>
              </w:rPr>
              <w:t>$</w:t>
            </w:r>
            <w:r w:rsidR="00C022D3">
              <w:rPr>
                <w:rFonts w:eastAsia="Arial Unicode MS"/>
                <w:b/>
                <w:bCs/>
                <w:sz w:val="20"/>
                <w:szCs w:val="20"/>
              </w:rPr>
              <w:t>2</w:t>
            </w:r>
            <w:r w:rsidR="00C80DDF">
              <w:rPr>
                <w:rFonts w:eastAsia="Arial Unicode MS"/>
                <w:b/>
                <w:bCs/>
                <w:sz w:val="20"/>
                <w:szCs w:val="20"/>
              </w:rPr>
              <w:t>7</w:t>
            </w:r>
          </w:p>
        </w:tc>
        <w:tc>
          <w:tcPr>
            <w:tcW w:w="77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1F5E5B" w:rsidRPr="00A0222C" w:rsidRDefault="008572A8" w:rsidP="005F43BC">
            <w:pPr>
              <w:spacing w:before="100" w:beforeAutospacing="1" w:after="100" w:afterAutospacing="1"/>
              <w:jc w:val="center"/>
              <w:rPr>
                <w:rFonts w:eastAsia="Arial Unicode MS"/>
                <w:b/>
                <w:bCs/>
                <w:sz w:val="20"/>
                <w:szCs w:val="20"/>
              </w:rPr>
            </w:pPr>
            <w:r>
              <w:rPr>
                <w:rFonts w:eastAsia="Arial Unicode MS"/>
                <w:b/>
                <w:bCs/>
                <w:sz w:val="20"/>
                <w:szCs w:val="20"/>
              </w:rPr>
              <w:t>9</w:t>
            </w:r>
            <w:r w:rsidR="003D7692">
              <w:rPr>
                <w:rFonts w:eastAsia="Arial Unicode MS"/>
                <w:b/>
                <w:bCs/>
                <w:sz w:val="20"/>
                <w:szCs w:val="20"/>
              </w:rPr>
              <w:t>7</w:t>
            </w:r>
          </w:p>
        </w:tc>
        <w:tc>
          <w:tcPr>
            <w:tcW w:w="1532" w:type="dxa"/>
            <w:tcBorders>
              <w:top w:val="nil"/>
              <w:left w:val="single" w:sz="4" w:space="0" w:color="auto"/>
              <w:bottom w:val="single" w:sz="4" w:space="0" w:color="auto"/>
              <w:right w:val="single" w:sz="8" w:space="0" w:color="auto"/>
            </w:tcBorders>
            <w:tcMar>
              <w:top w:w="20" w:type="dxa"/>
              <w:left w:w="20" w:type="dxa"/>
              <w:bottom w:w="0" w:type="dxa"/>
              <w:right w:w="20" w:type="dxa"/>
            </w:tcMar>
            <w:vAlign w:val="bottom"/>
          </w:tcPr>
          <w:p w:rsidR="001F5E5B" w:rsidRPr="005834F0" w:rsidRDefault="001F5E5B" w:rsidP="00C022D3">
            <w:pPr>
              <w:spacing w:before="100" w:beforeAutospacing="1" w:after="100" w:afterAutospacing="1"/>
              <w:jc w:val="center"/>
              <w:rPr>
                <w:rFonts w:eastAsia="Arial Unicode MS"/>
                <w:b/>
                <w:sz w:val="20"/>
                <w:szCs w:val="20"/>
                <w:highlight w:val="yellow"/>
              </w:rPr>
            </w:pPr>
            <w:r w:rsidRPr="001656E5">
              <w:rPr>
                <w:rFonts w:eastAsia="Arial Unicode MS"/>
                <w:b/>
                <w:sz w:val="20"/>
                <w:szCs w:val="20"/>
              </w:rPr>
              <w:t>$</w:t>
            </w:r>
            <w:r>
              <w:rPr>
                <w:rFonts w:eastAsia="Arial Unicode MS"/>
                <w:b/>
                <w:sz w:val="20"/>
                <w:szCs w:val="20"/>
              </w:rPr>
              <w:t>23,</w:t>
            </w:r>
            <w:r w:rsidR="00C022D3">
              <w:rPr>
                <w:rFonts w:eastAsia="Arial Unicode MS"/>
                <w:b/>
                <w:sz w:val="20"/>
                <w:szCs w:val="20"/>
              </w:rPr>
              <w:t>06</w:t>
            </w:r>
            <w:r w:rsidR="00C80DDF">
              <w:rPr>
                <w:rFonts w:eastAsia="Arial Unicode MS"/>
                <w:b/>
                <w:sz w:val="20"/>
                <w:szCs w:val="20"/>
              </w:rPr>
              <w:t>7</w:t>
            </w:r>
          </w:p>
        </w:tc>
      </w:tr>
      <w:tr w:rsidR="001F5E5B" w:rsidRPr="00762F09" w:rsidTr="005F43BC">
        <w:trPr>
          <w:trHeight w:val="411"/>
        </w:trPr>
        <w:tc>
          <w:tcPr>
            <w:tcW w:w="1915" w:type="dxa"/>
            <w:tcBorders>
              <w:top w:val="single" w:sz="4" w:space="0" w:color="auto"/>
              <w:left w:val="single" w:sz="8" w:space="0" w:color="auto"/>
              <w:bottom w:val="single" w:sz="4" w:space="0" w:color="auto"/>
              <w:right w:val="nil"/>
            </w:tcBorders>
            <w:tcMar>
              <w:top w:w="20" w:type="dxa"/>
              <w:left w:w="20" w:type="dxa"/>
              <w:bottom w:w="0" w:type="dxa"/>
              <w:right w:w="20" w:type="dxa"/>
            </w:tcMar>
            <w:vAlign w:val="center"/>
          </w:tcPr>
          <w:p w:rsidR="001F5E5B" w:rsidRPr="00B95767" w:rsidRDefault="001F5E5B" w:rsidP="005F43BC">
            <w:pPr>
              <w:spacing w:before="100" w:beforeAutospacing="1" w:after="100" w:afterAutospacing="1"/>
              <w:jc w:val="center"/>
              <w:rPr>
                <w:bCs/>
                <w:sz w:val="20"/>
                <w:szCs w:val="20"/>
              </w:rPr>
            </w:pPr>
            <w:r>
              <w:rPr>
                <w:bCs/>
                <w:sz w:val="20"/>
                <w:szCs w:val="20"/>
              </w:rPr>
              <w:t>OUTCOME  Measure</w:t>
            </w:r>
          </w:p>
        </w:tc>
        <w:tc>
          <w:tcPr>
            <w:tcW w:w="2710" w:type="dxa"/>
            <w:tcBorders>
              <w:top w:val="single" w:sz="4" w:space="0" w:color="auto"/>
              <w:left w:val="single" w:sz="4" w:space="0" w:color="auto"/>
              <w:bottom w:val="single" w:sz="4" w:space="0" w:color="auto"/>
              <w:right w:val="nil"/>
            </w:tcBorders>
            <w:tcMar>
              <w:top w:w="20" w:type="dxa"/>
              <w:left w:w="20" w:type="dxa"/>
              <w:bottom w:w="0" w:type="dxa"/>
              <w:right w:w="20" w:type="dxa"/>
            </w:tcMar>
            <w:vAlign w:val="center"/>
          </w:tcPr>
          <w:p w:rsidR="001F5E5B" w:rsidRPr="00B95767" w:rsidRDefault="001F5E5B" w:rsidP="005F43BC">
            <w:pPr>
              <w:spacing w:before="100" w:beforeAutospacing="1" w:after="100" w:afterAutospacing="1"/>
              <w:rPr>
                <w:sz w:val="20"/>
                <w:szCs w:val="20"/>
              </w:rPr>
            </w:pPr>
            <w:r>
              <w:rPr>
                <w:sz w:val="20"/>
                <w:szCs w:val="20"/>
              </w:rPr>
              <w:t>Reduce the loss of tax revenues caused by contraband alcohol and tobacco trafficking</w:t>
            </w:r>
          </w:p>
        </w:tc>
        <w:tc>
          <w:tcPr>
            <w:tcW w:w="2172" w:type="dxa"/>
            <w:gridSpan w:val="2"/>
            <w:tcBorders>
              <w:top w:val="single" w:sz="4" w:space="0" w:color="auto"/>
              <w:left w:val="single" w:sz="4" w:space="0" w:color="auto"/>
              <w:bottom w:val="single" w:sz="4" w:space="0" w:color="auto"/>
              <w:right w:val="single" w:sz="4" w:space="0" w:color="000000"/>
            </w:tcBorders>
            <w:noWrap/>
            <w:tcMar>
              <w:top w:w="20" w:type="dxa"/>
              <w:left w:w="20" w:type="dxa"/>
              <w:bottom w:w="0" w:type="dxa"/>
              <w:right w:w="20" w:type="dxa"/>
            </w:tcMar>
            <w:vAlign w:val="center"/>
          </w:tcPr>
          <w:p w:rsidR="001F5E5B" w:rsidRPr="00B95767" w:rsidRDefault="001F5E5B" w:rsidP="005F43BC">
            <w:pPr>
              <w:spacing w:before="100" w:beforeAutospacing="1" w:after="100" w:afterAutospacing="1"/>
              <w:jc w:val="center"/>
              <w:rPr>
                <w:rFonts w:eastAsia="Arial Unicode MS"/>
                <w:sz w:val="20"/>
                <w:szCs w:val="20"/>
              </w:rPr>
            </w:pPr>
            <w:r>
              <w:rPr>
                <w:rFonts w:eastAsia="Arial Unicode MS"/>
                <w:sz w:val="20"/>
                <w:szCs w:val="20"/>
              </w:rPr>
              <w:t>100</w:t>
            </w:r>
          </w:p>
        </w:tc>
        <w:tc>
          <w:tcPr>
            <w:tcW w:w="1743"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1F5E5B" w:rsidRPr="00A0222C" w:rsidRDefault="001F5E5B" w:rsidP="00805E1C">
            <w:pPr>
              <w:spacing w:before="100" w:beforeAutospacing="1" w:after="100" w:afterAutospacing="1"/>
              <w:rPr>
                <w:rFonts w:eastAsia="Arial Unicode MS"/>
                <w:sz w:val="20"/>
                <w:szCs w:val="20"/>
              </w:rPr>
            </w:pPr>
            <w:r>
              <w:rPr>
                <w:rFonts w:eastAsia="Arial Unicode MS"/>
                <w:sz w:val="20"/>
                <w:szCs w:val="20"/>
              </w:rPr>
              <w:t xml:space="preserve">             </w:t>
            </w:r>
            <w:r w:rsidR="00805E1C">
              <w:rPr>
                <w:sz w:val="20"/>
                <w:szCs w:val="20"/>
              </w:rPr>
              <w:t>8</w:t>
            </w:r>
            <w:r w:rsidR="00581887">
              <w:rPr>
                <w:sz w:val="20"/>
                <w:szCs w:val="20"/>
              </w:rPr>
              <w:t>5.5</w:t>
            </w:r>
          </w:p>
        </w:tc>
        <w:tc>
          <w:tcPr>
            <w:tcW w:w="1936"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1F5E5B" w:rsidRDefault="001F5E5B" w:rsidP="005F43BC">
            <w:pPr>
              <w:spacing w:before="100" w:beforeAutospacing="1" w:after="100" w:afterAutospacing="1"/>
              <w:jc w:val="center"/>
              <w:rPr>
                <w:rFonts w:eastAsia="Arial Unicode MS"/>
                <w:sz w:val="20"/>
                <w:szCs w:val="20"/>
              </w:rPr>
            </w:pPr>
            <w:r>
              <w:rPr>
                <w:rFonts w:eastAsia="Arial Unicode MS"/>
                <w:sz w:val="20"/>
                <w:szCs w:val="20"/>
              </w:rPr>
              <w:t>82</w:t>
            </w:r>
          </w:p>
        </w:tc>
        <w:tc>
          <w:tcPr>
            <w:tcW w:w="1936" w:type="dxa"/>
            <w:gridSpan w:val="2"/>
            <w:tcBorders>
              <w:top w:val="single" w:sz="4" w:space="0" w:color="auto"/>
              <w:left w:val="nil"/>
              <w:bottom w:val="single" w:sz="4" w:space="0" w:color="auto"/>
              <w:right w:val="single" w:sz="4" w:space="0" w:color="000000"/>
            </w:tcBorders>
            <w:noWrap/>
            <w:tcMar>
              <w:top w:w="20" w:type="dxa"/>
              <w:left w:w="20" w:type="dxa"/>
              <w:bottom w:w="0" w:type="dxa"/>
              <w:right w:w="20" w:type="dxa"/>
            </w:tcMar>
            <w:vAlign w:val="center"/>
          </w:tcPr>
          <w:p w:rsidR="001F5E5B" w:rsidRPr="00A0222C" w:rsidRDefault="00581887" w:rsidP="005F43BC">
            <w:pPr>
              <w:spacing w:before="100" w:beforeAutospacing="1" w:after="100" w:afterAutospacing="1"/>
              <w:jc w:val="center"/>
              <w:rPr>
                <w:rFonts w:eastAsia="Arial Unicode MS"/>
                <w:sz w:val="20"/>
                <w:szCs w:val="20"/>
              </w:rPr>
            </w:pPr>
            <w:r>
              <w:rPr>
                <w:rFonts w:eastAsia="Arial Unicode MS"/>
                <w:sz w:val="20"/>
                <w:szCs w:val="20"/>
              </w:rPr>
              <w:t>(</w:t>
            </w:r>
            <w:r w:rsidR="001F5E5B">
              <w:rPr>
                <w:rFonts w:eastAsia="Arial Unicode MS"/>
                <w:sz w:val="20"/>
                <w:szCs w:val="20"/>
              </w:rPr>
              <w:t>1</w:t>
            </w:r>
            <w:r>
              <w:rPr>
                <w:rFonts w:eastAsia="Arial Unicode MS"/>
                <w:sz w:val="20"/>
                <w:szCs w:val="20"/>
              </w:rPr>
              <w:t>)</w:t>
            </w:r>
          </w:p>
        </w:tc>
        <w:tc>
          <w:tcPr>
            <w:tcW w:w="2306" w:type="dxa"/>
            <w:gridSpan w:val="2"/>
            <w:tcBorders>
              <w:top w:val="single" w:sz="4" w:space="0" w:color="auto"/>
              <w:left w:val="nil"/>
              <w:bottom w:val="single" w:sz="4" w:space="0" w:color="auto"/>
              <w:right w:val="single" w:sz="8" w:space="0" w:color="000000"/>
            </w:tcBorders>
            <w:noWrap/>
            <w:tcMar>
              <w:top w:w="20" w:type="dxa"/>
              <w:left w:w="20" w:type="dxa"/>
              <w:bottom w:w="0" w:type="dxa"/>
              <w:right w:w="20" w:type="dxa"/>
            </w:tcMar>
            <w:vAlign w:val="center"/>
          </w:tcPr>
          <w:p w:rsidR="001F5E5B" w:rsidRPr="00A0222C" w:rsidRDefault="001F5E5B" w:rsidP="00581887">
            <w:pPr>
              <w:spacing w:before="100" w:beforeAutospacing="1" w:after="100" w:afterAutospacing="1"/>
              <w:jc w:val="center"/>
              <w:rPr>
                <w:rFonts w:eastAsia="Arial Unicode MS"/>
                <w:sz w:val="20"/>
                <w:szCs w:val="20"/>
              </w:rPr>
            </w:pPr>
            <w:r>
              <w:rPr>
                <w:rFonts w:eastAsia="Arial Unicode MS"/>
                <w:sz w:val="20"/>
                <w:szCs w:val="20"/>
              </w:rPr>
              <w:t>8</w:t>
            </w:r>
            <w:r w:rsidR="00581887">
              <w:rPr>
                <w:rFonts w:eastAsia="Arial Unicode MS"/>
                <w:sz w:val="20"/>
                <w:szCs w:val="20"/>
              </w:rPr>
              <w:t>1</w:t>
            </w:r>
          </w:p>
        </w:tc>
      </w:tr>
    </w:tbl>
    <w:tbl>
      <w:tblPr>
        <w:tblpPr w:leftFromText="180" w:rightFromText="180" w:vertAnchor="text" w:horzAnchor="margin" w:tblpXSpec="center" w:tblpY="147"/>
        <w:tblW w:w="1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800"/>
        <w:gridCol w:w="900"/>
        <w:gridCol w:w="1056"/>
        <w:gridCol w:w="1080"/>
        <w:gridCol w:w="1080"/>
        <w:gridCol w:w="1080"/>
        <w:gridCol w:w="1080"/>
        <w:gridCol w:w="1080"/>
        <w:gridCol w:w="1260"/>
        <w:gridCol w:w="1080"/>
        <w:gridCol w:w="1518"/>
      </w:tblGrid>
      <w:tr w:rsidR="001F5E5B" w:rsidRPr="00762F09" w:rsidTr="005F43BC">
        <w:tc>
          <w:tcPr>
            <w:tcW w:w="14382" w:type="dxa"/>
            <w:gridSpan w:val="12"/>
            <w:vAlign w:val="center"/>
          </w:tcPr>
          <w:p w:rsidR="001F5E5B" w:rsidRPr="00143009" w:rsidRDefault="001F5E5B" w:rsidP="005F43BC">
            <w:pPr>
              <w:widowControl w:val="0"/>
              <w:spacing w:before="100" w:beforeAutospacing="1" w:after="100" w:afterAutospacing="1"/>
              <w:jc w:val="center"/>
              <w:rPr>
                <w:b/>
                <w:bCs/>
                <w:szCs w:val="16"/>
              </w:rPr>
            </w:pPr>
            <w:r w:rsidRPr="00143009">
              <w:rPr>
                <w:b/>
                <w:bCs/>
                <w:szCs w:val="16"/>
              </w:rPr>
              <w:t xml:space="preserve">Performance Measure Table </w:t>
            </w:r>
          </w:p>
        </w:tc>
      </w:tr>
      <w:tr w:rsidR="001F5E5B" w:rsidRPr="00762F09" w:rsidTr="005F43BC">
        <w:tc>
          <w:tcPr>
            <w:tcW w:w="14382" w:type="dxa"/>
            <w:gridSpan w:val="12"/>
          </w:tcPr>
          <w:p w:rsidR="001F5E5B" w:rsidRPr="00D16E8A" w:rsidRDefault="001F5E5B" w:rsidP="005F43BC">
            <w:pPr>
              <w:pStyle w:val="xl19"/>
              <w:tabs>
                <w:tab w:val="left" w:pos="1080"/>
              </w:tabs>
              <w:spacing w:before="100" w:beforeAutospacing="1" w:after="100" w:afterAutospacing="1"/>
              <w:rPr>
                <w:b/>
                <w:bCs/>
                <w:sz w:val="22"/>
                <w:szCs w:val="22"/>
              </w:rPr>
            </w:pPr>
            <w:r w:rsidRPr="00D16E8A">
              <w:rPr>
                <w:b/>
                <w:bCs/>
                <w:sz w:val="22"/>
                <w:szCs w:val="22"/>
              </w:rPr>
              <w:t>Decision Unit:  Alcohol and Tobacco</w:t>
            </w:r>
          </w:p>
        </w:tc>
      </w:tr>
      <w:tr w:rsidR="001F5E5B" w:rsidRPr="00762F09" w:rsidTr="005F43BC">
        <w:trPr>
          <w:trHeight w:val="413"/>
        </w:trPr>
        <w:tc>
          <w:tcPr>
            <w:tcW w:w="3168" w:type="dxa"/>
            <w:gridSpan w:val="2"/>
            <w:vMerge w:val="restart"/>
            <w:vAlign w:val="center"/>
          </w:tcPr>
          <w:p w:rsidR="001F5E5B" w:rsidRPr="00D16E8A" w:rsidRDefault="001F5E5B" w:rsidP="005F43BC">
            <w:pPr>
              <w:spacing w:before="100" w:beforeAutospacing="1" w:after="100" w:afterAutospacing="1"/>
              <w:jc w:val="center"/>
              <w:rPr>
                <w:sz w:val="20"/>
                <w:szCs w:val="20"/>
              </w:rPr>
            </w:pPr>
            <w:r w:rsidRPr="00D16E8A">
              <w:rPr>
                <w:b/>
                <w:sz w:val="20"/>
                <w:szCs w:val="20"/>
              </w:rPr>
              <w:t>Performance Report and Performance Plan Targets</w:t>
            </w:r>
          </w:p>
        </w:tc>
        <w:tc>
          <w:tcPr>
            <w:tcW w:w="900" w:type="dxa"/>
            <w:vAlign w:val="center"/>
          </w:tcPr>
          <w:p w:rsidR="001F5E5B" w:rsidRPr="00D16E8A" w:rsidRDefault="001F5E5B" w:rsidP="005F43BC">
            <w:pPr>
              <w:spacing w:before="100" w:beforeAutospacing="1" w:after="100" w:afterAutospacing="1"/>
              <w:jc w:val="center"/>
              <w:rPr>
                <w:rFonts w:eastAsia="Arial Unicode MS"/>
                <w:b/>
                <w:bCs/>
                <w:sz w:val="20"/>
                <w:szCs w:val="20"/>
              </w:rPr>
            </w:pPr>
            <w:r w:rsidRPr="00D16E8A">
              <w:rPr>
                <w:b/>
                <w:bCs/>
                <w:sz w:val="20"/>
                <w:szCs w:val="20"/>
              </w:rPr>
              <w:t>FY 200</w:t>
            </w:r>
            <w:r>
              <w:rPr>
                <w:b/>
                <w:bCs/>
                <w:sz w:val="20"/>
                <w:szCs w:val="20"/>
              </w:rPr>
              <w:t>5</w:t>
            </w:r>
          </w:p>
        </w:tc>
        <w:tc>
          <w:tcPr>
            <w:tcW w:w="1056" w:type="dxa"/>
            <w:vAlign w:val="center"/>
          </w:tcPr>
          <w:p w:rsidR="001F5E5B" w:rsidRPr="00D16E8A" w:rsidRDefault="001F5E5B" w:rsidP="005F43BC">
            <w:pPr>
              <w:spacing w:before="100" w:beforeAutospacing="1" w:after="100" w:afterAutospacing="1"/>
              <w:jc w:val="center"/>
              <w:rPr>
                <w:rFonts w:eastAsia="Arial Unicode MS"/>
                <w:b/>
                <w:bCs/>
                <w:sz w:val="20"/>
                <w:szCs w:val="20"/>
              </w:rPr>
            </w:pPr>
            <w:r w:rsidRPr="00D16E8A">
              <w:rPr>
                <w:b/>
                <w:bCs/>
                <w:sz w:val="20"/>
                <w:szCs w:val="20"/>
              </w:rPr>
              <w:t>FY 200</w:t>
            </w:r>
            <w:r>
              <w:rPr>
                <w:b/>
                <w:bCs/>
                <w:sz w:val="20"/>
                <w:szCs w:val="20"/>
              </w:rPr>
              <w:t>6</w:t>
            </w:r>
          </w:p>
        </w:tc>
        <w:tc>
          <w:tcPr>
            <w:tcW w:w="1080" w:type="dxa"/>
            <w:vAlign w:val="center"/>
          </w:tcPr>
          <w:p w:rsidR="001F5E5B" w:rsidRPr="00D16E8A" w:rsidRDefault="001F5E5B" w:rsidP="005F43BC">
            <w:pPr>
              <w:spacing w:before="100" w:beforeAutospacing="1" w:after="100" w:afterAutospacing="1"/>
              <w:jc w:val="center"/>
              <w:rPr>
                <w:rFonts w:eastAsia="Arial Unicode MS"/>
                <w:b/>
                <w:bCs/>
                <w:sz w:val="20"/>
                <w:szCs w:val="20"/>
              </w:rPr>
            </w:pPr>
            <w:r w:rsidRPr="00D16E8A">
              <w:rPr>
                <w:b/>
                <w:bCs/>
                <w:sz w:val="20"/>
                <w:szCs w:val="20"/>
              </w:rPr>
              <w:t>FY 200</w:t>
            </w:r>
            <w:r>
              <w:rPr>
                <w:b/>
                <w:bCs/>
                <w:sz w:val="20"/>
                <w:szCs w:val="20"/>
              </w:rPr>
              <w:t>7</w:t>
            </w:r>
          </w:p>
        </w:tc>
        <w:tc>
          <w:tcPr>
            <w:tcW w:w="1080" w:type="dxa"/>
            <w:vAlign w:val="center"/>
          </w:tcPr>
          <w:p w:rsidR="001F5E5B" w:rsidRDefault="001F5E5B" w:rsidP="005F43BC">
            <w:pPr>
              <w:spacing w:before="100" w:beforeAutospacing="1" w:after="100" w:afterAutospacing="1"/>
              <w:jc w:val="center"/>
              <w:rPr>
                <w:rFonts w:eastAsia="Arial Unicode MS"/>
                <w:b/>
                <w:bCs/>
                <w:sz w:val="20"/>
                <w:szCs w:val="20"/>
              </w:rPr>
            </w:pPr>
            <w:r w:rsidRPr="00D16E8A">
              <w:rPr>
                <w:b/>
                <w:bCs/>
                <w:sz w:val="20"/>
                <w:szCs w:val="20"/>
              </w:rPr>
              <w:t>FY 200</w:t>
            </w:r>
            <w:r>
              <w:rPr>
                <w:b/>
                <w:bCs/>
                <w:sz w:val="20"/>
                <w:szCs w:val="20"/>
              </w:rPr>
              <w:t>8</w:t>
            </w:r>
          </w:p>
        </w:tc>
        <w:tc>
          <w:tcPr>
            <w:tcW w:w="1080" w:type="dxa"/>
            <w:vAlign w:val="center"/>
          </w:tcPr>
          <w:p w:rsidR="001F5E5B" w:rsidRDefault="001F5E5B" w:rsidP="005F43BC">
            <w:pPr>
              <w:spacing w:before="100" w:beforeAutospacing="1" w:after="100" w:afterAutospacing="1"/>
              <w:jc w:val="center"/>
              <w:rPr>
                <w:rFonts w:eastAsia="Arial Unicode MS"/>
                <w:b/>
                <w:bCs/>
                <w:sz w:val="20"/>
                <w:szCs w:val="20"/>
              </w:rPr>
            </w:pPr>
            <w:r w:rsidRPr="00D16E8A">
              <w:rPr>
                <w:b/>
                <w:bCs/>
                <w:sz w:val="20"/>
                <w:szCs w:val="20"/>
              </w:rPr>
              <w:t>FY 200</w:t>
            </w:r>
            <w:r>
              <w:rPr>
                <w:b/>
                <w:bCs/>
                <w:sz w:val="20"/>
                <w:szCs w:val="20"/>
              </w:rPr>
              <w:t>9</w:t>
            </w:r>
          </w:p>
        </w:tc>
        <w:tc>
          <w:tcPr>
            <w:tcW w:w="1080" w:type="dxa"/>
            <w:vAlign w:val="center"/>
          </w:tcPr>
          <w:p w:rsidR="001F5E5B" w:rsidRDefault="001F5E5B" w:rsidP="005F43BC">
            <w:pPr>
              <w:spacing w:before="100" w:beforeAutospacing="1" w:after="100" w:afterAutospacing="1"/>
              <w:jc w:val="center"/>
              <w:rPr>
                <w:rFonts w:eastAsia="Arial Unicode MS"/>
                <w:b/>
                <w:bCs/>
                <w:sz w:val="20"/>
                <w:szCs w:val="20"/>
              </w:rPr>
            </w:pPr>
            <w:r>
              <w:rPr>
                <w:rFonts w:eastAsia="Arial Unicode MS"/>
                <w:b/>
                <w:bCs/>
                <w:sz w:val="20"/>
                <w:szCs w:val="20"/>
              </w:rPr>
              <w:t>FY 2010</w:t>
            </w:r>
          </w:p>
        </w:tc>
        <w:tc>
          <w:tcPr>
            <w:tcW w:w="2340" w:type="dxa"/>
            <w:gridSpan w:val="2"/>
            <w:vAlign w:val="center"/>
          </w:tcPr>
          <w:p w:rsidR="001F5E5B" w:rsidRDefault="001F5E5B" w:rsidP="005F43BC">
            <w:pPr>
              <w:spacing w:before="100" w:beforeAutospacing="1" w:after="100" w:afterAutospacing="1"/>
              <w:jc w:val="center"/>
              <w:rPr>
                <w:rFonts w:eastAsia="Arial Unicode MS"/>
                <w:b/>
                <w:bCs/>
                <w:sz w:val="20"/>
                <w:szCs w:val="20"/>
              </w:rPr>
            </w:pPr>
            <w:r w:rsidRPr="00D16E8A">
              <w:rPr>
                <w:b/>
                <w:bCs/>
                <w:sz w:val="20"/>
                <w:szCs w:val="20"/>
              </w:rPr>
              <w:t>FY 201</w:t>
            </w:r>
            <w:r>
              <w:rPr>
                <w:b/>
                <w:bCs/>
                <w:sz w:val="20"/>
                <w:szCs w:val="20"/>
              </w:rPr>
              <w:t>1</w:t>
            </w:r>
          </w:p>
        </w:tc>
        <w:tc>
          <w:tcPr>
            <w:tcW w:w="1080" w:type="dxa"/>
            <w:vAlign w:val="center"/>
          </w:tcPr>
          <w:p w:rsidR="001F5E5B" w:rsidRDefault="001F5E5B" w:rsidP="005F43BC">
            <w:pPr>
              <w:spacing w:before="100" w:beforeAutospacing="1" w:after="100" w:afterAutospacing="1"/>
              <w:jc w:val="center"/>
              <w:rPr>
                <w:b/>
                <w:bCs/>
                <w:sz w:val="20"/>
                <w:szCs w:val="20"/>
              </w:rPr>
            </w:pPr>
            <w:r>
              <w:rPr>
                <w:b/>
                <w:bCs/>
                <w:sz w:val="20"/>
                <w:szCs w:val="20"/>
              </w:rPr>
              <w:t>FY 2012</w:t>
            </w:r>
          </w:p>
        </w:tc>
        <w:tc>
          <w:tcPr>
            <w:tcW w:w="1518" w:type="dxa"/>
            <w:vAlign w:val="center"/>
          </w:tcPr>
          <w:p w:rsidR="001F5E5B" w:rsidRDefault="001F5E5B" w:rsidP="005F43BC">
            <w:pPr>
              <w:spacing w:before="100" w:beforeAutospacing="1" w:after="100" w:afterAutospacing="1"/>
              <w:jc w:val="center"/>
              <w:rPr>
                <w:b/>
                <w:bCs/>
                <w:sz w:val="20"/>
                <w:szCs w:val="20"/>
              </w:rPr>
            </w:pPr>
            <w:r>
              <w:rPr>
                <w:b/>
                <w:bCs/>
                <w:sz w:val="20"/>
                <w:szCs w:val="20"/>
              </w:rPr>
              <w:t>FY 2013</w:t>
            </w:r>
          </w:p>
        </w:tc>
      </w:tr>
      <w:tr w:rsidR="001F5E5B" w:rsidRPr="00762F09" w:rsidTr="005F43BC">
        <w:trPr>
          <w:trHeight w:val="412"/>
        </w:trPr>
        <w:tc>
          <w:tcPr>
            <w:tcW w:w="3168" w:type="dxa"/>
            <w:gridSpan w:val="2"/>
            <w:vMerge/>
          </w:tcPr>
          <w:p w:rsidR="001F5E5B" w:rsidRDefault="001F5E5B" w:rsidP="005F43BC">
            <w:pPr>
              <w:pStyle w:val="xl19"/>
              <w:tabs>
                <w:tab w:val="left" w:pos="1080"/>
              </w:tabs>
              <w:spacing w:before="100" w:beforeAutospacing="1" w:after="100" w:afterAutospacing="1"/>
              <w:rPr>
                <w:b/>
                <w:sz w:val="20"/>
                <w:szCs w:val="20"/>
              </w:rPr>
            </w:pPr>
          </w:p>
        </w:tc>
        <w:tc>
          <w:tcPr>
            <w:tcW w:w="900" w:type="dxa"/>
            <w:vAlign w:val="center"/>
          </w:tcPr>
          <w:p w:rsidR="001F5E5B" w:rsidRDefault="001F5E5B" w:rsidP="005F43BC">
            <w:pPr>
              <w:spacing w:before="100" w:beforeAutospacing="1" w:after="100" w:afterAutospacing="1"/>
              <w:jc w:val="center"/>
              <w:rPr>
                <w:b/>
                <w:bCs/>
                <w:sz w:val="20"/>
                <w:szCs w:val="20"/>
              </w:rPr>
            </w:pPr>
            <w:r w:rsidRPr="00D16E8A">
              <w:rPr>
                <w:b/>
                <w:bCs/>
                <w:sz w:val="20"/>
                <w:szCs w:val="20"/>
              </w:rPr>
              <w:t>Actual</w:t>
            </w:r>
          </w:p>
        </w:tc>
        <w:tc>
          <w:tcPr>
            <w:tcW w:w="1056" w:type="dxa"/>
            <w:vAlign w:val="center"/>
          </w:tcPr>
          <w:p w:rsidR="001F5E5B" w:rsidRDefault="001F5E5B" w:rsidP="005F43B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1F5E5B" w:rsidRDefault="001F5E5B" w:rsidP="005F43B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1F5E5B" w:rsidRDefault="001F5E5B" w:rsidP="005F43B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1F5E5B" w:rsidRDefault="001F5E5B" w:rsidP="005F43B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1F5E5B" w:rsidRDefault="001F5E5B" w:rsidP="005F43B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1F5E5B" w:rsidRDefault="001F5E5B" w:rsidP="005F43BC">
            <w:pPr>
              <w:spacing w:before="100" w:beforeAutospacing="1" w:after="100" w:afterAutospacing="1"/>
              <w:jc w:val="center"/>
              <w:rPr>
                <w:b/>
                <w:bCs/>
                <w:sz w:val="20"/>
                <w:szCs w:val="20"/>
              </w:rPr>
            </w:pPr>
            <w:r w:rsidRPr="00D16E8A">
              <w:rPr>
                <w:b/>
                <w:bCs/>
                <w:sz w:val="20"/>
                <w:szCs w:val="20"/>
              </w:rPr>
              <w:t>Target</w:t>
            </w:r>
          </w:p>
        </w:tc>
        <w:tc>
          <w:tcPr>
            <w:tcW w:w="1260" w:type="dxa"/>
            <w:vAlign w:val="center"/>
          </w:tcPr>
          <w:p w:rsidR="001F5E5B" w:rsidRDefault="001F5E5B" w:rsidP="005F43BC">
            <w:pPr>
              <w:spacing w:before="100" w:beforeAutospacing="1" w:after="100" w:afterAutospacing="1"/>
              <w:jc w:val="center"/>
              <w:rPr>
                <w:b/>
                <w:bCs/>
                <w:sz w:val="20"/>
                <w:szCs w:val="20"/>
              </w:rPr>
            </w:pPr>
            <w:r w:rsidRPr="00D16E8A">
              <w:rPr>
                <w:b/>
                <w:bCs/>
                <w:sz w:val="20"/>
                <w:szCs w:val="20"/>
              </w:rPr>
              <w:t>Actual</w:t>
            </w:r>
          </w:p>
        </w:tc>
        <w:tc>
          <w:tcPr>
            <w:tcW w:w="1080" w:type="dxa"/>
            <w:vAlign w:val="center"/>
          </w:tcPr>
          <w:p w:rsidR="001F5E5B" w:rsidRDefault="001F5E5B" w:rsidP="005F43BC">
            <w:pPr>
              <w:spacing w:before="100" w:beforeAutospacing="1" w:after="100" w:afterAutospacing="1"/>
              <w:jc w:val="center"/>
              <w:rPr>
                <w:b/>
                <w:bCs/>
                <w:sz w:val="20"/>
                <w:szCs w:val="20"/>
              </w:rPr>
            </w:pPr>
            <w:r w:rsidRPr="00D16E8A">
              <w:rPr>
                <w:b/>
                <w:bCs/>
                <w:sz w:val="20"/>
                <w:szCs w:val="20"/>
              </w:rPr>
              <w:t>Target</w:t>
            </w:r>
          </w:p>
        </w:tc>
        <w:tc>
          <w:tcPr>
            <w:tcW w:w="1518" w:type="dxa"/>
            <w:vAlign w:val="center"/>
          </w:tcPr>
          <w:p w:rsidR="001F5E5B" w:rsidRDefault="001F5E5B" w:rsidP="005F43BC">
            <w:pPr>
              <w:spacing w:before="100" w:beforeAutospacing="1" w:after="100" w:afterAutospacing="1"/>
              <w:jc w:val="center"/>
              <w:rPr>
                <w:b/>
                <w:bCs/>
                <w:sz w:val="20"/>
                <w:szCs w:val="20"/>
              </w:rPr>
            </w:pPr>
            <w:r w:rsidRPr="00D16E8A">
              <w:rPr>
                <w:b/>
                <w:bCs/>
                <w:sz w:val="20"/>
                <w:szCs w:val="20"/>
              </w:rPr>
              <w:t>Target</w:t>
            </w:r>
          </w:p>
        </w:tc>
      </w:tr>
      <w:tr w:rsidR="001F5E5B" w:rsidRPr="00762F09" w:rsidTr="005F43BC">
        <w:tc>
          <w:tcPr>
            <w:tcW w:w="1368" w:type="dxa"/>
            <w:vAlign w:val="center"/>
          </w:tcPr>
          <w:p w:rsidR="001F5E5B" w:rsidRPr="00D16E8A" w:rsidRDefault="001F5E5B" w:rsidP="005F43BC">
            <w:pPr>
              <w:pStyle w:val="xl19"/>
              <w:tabs>
                <w:tab w:val="left" w:pos="1080"/>
              </w:tabs>
              <w:spacing w:before="100" w:beforeAutospacing="1" w:after="100" w:afterAutospacing="1"/>
              <w:rPr>
                <w:sz w:val="20"/>
                <w:szCs w:val="20"/>
              </w:rPr>
            </w:pPr>
            <w:r w:rsidRPr="00D16E8A">
              <w:rPr>
                <w:sz w:val="20"/>
                <w:szCs w:val="20"/>
              </w:rPr>
              <w:t>OUTCOME  Measure</w:t>
            </w:r>
          </w:p>
        </w:tc>
        <w:tc>
          <w:tcPr>
            <w:tcW w:w="1800" w:type="dxa"/>
            <w:vAlign w:val="center"/>
          </w:tcPr>
          <w:p w:rsidR="001F5E5B" w:rsidRPr="00D16E8A" w:rsidRDefault="001F5E5B" w:rsidP="005F43BC">
            <w:pPr>
              <w:pStyle w:val="xl19"/>
              <w:tabs>
                <w:tab w:val="left" w:pos="1080"/>
              </w:tabs>
              <w:spacing w:before="100" w:beforeAutospacing="1" w:after="100" w:afterAutospacing="1"/>
              <w:rPr>
                <w:sz w:val="20"/>
                <w:szCs w:val="20"/>
              </w:rPr>
            </w:pPr>
            <w:r w:rsidRPr="00D16E8A">
              <w:rPr>
                <w:sz w:val="20"/>
                <w:szCs w:val="20"/>
              </w:rPr>
              <w:t>Reduce the loss of tax revenues caused by contraband alcohol and tobacco trafficking</w:t>
            </w:r>
          </w:p>
        </w:tc>
        <w:tc>
          <w:tcPr>
            <w:tcW w:w="900" w:type="dxa"/>
            <w:vAlign w:val="center"/>
          </w:tcPr>
          <w:p w:rsidR="001F5E5B" w:rsidRPr="00D16E8A" w:rsidRDefault="001F5E5B" w:rsidP="005F43BC">
            <w:pPr>
              <w:pStyle w:val="xl19"/>
              <w:tabs>
                <w:tab w:val="left" w:pos="1080"/>
              </w:tabs>
              <w:spacing w:before="100" w:beforeAutospacing="1" w:after="100" w:afterAutospacing="1"/>
              <w:jc w:val="center"/>
              <w:rPr>
                <w:sz w:val="20"/>
                <w:szCs w:val="20"/>
              </w:rPr>
            </w:pPr>
            <w:r w:rsidRPr="00D16E8A">
              <w:rPr>
                <w:sz w:val="20"/>
                <w:szCs w:val="20"/>
              </w:rPr>
              <w:t>N/A</w:t>
            </w:r>
          </w:p>
        </w:tc>
        <w:tc>
          <w:tcPr>
            <w:tcW w:w="1056" w:type="dxa"/>
            <w:vAlign w:val="center"/>
          </w:tcPr>
          <w:p w:rsidR="001F5E5B" w:rsidRPr="00D16E8A" w:rsidRDefault="001F5E5B" w:rsidP="005F43BC">
            <w:pPr>
              <w:pStyle w:val="xl19"/>
              <w:tabs>
                <w:tab w:val="left" w:pos="1080"/>
              </w:tabs>
              <w:spacing w:before="100" w:beforeAutospacing="1" w:after="100" w:afterAutospacing="1"/>
              <w:jc w:val="center"/>
              <w:rPr>
                <w:sz w:val="20"/>
                <w:szCs w:val="20"/>
              </w:rPr>
            </w:pPr>
            <w:r w:rsidRPr="00D16E8A">
              <w:rPr>
                <w:sz w:val="20"/>
                <w:szCs w:val="20"/>
              </w:rPr>
              <w:t>N/A</w:t>
            </w:r>
          </w:p>
        </w:tc>
        <w:tc>
          <w:tcPr>
            <w:tcW w:w="1080" w:type="dxa"/>
            <w:vAlign w:val="center"/>
          </w:tcPr>
          <w:p w:rsidR="001F5E5B" w:rsidRPr="00D16E8A" w:rsidRDefault="001F5E5B" w:rsidP="005F43BC">
            <w:pPr>
              <w:pStyle w:val="xl19"/>
              <w:tabs>
                <w:tab w:val="left" w:pos="1080"/>
              </w:tabs>
              <w:spacing w:before="100" w:beforeAutospacing="1" w:after="100" w:afterAutospacing="1"/>
              <w:jc w:val="center"/>
              <w:rPr>
                <w:sz w:val="20"/>
                <w:szCs w:val="20"/>
              </w:rPr>
            </w:pPr>
            <w:r w:rsidRPr="00D16E8A">
              <w:rPr>
                <w:sz w:val="20"/>
                <w:szCs w:val="20"/>
              </w:rPr>
              <w:t>N/A</w:t>
            </w:r>
          </w:p>
        </w:tc>
        <w:tc>
          <w:tcPr>
            <w:tcW w:w="1080" w:type="dxa"/>
            <w:vAlign w:val="center"/>
          </w:tcPr>
          <w:p w:rsidR="001F5E5B" w:rsidRPr="00D16E8A" w:rsidRDefault="001F5E5B" w:rsidP="005F43BC">
            <w:pPr>
              <w:pStyle w:val="xl19"/>
              <w:tabs>
                <w:tab w:val="left" w:pos="1080"/>
              </w:tabs>
              <w:spacing w:before="100" w:beforeAutospacing="1" w:after="100" w:afterAutospacing="1"/>
              <w:jc w:val="center"/>
              <w:rPr>
                <w:sz w:val="20"/>
                <w:szCs w:val="20"/>
              </w:rPr>
            </w:pPr>
            <w:r w:rsidRPr="00D16E8A">
              <w:rPr>
                <w:sz w:val="20"/>
                <w:szCs w:val="20"/>
              </w:rPr>
              <w:t>N/A</w:t>
            </w:r>
          </w:p>
        </w:tc>
        <w:tc>
          <w:tcPr>
            <w:tcW w:w="1080" w:type="dxa"/>
            <w:vAlign w:val="center"/>
          </w:tcPr>
          <w:p w:rsidR="001F5E5B" w:rsidRPr="00D16E8A" w:rsidRDefault="001F5E5B" w:rsidP="005F43BC">
            <w:pPr>
              <w:pStyle w:val="xl19"/>
              <w:tabs>
                <w:tab w:val="left" w:pos="1080"/>
              </w:tabs>
              <w:spacing w:before="100" w:beforeAutospacing="1" w:after="100" w:afterAutospacing="1"/>
              <w:jc w:val="center"/>
              <w:rPr>
                <w:sz w:val="20"/>
                <w:szCs w:val="20"/>
              </w:rPr>
            </w:pPr>
            <w:r w:rsidRPr="00D16E8A">
              <w:rPr>
                <w:sz w:val="20"/>
                <w:szCs w:val="20"/>
              </w:rPr>
              <w:t>N/A</w:t>
            </w:r>
          </w:p>
        </w:tc>
        <w:tc>
          <w:tcPr>
            <w:tcW w:w="1080" w:type="dxa"/>
            <w:vAlign w:val="center"/>
          </w:tcPr>
          <w:p w:rsidR="001F5E5B" w:rsidRPr="00D16E8A" w:rsidRDefault="001F5E5B" w:rsidP="005F43BC">
            <w:pPr>
              <w:pStyle w:val="xl19"/>
              <w:tabs>
                <w:tab w:val="left" w:pos="1080"/>
              </w:tabs>
              <w:spacing w:before="100" w:beforeAutospacing="1" w:after="100" w:afterAutospacing="1"/>
              <w:jc w:val="center"/>
              <w:rPr>
                <w:sz w:val="20"/>
                <w:szCs w:val="20"/>
              </w:rPr>
            </w:pPr>
            <w:r>
              <w:rPr>
                <w:sz w:val="20"/>
                <w:szCs w:val="20"/>
              </w:rPr>
              <w:t>98.6</w:t>
            </w:r>
          </w:p>
        </w:tc>
        <w:tc>
          <w:tcPr>
            <w:tcW w:w="1080" w:type="dxa"/>
            <w:vAlign w:val="center"/>
          </w:tcPr>
          <w:p w:rsidR="001F5E5B" w:rsidRPr="00D16E8A" w:rsidRDefault="001F5E5B" w:rsidP="005F43BC">
            <w:pPr>
              <w:pStyle w:val="xl19"/>
              <w:tabs>
                <w:tab w:val="left" w:pos="1080"/>
              </w:tabs>
              <w:spacing w:before="100" w:beforeAutospacing="1" w:after="100" w:afterAutospacing="1"/>
              <w:jc w:val="center"/>
              <w:rPr>
                <w:sz w:val="20"/>
                <w:szCs w:val="20"/>
              </w:rPr>
            </w:pPr>
            <w:r>
              <w:rPr>
                <w:sz w:val="20"/>
                <w:szCs w:val="20"/>
              </w:rPr>
              <w:t>100</w:t>
            </w:r>
          </w:p>
        </w:tc>
        <w:tc>
          <w:tcPr>
            <w:tcW w:w="1260" w:type="dxa"/>
            <w:shd w:val="clear" w:color="auto" w:fill="CCCCCC"/>
            <w:vAlign w:val="center"/>
          </w:tcPr>
          <w:p w:rsidR="001F5E5B" w:rsidRPr="008D071B" w:rsidRDefault="00C30E86" w:rsidP="005F43BC">
            <w:pPr>
              <w:pStyle w:val="xl19"/>
              <w:tabs>
                <w:tab w:val="left" w:pos="1080"/>
              </w:tabs>
              <w:spacing w:before="100" w:beforeAutospacing="1" w:after="100" w:afterAutospacing="1"/>
              <w:jc w:val="center"/>
              <w:rPr>
                <w:sz w:val="20"/>
                <w:szCs w:val="20"/>
              </w:rPr>
            </w:pPr>
            <w:r w:rsidRPr="008D071B">
              <w:rPr>
                <w:sz w:val="20"/>
                <w:szCs w:val="20"/>
              </w:rPr>
              <w:t>85.5</w:t>
            </w:r>
          </w:p>
        </w:tc>
        <w:tc>
          <w:tcPr>
            <w:tcW w:w="1080" w:type="dxa"/>
            <w:vAlign w:val="center"/>
          </w:tcPr>
          <w:p w:rsidR="001F5E5B" w:rsidRPr="00D16E8A" w:rsidRDefault="001F5E5B" w:rsidP="005F43BC">
            <w:pPr>
              <w:pStyle w:val="xl19"/>
              <w:tabs>
                <w:tab w:val="left" w:pos="1080"/>
              </w:tabs>
              <w:spacing w:before="100" w:beforeAutospacing="1" w:after="100" w:afterAutospacing="1"/>
              <w:jc w:val="center"/>
              <w:rPr>
                <w:sz w:val="20"/>
                <w:szCs w:val="20"/>
              </w:rPr>
            </w:pPr>
            <w:r>
              <w:rPr>
                <w:sz w:val="20"/>
                <w:szCs w:val="20"/>
              </w:rPr>
              <w:t>82</w:t>
            </w:r>
          </w:p>
        </w:tc>
        <w:tc>
          <w:tcPr>
            <w:tcW w:w="1518" w:type="dxa"/>
            <w:vAlign w:val="center"/>
          </w:tcPr>
          <w:p w:rsidR="001F5E5B" w:rsidRPr="00D16E8A" w:rsidRDefault="001F5E5B" w:rsidP="005F43BC">
            <w:pPr>
              <w:pStyle w:val="xl19"/>
              <w:tabs>
                <w:tab w:val="left" w:pos="1080"/>
              </w:tabs>
              <w:spacing w:before="100" w:beforeAutospacing="1" w:after="100" w:afterAutospacing="1"/>
              <w:jc w:val="center"/>
              <w:rPr>
                <w:sz w:val="20"/>
                <w:szCs w:val="20"/>
              </w:rPr>
            </w:pPr>
            <w:r>
              <w:rPr>
                <w:sz w:val="20"/>
                <w:szCs w:val="20"/>
              </w:rPr>
              <w:t>8</w:t>
            </w:r>
            <w:r w:rsidR="00581887">
              <w:rPr>
                <w:sz w:val="20"/>
                <w:szCs w:val="20"/>
              </w:rPr>
              <w:t>1</w:t>
            </w:r>
          </w:p>
        </w:tc>
      </w:tr>
    </w:tbl>
    <w:p w:rsidR="007A0000" w:rsidRDefault="001F5E5B" w:rsidP="00AD46F6">
      <w:pPr>
        <w:pStyle w:val="xl19"/>
        <w:tabs>
          <w:tab w:val="left" w:pos="1080"/>
        </w:tabs>
        <w:spacing w:before="100" w:beforeAutospacing="1" w:after="100" w:afterAutospacing="1"/>
        <w:sectPr w:rsidR="007A0000" w:rsidSect="007A0000">
          <w:pgSz w:w="15840" w:h="12240" w:orient="landscape" w:code="1"/>
          <w:pgMar w:top="1440" w:right="1440" w:bottom="1440" w:left="1440" w:header="720" w:footer="720" w:gutter="0"/>
          <w:cols w:space="720"/>
          <w:docGrid w:linePitch="360"/>
        </w:sectPr>
      </w:pPr>
      <w:r>
        <w:rPr>
          <w:b/>
          <w:sz w:val="18"/>
          <w:szCs w:val="18"/>
        </w:rPr>
        <w:t>Footnote:</w:t>
      </w:r>
      <w:r>
        <w:rPr>
          <w:sz w:val="18"/>
          <w:szCs w:val="18"/>
        </w:rPr>
        <w:t xml:space="preserve">  </w:t>
      </w:r>
      <w:r w:rsidRPr="00C43091">
        <w:rPr>
          <w:color w:val="000000"/>
          <w:sz w:val="16"/>
          <w:szCs w:val="16"/>
        </w:rPr>
        <w:t>ATF has established a benchmark for its performance index using FY 2010 actual performance data and resource levels.  The benchmark level is expressed as a performance index target of “100” in the FY 2011 Congressional Budget Request.  From this benchmark, ATF has determined the FY 2012 performance targets by estimating expecte</w:t>
      </w:r>
      <w:r>
        <w:rPr>
          <w:color w:val="000000"/>
          <w:sz w:val="16"/>
          <w:szCs w:val="16"/>
        </w:rPr>
        <w:t>d performance with the</w:t>
      </w:r>
      <w:r w:rsidRPr="00C43091">
        <w:rPr>
          <w:color w:val="000000"/>
          <w:sz w:val="16"/>
          <w:szCs w:val="16"/>
        </w:rPr>
        <w:t xml:space="preserve"> level of resources </w:t>
      </w:r>
      <w:r>
        <w:rPr>
          <w:color w:val="000000"/>
          <w:sz w:val="16"/>
          <w:szCs w:val="16"/>
        </w:rPr>
        <w:t>at</w:t>
      </w:r>
      <w:r w:rsidRPr="00C43091">
        <w:rPr>
          <w:color w:val="000000"/>
          <w:sz w:val="16"/>
          <w:szCs w:val="16"/>
        </w:rPr>
        <w:t xml:space="preserve"> the FY 2012 </w:t>
      </w:r>
      <w:r>
        <w:rPr>
          <w:color w:val="000000"/>
          <w:sz w:val="16"/>
          <w:szCs w:val="16"/>
        </w:rPr>
        <w:t>current rate.</w:t>
      </w:r>
      <w:r w:rsidRPr="00C43091">
        <w:rPr>
          <w:color w:val="000000"/>
          <w:sz w:val="16"/>
          <w:szCs w:val="16"/>
        </w:rPr>
        <w:t>  ATF’s FY 2012 performance targets represent the Bureau’s capability (relative to the FY 2010 benchmark level and within the resources requested) to impact strategic risk areas (Performance Goals/Outcome).  Using the underlying benchmarked proxy index indicators as a starting point, ATF is able to project anticipated mission performance, with results displayed at the performance goal index levels (Actuals).  Please refer to section 3.a. for a discussion of the Performance Plan and Report of Outcomes</w:t>
      </w:r>
      <w:r w:rsidR="009E6741" w:rsidRPr="008D071B">
        <w:t xml:space="preserve"> </w:t>
      </w:r>
    </w:p>
    <w:p w:rsidR="001F5E5B" w:rsidRPr="00762F09" w:rsidRDefault="0027121A" w:rsidP="007A0000">
      <w:pPr>
        <w:pStyle w:val="xl19"/>
        <w:tabs>
          <w:tab w:val="left" w:pos="1080"/>
        </w:tabs>
        <w:spacing w:before="100" w:beforeAutospacing="1" w:after="100" w:afterAutospacing="1"/>
        <w:rPr>
          <w:b/>
          <w:bCs/>
        </w:rPr>
      </w:pPr>
      <w:r>
        <w:rPr>
          <w:b/>
          <w:bCs/>
        </w:rPr>
        <w:t>3</w:t>
      </w:r>
      <w:r w:rsidR="001F5E5B" w:rsidRPr="00762F09">
        <w:rPr>
          <w:b/>
          <w:bCs/>
        </w:rPr>
        <w:t>.</w:t>
      </w:r>
      <w:r w:rsidR="00175423">
        <w:rPr>
          <w:b/>
          <w:bCs/>
        </w:rPr>
        <w:t xml:space="preserve"> </w:t>
      </w:r>
      <w:r w:rsidR="001F5E5B" w:rsidRPr="00762F09">
        <w:rPr>
          <w:b/>
          <w:bCs/>
        </w:rPr>
        <w:t xml:space="preserve"> Performance, Resources, and Strategies</w:t>
      </w:r>
      <w:r w:rsidR="001F5E5B">
        <w:rPr>
          <w:b/>
          <w:bCs/>
        </w:rPr>
        <w:t xml:space="preserve"> (Alcohol &amp; Tobacco)</w:t>
      </w:r>
    </w:p>
    <w:p w:rsidR="001F5E5B" w:rsidRDefault="001F5E5B" w:rsidP="001F5E5B">
      <w:pPr>
        <w:pStyle w:val="xl19"/>
        <w:tabs>
          <w:tab w:val="left" w:pos="1080"/>
        </w:tabs>
        <w:spacing w:before="100" w:beforeAutospacing="1" w:after="100" w:afterAutospacing="1"/>
        <w:rPr>
          <w:b/>
          <w:bCs/>
        </w:rPr>
      </w:pPr>
      <w:r w:rsidRPr="00762F09">
        <w:rPr>
          <w:b/>
          <w:bCs/>
        </w:rPr>
        <w:t>a. Performance Plan and Report for Outcomes</w:t>
      </w:r>
    </w:p>
    <w:p w:rsidR="00805E1C" w:rsidRPr="008D071B" w:rsidRDefault="009E6741" w:rsidP="001F5E5B">
      <w:pPr>
        <w:pStyle w:val="xl19"/>
        <w:tabs>
          <w:tab w:val="left" w:pos="1080"/>
        </w:tabs>
        <w:spacing w:before="100" w:beforeAutospacing="1" w:after="100" w:afterAutospacing="1"/>
      </w:pPr>
      <w:r w:rsidRPr="008D071B">
        <w:t>ATF’s alcohol and tobacco diversion program focuses on criminal enforcement on illegal activities that produce revenues for funding violent criminal and terrorist</w:t>
      </w:r>
      <w:r w:rsidRPr="008D071B">
        <w:rPr>
          <w:b/>
        </w:rPr>
        <w:t xml:space="preserve"> </w:t>
      </w:r>
      <w:r w:rsidRPr="008D071B">
        <w:t>enterprises.</w:t>
      </w:r>
      <w:r w:rsidR="006957A3" w:rsidRPr="008D071B">
        <w:t xml:space="preserve"> </w:t>
      </w:r>
      <w:r w:rsidRPr="008D071B">
        <w:t xml:space="preserve">ATF’s core mission focuses on interdiction and investigation of interstate commerce violations that result in tax revenue losses by preventing illicit alcohol and tobacco product trafficking from one state to another or across international borders. </w:t>
      </w:r>
    </w:p>
    <w:p w:rsidR="001F5E5B" w:rsidRPr="008D071B" w:rsidRDefault="001F5E5B" w:rsidP="001F5E5B">
      <w:pPr>
        <w:pStyle w:val="xl19"/>
        <w:tabs>
          <w:tab w:val="left" w:pos="1080"/>
        </w:tabs>
        <w:spacing w:before="100" w:beforeAutospacing="1" w:after="100" w:afterAutospacing="1"/>
        <w:rPr>
          <w:b/>
        </w:rPr>
      </w:pPr>
      <w:bookmarkStart w:id="51" w:name="_Toc224026888"/>
      <w:r w:rsidRPr="008D071B">
        <w:rPr>
          <w:b/>
        </w:rPr>
        <w:t>b. Strategies to Accomplish Outcomes</w:t>
      </w:r>
      <w:bookmarkEnd w:id="51"/>
    </w:p>
    <w:p w:rsidR="001F5E5B" w:rsidRPr="008D071B" w:rsidRDefault="009E6741" w:rsidP="001F5E5B">
      <w:pPr>
        <w:pStyle w:val="xl19"/>
        <w:tabs>
          <w:tab w:val="left" w:pos="1080"/>
        </w:tabs>
        <w:spacing w:before="100" w:beforeAutospacing="1" w:after="100" w:afterAutospacing="1"/>
      </w:pPr>
      <w:r w:rsidRPr="008D071B">
        <w:t xml:space="preserve">ATF investigates and dismantles schemes that divert alcohol and tobacco products from low tax jurisdictions to high tax jurisdictions and removes the proceeds of such activity from the hands of organized crime enterprises. </w:t>
      </w:r>
      <w:r w:rsidR="00A30A83" w:rsidRPr="008D071B">
        <w:t xml:space="preserve">The </w:t>
      </w:r>
      <w:r w:rsidR="00805E1C" w:rsidRPr="008D071B">
        <w:t xml:space="preserve">legal </w:t>
      </w:r>
      <w:r w:rsidR="00A30A83" w:rsidRPr="008D071B">
        <w:t>statutes</w:t>
      </w:r>
      <w:r w:rsidR="00805E1C" w:rsidRPr="008D071B">
        <w:t xml:space="preserve"> mandate </w:t>
      </w:r>
      <w:r w:rsidR="00A30A83" w:rsidRPr="008D071B">
        <w:t xml:space="preserve">ATF </w:t>
      </w:r>
      <w:r w:rsidR="00805E1C" w:rsidRPr="008D071B">
        <w:t xml:space="preserve">as the </w:t>
      </w:r>
      <w:r w:rsidRPr="008D071B">
        <w:t>primary Federal law enforcement agency in the investigation of the diversion of alcohol and tobacco products</w:t>
      </w:r>
      <w:r w:rsidR="00805E1C" w:rsidRPr="008D071B">
        <w:t xml:space="preserve"> in interstate commerce.</w:t>
      </w:r>
    </w:p>
    <w:p w:rsidR="001F5E5B" w:rsidRPr="007A0000" w:rsidRDefault="001F5E5B" w:rsidP="001F5E5B">
      <w:pPr>
        <w:pStyle w:val="xl19"/>
        <w:tabs>
          <w:tab w:val="left" w:pos="1080"/>
        </w:tabs>
        <w:spacing w:before="100" w:beforeAutospacing="1" w:after="100" w:afterAutospacing="1"/>
        <w:rPr>
          <w:b/>
        </w:rPr>
      </w:pPr>
      <w:r w:rsidRPr="007A0000">
        <w:rPr>
          <w:b/>
        </w:rPr>
        <w:t>Crosscutting Activities</w:t>
      </w:r>
    </w:p>
    <w:p w:rsidR="001F5E5B" w:rsidRDefault="001F5E5B" w:rsidP="001F5E5B">
      <w:pPr>
        <w:pStyle w:val="xl19"/>
        <w:tabs>
          <w:tab w:val="left" w:pos="1080"/>
        </w:tabs>
        <w:spacing w:before="100" w:beforeAutospacing="1" w:after="100" w:afterAutospacing="1"/>
      </w:pPr>
      <w:r w:rsidRPr="00D744D0">
        <w:t>ATF participates in multi-agency efforts such as the Framework Convention on Tobacco Control, the Federation of Tax Administrators, and the Canada/U.S. working group to address illicit alcohol diversion and contraband cigarette trafficking activity.  ATF fosters effective working relationships with alcohol and tobacco industry members as well as law enforcement partnerships with members of the international law enforcement community.</w:t>
      </w:r>
      <w:bookmarkStart w:id="52" w:name="_Toc224026889"/>
    </w:p>
    <w:p w:rsidR="003D01EB" w:rsidRDefault="003D01EB" w:rsidP="001F5E5B">
      <w:pPr>
        <w:pStyle w:val="xl19"/>
        <w:tabs>
          <w:tab w:val="left" w:pos="1080"/>
        </w:tabs>
        <w:spacing w:before="100" w:beforeAutospacing="1" w:after="100" w:afterAutospacing="1"/>
      </w:pPr>
    </w:p>
    <w:p w:rsidR="003D01EB" w:rsidRDefault="003D01EB" w:rsidP="001F5E5B">
      <w:pPr>
        <w:pStyle w:val="xl19"/>
        <w:tabs>
          <w:tab w:val="left" w:pos="1080"/>
        </w:tabs>
        <w:spacing w:before="100" w:beforeAutospacing="1" w:after="100" w:afterAutospacing="1"/>
      </w:pPr>
    </w:p>
    <w:p w:rsidR="003D01EB" w:rsidRDefault="003D01EB" w:rsidP="001F5E5B">
      <w:pPr>
        <w:pStyle w:val="xl19"/>
        <w:tabs>
          <w:tab w:val="left" w:pos="1080"/>
        </w:tabs>
        <w:spacing w:before="100" w:beforeAutospacing="1" w:after="100" w:afterAutospacing="1"/>
      </w:pPr>
    </w:p>
    <w:p w:rsidR="003D01EB" w:rsidRDefault="003D01EB" w:rsidP="001F5E5B">
      <w:pPr>
        <w:pStyle w:val="xl19"/>
        <w:tabs>
          <w:tab w:val="left" w:pos="1080"/>
        </w:tabs>
        <w:spacing w:before="100" w:beforeAutospacing="1" w:after="100" w:afterAutospacing="1"/>
      </w:pPr>
    </w:p>
    <w:p w:rsidR="003D01EB" w:rsidRDefault="003D01EB" w:rsidP="001F5E5B">
      <w:pPr>
        <w:pStyle w:val="xl19"/>
        <w:tabs>
          <w:tab w:val="left" w:pos="1080"/>
        </w:tabs>
        <w:spacing w:before="100" w:beforeAutospacing="1" w:after="100" w:afterAutospacing="1"/>
      </w:pPr>
    </w:p>
    <w:p w:rsidR="003D01EB" w:rsidRDefault="003D01EB" w:rsidP="001F5E5B">
      <w:pPr>
        <w:pStyle w:val="xl19"/>
        <w:tabs>
          <w:tab w:val="left" w:pos="1080"/>
        </w:tabs>
        <w:spacing w:before="100" w:beforeAutospacing="1" w:after="100" w:afterAutospacing="1"/>
      </w:pPr>
    </w:p>
    <w:p w:rsidR="003D01EB" w:rsidRDefault="003D01EB" w:rsidP="001F5E5B">
      <w:pPr>
        <w:pStyle w:val="xl19"/>
        <w:tabs>
          <w:tab w:val="left" w:pos="1080"/>
        </w:tabs>
        <w:spacing w:before="100" w:beforeAutospacing="1" w:after="100" w:afterAutospacing="1"/>
      </w:pPr>
    </w:p>
    <w:p w:rsidR="003D01EB" w:rsidRDefault="003D01EB" w:rsidP="001F5E5B">
      <w:pPr>
        <w:pStyle w:val="xl19"/>
        <w:tabs>
          <w:tab w:val="left" w:pos="1080"/>
        </w:tabs>
        <w:spacing w:before="100" w:beforeAutospacing="1" w:after="100" w:afterAutospacing="1"/>
      </w:pPr>
    </w:p>
    <w:p w:rsidR="003D01EB" w:rsidRDefault="003D01EB" w:rsidP="001F5E5B">
      <w:pPr>
        <w:pStyle w:val="xl19"/>
        <w:tabs>
          <w:tab w:val="left" w:pos="1080"/>
        </w:tabs>
        <w:spacing w:before="100" w:beforeAutospacing="1" w:after="100" w:afterAutospacing="1"/>
      </w:pPr>
    </w:p>
    <w:p w:rsidR="003D01EB" w:rsidRDefault="003D01EB" w:rsidP="001F5E5B">
      <w:pPr>
        <w:pStyle w:val="xl19"/>
        <w:tabs>
          <w:tab w:val="left" w:pos="1080"/>
        </w:tabs>
        <w:spacing w:before="100" w:beforeAutospacing="1" w:after="100" w:afterAutospacing="1"/>
      </w:pPr>
    </w:p>
    <w:p w:rsidR="00E23B77" w:rsidRDefault="00E23B77" w:rsidP="00E23B77">
      <w:pPr>
        <w:pStyle w:val="xl19"/>
        <w:tabs>
          <w:tab w:val="left" w:pos="3420"/>
          <w:tab w:val="right" w:pos="8640"/>
        </w:tabs>
        <w:rPr>
          <w:b/>
          <w:bCs/>
        </w:rPr>
      </w:pPr>
      <w:r>
        <w:rPr>
          <w:b/>
          <w:bCs/>
        </w:rPr>
        <w:t>Item Name:</w:t>
      </w:r>
      <w:r>
        <w:rPr>
          <w:b/>
          <w:bCs/>
        </w:rPr>
        <w:tab/>
        <w:t>Staffing, Administrative and Programmatic Efficiencies</w:t>
      </w:r>
      <w:r>
        <w:rPr>
          <w:b/>
          <w:bCs/>
        </w:rPr>
        <w:tab/>
      </w:r>
      <w:r>
        <w:rPr>
          <w:b/>
          <w:bCs/>
        </w:rPr>
        <w:tab/>
      </w:r>
    </w:p>
    <w:p w:rsidR="00E23B77" w:rsidRDefault="00E23B77" w:rsidP="00E23B77">
      <w:pPr>
        <w:pStyle w:val="xl19"/>
        <w:tabs>
          <w:tab w:val="left" w:pos="3420"/>
          <w:tab w:val="right" w:pos="8640"/>
        </w:tabs>
      </w:pPr>
    </w:p>
    <w:p w:rsidR="00E23B77" w:rsidRDefault="00E23B77" w:rsidP="00E23B77">
      <w:pPr>
        <w:pStyle w:val="xl19"/>
        <w:tabs>
          <w:tab w:val="left" w:pos="3420"/>
          <w:tab w:val="right" w:pos="8640"/>
        </w:tabs>
      </w:pPr>
      <w:r>
        <w:t xml:space="preserve">Budget Decision Unit(s): </w:t>
      </w:r>
      <w:r>
        <w:tab/>
        <w:t>Firearms, Arson &amp; Explosives, Alcohol &amp; Tobacco</w:t>
      </w:r>
    </w:p>
    <w:p w:rsidR="00E23B77" w:rsidRDefault="00E23B77" w:rsidP="00E23B77">
      <w:pPr>
        <w:pStyle w:val="xl19"/>
        <w:tabs>
          <w:tab w:val="left" w:pos="3420"/>
          <w:tab w:val="right" w:pos="8640"/>
        </w:tabs>
      </w:pPr>
      <w:r>
        <w:tab/>
      </w:r>
      <w:r>
        <w:rPr>
          <w:u w:val="single"/>
        </w:rPr>
        <w:t xml:space="preserve">                                                                                       </w:t>
      </w:r>
    </w:p>
    <w:p w:rsidR="00E23B77" w:rsidRDefault="00E23B77" w:rsidP="00E23B77">
      <w:pPr>
        <w:pStyle w:val="xl19"/>
        <w:tabs>
          <w:tab w:val="left" w:pos="3420"/>
          <w:tab w:val="right" w:pos="8640"/>
        </w:tabs>
      </w:pPr>
      <w:r>
        <w:t>Organizational Program:</w:t>
      </w:r>
      <w:r>
        <w:tab/>
        <w:t>Bureau-wide</w:t>
      </w:r>
    </w:p>
    <w:p w:rsidR="00E23B77" w:rsidRDefault="00E23B77" w:rsidP="00E23B77">
      <w:pPr>
        <w:pStyle w:val="xl19"/>
        <w:tabs>
          <w:tab w:val="left" w:pos="3420"/>
          <w:tab w:val="right" w:pos="4320"/>
        </w:tabs>
      </w:pPr>
    </w:p>
    <w:p w:rsidR="00E23B77" w:rsidRDefault="00E23B77" w:rsidP="00E23B77">
      <w:pPr>
        <w:pStyle w:val="xl19"/>
        <w:tabs>
          <w:tab w:val="left" w:pos="3420"/>
          <w:tab w:val="right" w:pos="4320"/>
        </w:tabs>
      </w:pPr>
      <w:r>
        <w:t xml:space="preserve">Component Ranking of Item: </w:t>
      </w:r>
      <w:r>
        <w:tab/>
        <w:t>2 of 2</w:t>
      </w:r>
      <w:r>
        <w:rPr>
          <w:u w:val="single"/>
        </w:rPr>
        <w:t xml:space="preserve">     </w:t>
      </w:r>
      <w:r>
        <w:t xml:space="preserve">  </w:t>
      </w:r>
    </w:p>
    <w:p w:rsidR="00E23B77" w:rsidRDefault="00E23B77" w:rsidP="00E23B77">
      <w:pPr>
        <w:pStyle w:val="xl19"/>
      </w:pPr>
    </w:p>
    <w:p w:rsidR="00E23B77" w:rsidRDefault="00E23B77" w:rsidP="00E23B77">
      <w:pPr>
        <w:pStyle w:val="xl19"/>
        <w:tabs>
          <w:tab w:val="left" w:pos="2340"/>
          <w:tab w:val="right" w:pos="3060"/>
          <w:tab w:val="left" w:pos="3600"/>
          <w:tab w:val="right" w:pos="4500"/>
          <w:tab w:val="left" w:pos="5310"/>
          <w:tab w:val="right" w:pos="6300"/>
        </w:tabs>
        <w:rPr>
          <w:u w:val="single"/>
        </w:rPr>
      </w:pPr>
      <w:r>
        <w:t>Program Reduction:  Positions _(</w:t>
      </w:r>
      <w:r>
        <w:rPr>
          <w:u w:val="single"/>
        </w:rPr>
        <w:t>164)_</w:t>
      </w:r>
      <w:r>
        <w:t xml:space="preserve"> Agt/Atty </w:t>
      </w:r>
      <w:r w:rsidRPr="00EB785E">
        <w:rPr>
          <w:u w:val="single"/>
        </w:rPr>
        <w:t>_(34)_</w:t>
      </w:r>
      <w:r>
        <w:t xml:space="preserve"> FTE _</w:t>
      </w:r>
      <w:r>
        <w:rPr>
          <w:u w:val="single"/>
        </w:rPr>
        <w:t>(164)_</w:t>
      </w:r>
      <w:r>
        <w:t xml:space="preserve"> Dollars _</w:t>
      </w:r>
      <w:r>
        <w:rPr>
          <w:u w:val="single"/>
        </w:rPr>
        <w:t>$24,799,000_</w:t>
      </w:r>
    </w:p>
    <w:p w:rsidR="00E23B77" w:rsidRDefault="00E23B77" w:rsidP="00E23B77">
      <w:pPr>
        <w:pStyle w:val="xl24"/>
        <w:rPr>
          <w:rFonts w:eastAsia="Times New Roman"/>
          <w:u w:val="single"/>
        </w:rPr>
      </w:pPr>
      <w:r w:rsidRPr="00EB785E">
        <w:rPr>
          <w:rFonts w:eastAsia="Times New Roman"/>
          <w:u w:val="single"/>
        </w:rPr>
        <w:t>Description of Item</w:t>
      </w:r>
      <w:r>
        <w:rPr>
          <w:rFonts w:eastAsia="Times New Roman"/>
          <w:u w:val="single"/>
        </w:rPr>
        <w:t xml:space="preserve">: </w:t>
      </w:r>
    </w:p>
    <w:p w:rsidR="00E23B77" w:rsidRPr="00345918" w:rsidRDefault="00E23B77" w:rsidP="00E23B77">
      <w:pPr>
        <w:pStyle w:val="xl24"/>
        <w:rPr>
          <w:rFonts w:eastAsia="Times New Roman"/>
        </w:rPr>
      </w:pPr>
      <w:r w:rsidRPr="00EB785E">
        <w:rPr>
          <w:rFonts w:eastAsia="Times New Roman"/>
        </w:rPr>
        <w:t>Savings identified as a result of the VERA/VSIP of 164 ATF employees in FY 2012.</w:t>
      </w:r>
    </w:p>
    <w:p w:rsidR="00E23B77" w:rsidRDefault="00E23B77" w:rsidP="00E23B77">
      <w:pPr>
        <w:pStyle w:val="BodyText2"/>
        <w:rPr>
          <w:rFonts w:ascii="Times New Roman" w:hAnsi="Times New Roman" w:cs="Times New Roman"/>
          <w:color w:val="auto"/>
          <w:u w:val="single"/>
        </w:rPr>
      </w:pPr>
      <w:r>
        <w:rPr>
          <w:rFonts w:ascii="Times New Roman" w:hAnsi="Times New Roman" w:cs="Times New Roman"/>
          <w:color w:val="auto"/>
          <w:u w:val="single"/>
        </w:rPr>
        <w:t>Summary Justification</w:t>
      </w:r>
    </w:p>
    <w:p w:rsidR="00E23B77" w:rsidRPr="00BE6A0B" w:rsidRDefault="00E23B77" w:rsidP="00E23B77">
      <w:pPr>
        <w:pStyle w:val="BodyText"/>
        <w:spacing w:before="100" w:beforeAutospacing="1" w:after="100" w:afterAutospacing="1"/>
      </w:pPr>
      <w:r>
        <w:t xml:space="preserve">In FY 2013, ATF will realize a payroll and benefit cost savings of approximately $24 million as a result of the payroll and benefits reductions from staffing reductions, including the FY 2012 VERA/VSIP action and hiring freeze, general administrative, program and contract reductions.   </w:t>
      </w:r>
    </w:p>
    <w:p w:rsidR="00E23B77" w:rsidRDefault="00E23B77" w:rsidP="00E23B77">
      <w:pPr>
        <w:rPr>
          <w:u w:val="single"/>
        </w:rPr>
      </w:pPr>
      <w:r>
        <w:rPr>
          <w:u w:val="single"/>
        </w:rPr>
        <w:t>Impact on Performance (Relationship of Decrease to Priority Goals)</w:t>
      </w:r>
    </w:p>
    <w:p w:rsidR="00E23B77" w:rsidRPr="00BE6A0B" w:rsidRDefault="00E23B77" w:rsidP="00E23B77">
      <w:pPr>
        <w:pStyle w:val="BodyText"/>
        <w:spacing w:before="100" w:beforeAutospacing="1" w:after="100" w:afterAutospacing="1"/>
      </w:pPr>
      <w:r>
        <w:t xml:space="preserve">The FY 2012 and FY 2013 cost efficiencies and savings realized, totaling $40.4 million allow programs critical to public safety and operational support to continue at current levels in FY 2013.   </w:t>
      </w:r>
    </w:p>
    <w:p w:rsidR="00E23B77" w:rsidRDefault="00E23B77" w:rsidP="00E23B77"/>
    <w:p w:rsidR="00E23B77" w:rsidRDefault="00E23B77" w:rsidP="00E23B77"/>
    <w:p w:rsidR="00E23B77" w:rsidRDefault="00E23B77" w:rsidP="00E23B77"/>
    <w:p w:rsidR="00E23B77" w:rsidRDefault="00E23B77" w:rsidP="00E23B77"/>
    <w:p w:rsidR="00E23B77" w:rsidRDefault="00E23B77" w:rsidP="00E23B77">
      <w:pPr>
        <w:rPr>
          <w:b/>
          <w:bCs/>
        </w:rPr>
      </w:pPr>
      <w:r>
        <w:rPr>
          <w:bCs/>
        </w:rPr>
        <w:br w:type="page"/>
      </w:r>
    </w:p>
    <w:p w:rsidR="00E23B77" w:rsidRDefault="00E23B77" w:rsidP="00E23B77">
      <w:pPr>
        <w:pStyle w:val="Heading1"/>
        <w:rPr>
          <w:rFonts w:ascii="Times New Roman" w:hAnsi="Times New Roman"/>
          <w:bCs/>
          <w:szCs w:val="24"/>
        </w:rPr>
      </w:pPr>
      <w:r>
        <w:rPr>
          <w:rFonts w:ascii="Times New Roman" w:hAnsi="Times New Roman"/>
          <w:bCs/>
          <w:szCs w:val="24"/>
        </w:rPr>
        <w:t>Funding</w:t>
      </w:r>
    </w:p>
    <w:p w:rsidR="00E23B77" w:rsidRDefault="00E23B77" w:rsidP="00E23B77">
      <w:pPr>
        <w:pStyle w:val="xl24"/>
        <w:rPr>
          <w:rFonts w:eastAsia="Times New Roman"/>
          <w:u w:val="single"/>
        </w:rPr>
      </w:pPr>
      <w:r>
        <w:rPr>
          <w:rFonts w:eastAsia="Times New Roman"/>
          <w:u w:val="single"/>
        </w:rPr>
        <w:t>Summary</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1"/>
        <w:gridCol w:w="683"/>
        <w:gridCol w:w="720"/>
        <w:gridCol w:w="1170"/>
        <w:gridCol w:w="603"/>
        <w:gridCol w:w="747"/>
        <w:gridCol w:w="720"/>
        <w:gridCol w:w="1170"/>
        <w:gridCol w:w="590"/>
        <w:gridCol w:w="672"/>
        <w:gridCol w:w="720"/>
        <w:gridCol w:w="1424"/>
      </w:tblGrid>
      <w:tr w:rsidR="00E23B77" w:rsidTr="00AD20AD">
        <w:tc>
          <w:tcPr>
            <w:tcW w:w="3166" w:type="dxa"/>
            <w:gridSpan w:val="4"/>
            <w:tcBorders>
              <w:top w:val="single" w:sz="4" w:space="0" w:color="auto"/>
              <w:left w:val="single" w:sz="4" w:space="0" w:color="auto"/>
              <w:bottom w:val="single" w:sz="4" w:space="0" w:color="auto"/>
              <w:right w:val="single" w:sz="4" w:space="0" w:color="auto"/>
            </w:tcBorders>
            <w:shd w:val="clear" w:color="auto" w:fill="E6E6E6"/>
            <w:hideMark/>
          </w:tcPr>
          <w:p w:rsidR="00E23B77" w:rsidRDefault="00E23B77" w:rsidP="00AD20AD">
            <w:pPr>
              <w:pStyle w:val="Heading7"/>
              <w:jc w:val="center"/>
              <w:rPr>
                <w:sz w:val="24"/>
                <w:szCs w:val="24"/>
              </w:rPr>
            </w:pPr>
            <w:r>
              <w:rPr>
                <w:sz w:val="24"/>
                <w:szCs w:val="24"/>
              </w:rPr>
              <w:t>FY 2011 Enacted (w/rescissions)</w:t>
            </w:r>
          </w:p>
        </w:tc>
        <w:tc>
          <w:tcPr>
            <w:tcW w:w="3240" w:type="dxa"/>
            <w:gridSpan w:val="4"/>
            <w:tcBorders>
              <w:top w:val="single" w:sz="4" w:space="0" w:color="auto"/>
              <w:left w:val="single" w:sz="4" w:space="0" w:color="auto"/>
              <w:bottom w:val="single" w:sz="4" w:space="0" w:color="auto"/>
              <w:right w:val="single" w:sz="4" w:space="0" w:color="auto"/>
            </w:tcBorders>
            <w:shd w:val="clear" w:color="auto" w:fill="E6E6E6"/>
            <w:hideMark/>
          </w:tcPr>
          <w:p w:rsidR="00E23B77" w:rsidRDefault="00E23B77" w:rsidP="00AD20AD">
            <w:pPr>
              <w:pStyle w:val="Heading7"/>
              <w:jc w:val="center"/>
              <w:rPr>
                <w:sz w:val="24"/>
                <w:szCs w:val="24"/>
              </w:rPr>
            </w:pPr>
            <w:r>
              <w:rPr>
                <w:sz w:val="24"/>
                <w:szCs w:val="24"/>
              </w:rPr>
              <w:t>FY 2012 Enacted</w:t>
            </w:r>
          </w:p>
        </w:tc>
        <w:tc>
          <w:tcPr>
            <w:tcW w:w="3404" w:type="dxa"/>
            <w:gridSpan w:val="4"/>
            <w:tcBorders>
              <w:top w:val="single" w:sz="4" w:space="0" w:color="auto"/>
              <w:left w:val="single" w:sz="4" w:space="0" w:color="auto"/>
              <w:bottom w:val="single" w:sz="4" w:space="0" w:color="auto"/>
              <w:right w:val="single" w:sz="4" w:space="0" w:color="auto"/>
            </w:tcBorders>
            <w:shd w:val="clear" w:color="auto" w:fill="E6E6E6"/>
            <w:hideMark/>
          </w:tcPr>
          <w:p w:rsidR="00E23B77" w:rsidRDefault="00E23B77" w:rsidP="00AD20AD">
            <w:pPr>
              <w:pStyle w:val="Heading7"/>
              <w:rPr>
                <w:sz w:val="24"/>
                <w:szCs w:val="24"/>
              </w:rPr>
            </w:pPr>
            <w:r>
              <w:rPr>
                <w:sz w:val="24"/>
                <w:szCs w:val="24"/>
              </w:rPr>
              <w:t>FY 2013 Current Services</w:t>
            </w:r>
          </w:p>
        </w:tc>
      </w:tr>
      <w:tr w:rsidR="00E23B77" w:rsidTr="00AD20AD">
        <w:tc>
          <w:tcPr>
            <w:tcW w:w="592"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center"/>
              <w:rPr>
                <w:rFonts w:eastAsia="Times New Roman"/>
              </w:rPr>
            </w:pPr>
            <w:r>
              <w:rPr>
                <w:rFonts w:eastAsia="Times New Roman"/>
              </w:rPr>
              <w:t>Pos</w:t>
            </w:r>
          </w:p>
        </w:tc>
        <w:tc>
          <w:tcPr>
            <w:tcW w:w="684"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center"/>
              <w:rPr>
                <w:rFonts w:eastAsia="Times New Roman"/>
              </w:rPr>
            </w:pPr>
            <w:r>
              <w:rPr>
                <w:rFonts w:eastAsia="Times New Roman"/>
              </w:rPr>
              <w:t>Agt/Atty</w:t>
            </w:r>
          </w:p>
        </w:tc>
        <w:tc>
          <w:tcPr>
            <w:tcW w:w="720"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center"/>
              <w:rPr>
                <w:rFonts w:eastAsia="Times New Roman"/>
              </w:rPr>
            </w:pPr>
            <w:r>
              <w:rPr>
                <w:rFonts w:eastAsia="Times New Roman"/>
              </w:rPr>
              <w:t>FTE</w:t>
            </w:r>
          </w:p>
        </w:tc>
        <w:tc>
          <w:tcPr>
            <w:tcW w:w="1170"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center"/>
              <w:rPr>
                <w:rFonts w:eastAsia="Times New Roman"/>
              </w:rPr>
            </w:pPr>
            <w:r>
              <w:rPr>
                <w:rFonts w:eastAsia="Times New Roman"/>
              </w:rPr>
              <w:t>$(000)</w:t>
            </w:r>
          </w:p>
        </w:tc>
        <w:tc>
          <w:tcPr>
            <w:tcW w:w="603"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center"/>
              <w:rPr>
                <w:rFonts w:eastAsia="Times New Roman"/>
              </w:rPr>
            </w:pPr>
            <w:r>
              <w:rPr>
                <w:rFonts w:eastAsia="Times New Roman"/>
              </w:rPr>
              <w:t>Pos</w:t>
            </w:r>
          </w:p>
        </w:tc>
        <w:tc>
          <w:tcPr>
            <w:tcW w:w="747"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center"/>
              <w:rPr>
                <w:rFonts w:eastAsia="Times New Roman"/>
              </w:rPr>
            </w:pPr>
            <w:r>
              <w:rPr>
                <w:rFonts w:eastAsia="Times New Roman"/>
              </w:rPr>
              <w:t>Agt/Atty</w:t>
            </w:r>
          </w:p>
        </w:tc>
        <w:tc>
          <w:tcPr>
            <w:tcW w:w="720"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center"/>
              <w:rPr>
                <w:rFonts w:eastAsia="Times New Roman"/>
              </w:rPr>
            </w:pPr>
            <w:r>
              <w:rPr>
                <w:rFonts w:eastAsia="Times New Roman"/>
              </w:rPr>
              <w:t>FTE</w:t>
            </w:r>
          </w:p>
        </w:tc>
        <w:tc>
          <w:tcPr>
            <w:tcW w:w="1170"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center"/>
              <w:rPr>
                <w:rFonts w:eastAsia="Times New Roman"/>
              </w:rPr>
            </w:pPr>
            <w:r>
              <w:rPr>
                <w:rFonts w:eastAsia="Times New Roman"/>
              </w:rPr>
              <w:t>$(000)</w:t>
            </w:r>
          </w:p>
        </w:tc>
        <w:tc>
          <w:tcPr>
            <w:tcW w:w="590"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center"/>
              <w:rPr>
                <w:rFonts w:eastAsia="Times New Roman"/>
              </w:rPr>
            </w:pPr>
            <w:r>
              <w:rPr>
                <w:rFonts w:eastAsia="Times New Roman"/>
              </w:rPr>
              <w:t>Pos</w:t>
            </w:r>
          </w:p>
        </w:tc>
        <w:tc>
          <w:tcPr>
            <w:tcW w:w="670"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center"/>
              <w:rPr>
                <w:rFonts w:eastAsia="Times New Roman"/>
              </w:rPr>
            </w:pPr>
            <w:r>
              <w:rPr>
                <w:rFonts w:eastAsia="Times New Roman"/>
              </w:rPr>
              <w:t>Agt/Atty</w:t>
            </w:r>
          </w:p>
        </w:tc>
        <w:tc>
          <w:tcPr>
            <w:tcW w:w="720"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center"/>
              <w:rPr>
                <w:rFonts w:eastAsia="Times New Roman"/>
              </w:rPr>
            </w:pPr>
            <w:r>
              <w:rPr>
                <w:rFonts w:eastAsia="Times New Roman"/>
              </w:rPr>
              <w:t>FTE</w:t>
            </w:r>
          </w:p>
        </w:tc>
        <w:tc>
          <w:tcPr>
            <w:tcW w:w="1424"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center"/>
              <w:rPr>
                <w:rFonts w:eastAsia="Times New Roman"/>
              </w:rPr>
            </w:pPr>
            <w:r>
              <w:rPr>
                <w:rFonts w:eastAsia="Times New Roman"/>
              </w:rPr>
              <w:t>$(000)</w:t>
            </w:r>
          </w:p>
        </w:tc>
      </w:tr>
      <w:tr w:rsidR="00E23B77" w:rsidTr="00AD20AD">
        <w:tc>
          <w:tcPr>
            <w:tcW w:w="592"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right"/>
              <w:rPr>
                <w:rFonts w:eastAsia="Times New Roman"/>
              </w:rPr>
            </w:pPr>
            <w:r>
              <w:rPr>
                <w:rFonts w:eastAsia="Times New Roman"/>
              </w:rPr>
              <w:t>0</w:t>
            </w:r>
          </w:p>
        </w:tc>
        <w:tc>
          <w:tcPr>
            <w:tcW w:w="684"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right"/>
              <w:rPr>
                <w:rFonts w:eastAsia="Times New Roman"/>
              </w:rPr>
            </w:pPr>
            <w:r>
              <w:rPr>
                <w:rFonts w:eastAsia="Times New Roman"/>
              </w:rPr>
              <w:t>0</w:t>
            </w:r>
          </w:p>
        </w:tc>
        <w:tc>
          <w:tcPr>
            <w:tcW w:w="720"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right"/>
              <w:rPr>
                <w:rFonts w:eastAsia="Times New Roman"/>
              </w:rPr>
            </w:pPr>
            <w:r>
              <w:rPr>
                <w:rFonts w:eastAsia="Times New Roman"/>
              </w:rPr>
              <w:t>0</w:t>
            </w:r>
          </w:p>
        </w:tc>
        <w:tc>
          <w:tcPr>
            <w:tcW w:w="1170" w:type="dxa"/>
            <w:tcBorders>
              <w:top w:val="single" w:sz="4" w:space="0" w:color="auto"/>
              <w:left w:val="single" w:sz="4" w:space="0" w:color="auto"/>
              <w:bottom w:val="single" w:sz="4" w:space="0" w:color="auto"/>
              <w:right w:val="single" w:sz="4" w:space="0" w:color="auto"/>
            </w:tcBorders>
            <w:hideMark/>
          </w:tcPr>
          <w:p w:rsidR="00E23B77" w:rsidRDefault="00E23B77" w:rsidP="00AD20AD">
            <w:pPr>
              <w:rPr>
                <w:rFonts w:asciiTheme="minorHAnsi" w:eastAsiaTheme="minorEastAsia" w:hAnsiTheme="minorHAnsi" w:cstheme="minorBidi"/>
                <w:sz w:val="22"/>
                <w:szCs w:val="22"/>
              </w:rPr>
            </w:pPr>
          </w:p>
        </w:tc>
        <w:tc>
          <w:tcPr>
            <w:tcW w:w="603"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right"/>
              <w:rPr>
                <w:rFonts w:eastAsia="Times New Roman"/>
              </w:rPr>
            </w:pPr>
            <w:r>
              <w:rPr>
                <w:rFonts w:eastAsia="Times New Roman"/>
              </w:rPr>
              <w:t>0</w:t>
            </w:r>
          </w:p>
        </w:tc>
        <w:tc>
          <w:tcPr>
            <w:tcW w:w="747"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right"/>
              <w:rPr>
                <w:rFonts w:eastAsia="Times New Roman"/>
              </w:rPr>
            </w:pPr>
            <w:r>
              <w:rPr>
                <w:rFonts w:eastAsia="Times New Roman"/>
              </w:rPr>
              <w:t>0</w:t>
            </w:r>
          </w:p>
        </w:tc>
        <w:tc>
          <w:tcPr>
            <w:tcW w:w="720"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right"/>
              <w:rPr>
                <w:rFonts w:eastAsia="Times New Roman"/>
              </w:rPr>
            </w:pPr>
            <w:r>
              <w:rPr>
                <w:rFonts w:eastAsia="Times New Roman"/>
              </w:rPr>
              <w:t>0</w:t>
            </w:r>
          </w:p>
        </w:tc>
        <w:tc>
          <w:tcPr>
            <w:tcW w:w="1170" w:type="dxa"/>
            <w:tcBorders>
              <w:top w:val="single" w:sz="4" w:space="0" w:color="auto"/>
              <w:left w:val="single" w:sz="4" w:space="0" w:color="auto"/>
              <w:bottom w:val="single" w:sz="4" w:space="0" w:color="auto"/>
              <w:right w:val="single" w:sz="4" w:space="0" w:color="auto"/>
            </w:tcBorders>
            <w:hideMark/>
          </w:tcPr>
          <w:p w:rsidR="00E23B77" w:rsidRDefault="00E23B77" w:rsidP="00AD20AD">
            <w:pPr>
              <w:rPr>
                <w:rFonts w:asciiTheme="minorHAnsi" w:eastAsiaTheme="minorEastAsia" w:hAnsiTheme="minorHAnsi" w:cstheme="minorBidi"/>
                <w:sz w:val="22"/>
                <w:szCs w:val="22"/>
              </w:rPr>
            </w:pPr>
          </w:p>
        </w:tc>
        <w:tc>
          <w:tcPr>
            <w:tcW w:w="590"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right"/>
              <w:rPr>
                <w:rFonts w:eastAsia="Times New Roman"/>
              </w:rPr>
            </w:pPr>
            <w:r>
              <w:rPr>
                <w:rFonts w:eastAsia="Times New Roman"/>
              </w:rPr>
              <w:t>0</w:t>
            </w:r>
          </w:p>
        </w:tc>
        <w:tc>
          <w:tcPr>
            <w:tcW w:w="672"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right"/>
              <w:rPr>
                <w:rFonts w:eastAsia="Times New Roman"/>
              </w:rPr>
            </w:pPr>
            <w:r>
              <w:rPr>
                <w:rFonts w:eastAsia="Times New Roman"/>
              </w:rPr>
              <w:t>0</w:t>
            </w:r>
          </w:p>
        </w:tc>
        <w:tc>
          <w:tcPr>
            <w:tcW w:w="718" w:type="dxa"/>
            <w:tcBorders>
              <w:top w:val="single" w:sz="4" w:space="0" w:color="auto"/>
              <w:left w:val="single" w:sz="4" w:space="0" w:color="auto"/>
              <w:bottom w:val="single" w:sz="4" w:space="0" w:color="auto"/>
              <w:right w:val="single" w:sz="4" w:space="0" w:color="auto"/>
            </w:tcBorders>
            <w:hideMark/>
          </w:tcPr>
          <w:p w:rsidR="00E23B77" w:rsidRDefault="00E23B77" w:rsidP="00AD20AD">
            <w:pPr>
              <w:pStyle w:val="xl24"/>
              <w:jc w:val="right"/>
              <w:rPr>
                <w:rFonts w:eastAsia="Times New Roman"/>
              </w:rPr>
            </w:pPr>
            <w:r>
              <w:rPr>
                <w:rFonts w:eastAsia="Times New Roman"/>
              </w:rPr>
              <w:t>0</w:t>
            </w:r>
          </w:p>
        </w:tc>
        <w:tc>
          <w:tcPr>
            <w:tcW w:w="1424" w:type="dxa"/>
            <w:tcBorders>
              <w:top w:val="single" w:sz="4" w:space="0" w:color="auto"/>
              <w:left w:val="single" w:sz="4" w:space="0" w:color="auto"/>
              <w:bottom w:val="single" w:sz="4" w:space="0" w:color="auto"/>
              <w:right w:val="single" w:sz="4" w:space="0" w:color="auto"/>
            </w:tcBorders>
            <w:hideMark/>
          </w:tcPr>
          <w:p w:rsidR="00E23B77" w:rsidRDefault="00E23B77" w:rsidP="00AD20AD">
            <w:pPr>
              <w:rPr>
                <w:rFonts w:asciiTheme="minorHAnsi" w:eastAsiaTheme="minorEastAsia" w:hAnsiTheme="minorHAnsi" w:cstheme="minorBidi"/>
                <w:sz w:val="22"/>
                <w:szCs w:val="22"/>
              </w:rPr>
            </w:pPr>
          </w:p>
        </w:tc>
      </w:tr>
    </w:tbl>
    <w:p w:rsidR="00E23B77" w:rsidRDefault="00E23B77" w:rsidP="00E23B77">
      <w:pPr>
        <w:pStyle w:val="BodyText"/>
        <w:rPr>
          <w:szCs w:val="24"/>
          <w:u w:val="single"/>
        </w:rPr>
      </w:pPr>
    </w:p>
    <w:p w:rsidR="00E23B77" w:rsidRDefault="00E23B77" w:rsidP="00E23B77">
      <w:pPr>
        <w:pStyle w:val="BodyText"/>
        <w:rPr>
          <w:szCs w:val="24"/>
        </w:rPr>
      </w:pPr>
      <w:r>
        <w:rPr>
          <w:szCs w:val="24"/>
          <w:u w:val="single"/>
        </w:rPr>
        <w:t>Personnel Reduction Cost Summary</w:t>
      </w:r>
    </w:p>
    <w:p w:rsidR="00E23B77" w:rsidRDefault="00E23B77" w:rsidP="00E23B77">
      <w:pPr>
        <w:pStyle w:val="BodyText"/>
        <w:rPr>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1"/>
        <w:gridCol w:w="1377"/>
        <w:gridCol w:w="1391"/>
        <w:gridCol w:w="1459"/>
        <w:gridCol w:w="1980"/>
        <w:gridCol w:w="1890"/>
      </w:tblGrid>
      <w:tr w:rsidR="00E23B77" w:rsidTr="00AD20AD">
        <w:tc>
          <w:tcPr>
            <w:tcW w:w="191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23B77" w:rsidRDefault="00E23B77" w:rsidP="00AD20AD">
            <w:pPr>
              <w:jc w:val="center"/>
            </w:pPr>
            <w:r>
              <w:t>Type of Position</w:t>
            </w:r>
          </w:p>
        </w:tc>
        <w:tc>
          <w:tcPr>
            <w:tcW w:w="1377"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center"/>
            </w:pPr>
            <w:r>
              <w:t>Modular Cost</w:t>
            </w:r>
          </w:p>
          <w:p w:rsidR="00E23B77" w:rsidRDefault="00E23B77" w:rsidP="00AD20AD">
            <w:pPr>
              <w:jc w:val="center"/>
            </w:pPr>
            <w:r>
              <w:t>per Position</w:t>
            </w:r>
          </w:p>
          <w:p w:rsidR="00E23B77" w:rsidRDefault="00E23B77" w:rsidP="00AD20AD">
            <w:pPr>
              <w:jc w:val="center"/>
            </w:pPr>
            <w:r>
              <w:t>($000)</w:t>
            </w:r>
          </w:p>
        </w:tc>
        <w:tc>
          <w:tcPr>
            <w:tcW w:w="1391"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center"/>
            </w:pPr>
            <w:r>
              <w:t>Number of</w:t>
            </w:r>
          </w:p>
          <w:p w:rsidR="00E23B77" w:rsidRDefault="00E23B77" w:rsidP="00AD20AD">
            <w:pPr>
              <w:jc w:val="center"/>
            </w:pPr>
            <w:r>
              <w:t>Positions</w:t>
            </w:r>
          </w:p>
          <w:p w:rsidR="00E23B77" w:rsidRDefault="00E23B77" w:rsidP="00AD20AD">
            <w:pPr>
              <w:jc w:val="center"/>
            </w:pPr>
            <w:r>
              <w:t>Reduced</w:t>
            </w:r>
          </w:p>
        </w:tc>
        <w:tc>
          <w:tcPr>
            <w:tcW w:w="1459"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center"/>
            </w:pPr>
            <w:r>
              <w:t>FY 2013</w:t>
            </w:r>
          </w:p>
          <w:p w:rsidR="00E23B77" w:rsidRDefault="00E23B77" w:rsidP="00AD20AD">
            <w:pPr>
              <w:jc w:val="center"/>
            </w:pPr>
            <w:r>
              <w:t>Request</w:t>
            </w:r>
          </w:p>
          <w:p w:rsidR="00E23B77" w:rsidRDefault="00E23B77" w:rsidP="00AD20AD">
            <w:pPr>
              <w:jc w:val="center"/>
            </w:pPr>
            <w:r>
              <w:t>($000)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center"/>
            </w:pPr>
            <w:r>
              <w:t>FY 2014 Net</w:t>
            </w:r>
          </w:p>
          <w:p w:rsidR="00E23B77" w:rsidRDefault="00E23B77" w:rsidP="00AD20AD">
            <w:pPr>
              <w:jc w:val="center"/>
            </w:pPr>
            <w:r>
              <w:t>Annualization (change from 2012) ($000)</w:t>
            </w:r>
          </w:p>
        </w:tc>
        <w:tc>
          <w:tcPr>
            <w:tcW w:w="1890" w:type="dxa"/>
            <w:tcBorders>
              <w:top w:val="single" w:sz="4" w:space="0" w:color="auto"/>
              <w:left w:val="single" w:sz="4" w:space="0" w:color="auto"/>
              <w:bottom w:val="single" w:sz="4" w:space="0" w:color="auto"/>
              <w:right w:val="single" w:sz="4" w:space="0" w:color="auto"/>
            </w:tcBorders>
            <w:hideMark/>
          </w:tcPr>
          <w:p w:rsidR="00E23B77" w:rsidRDefault="00E23B77" w:rsidP="00AD20AD">
            <w:pPr>
              <w:jc w:val="center"/>
            </w:pPr>
            <w:r>
              <w:t>FY 2015 Net</w:t>
            </w:r>
          </w:p>
          <w:p w:rsidR="00E23B77" w:rsidRDefault="00E23B77" w:rsidP="00AD20AD">
            <w:pPr>
              <w:jc w:val="center"/>
            </w:pPr>
            <w:r>
              <w:t>Annualization (change from 2013) ($000)</w:t>
            </w:r>
          </w:p>
        </w:tc>
      </w:tr>
      <w:tr w:rsidR="00E23B77" w:rsidTr="00AD20AD">
        <w:tc>
          <w:tcPr>
            <w:tcW w:w="1911" w:type="dxa"/>
            <w:tcBorders>
              <w:top w:val="single" w:sz="4" w:space="0" w:color="auto"/>
              <w:left w:val="single" w:sz="4" w:space="0" w:color="auto"/>
              <w:bottom w:val="single" w:sz="4" w:space="0" w:color="auto"/>
              <w:right w:val="single" w:sz="4" w:space="0" w:color="auto"/>
            </w:tcBorders>
          </w:tcPr>
          <w:p w:rsidR="00E23B77" w:rsidRDefault="00E23B77" w:rsidP="00AD20AD">
            <w:r>
              <w:t>Agent</w:t>
            </w:r>
          </w:p>
        </w:tc>
        <w:tc>
          <w:tcPr>
            <w:tcW w:w="1377"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p>
        </w:tc>
        <w:tc>
          <w:tcPr>
            <w:tcW w:w="1391"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r>
              <w:t>(34)</w:t>
            </w:r>
          </w:p>
        </w:tc>
        <w:tc>
          <w:tcPr>
            <w:tcW w:w="1459"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r>
              <w:t>(6,900)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r>
              <w:t>0</w:t>
            </w:r>
          </w:p>
        </w:tc>
        <w:tc>
          <w:tcPr>
            <w:tcW w:w="1890" w:type="dxa"/>
            <w:tcBorders>
              <w:top w:val="single" w:sz="4" w:space="0" w:color="auto"/>
              <w:left w:val="single" w:sz="4" w:space="0" w:color="auto"/>
              <w:bottom w:val="single" w:sz="4" w:space="0" w:color="auto"/>
              <w:right w:val="single" w:sz="4" w:space="0" w:color="auto"/>
            </w:tcBorders>
            <w:hideMark/>
          </w:tcPr>
          <w:p w:rsidR="00E23B77" w:rsidRDefault="00E23B77" w:rsidP="00AD20AD">
            <w:pPr>
              <w:jc w:val="right"/>
            </w:pPr>
            <w:r>
              <w:t>0</w:t>
            </w:r>
          </w:p>
        </w:tc>
      </w:tr>
      <w:tr w:rsidR="00E23B77" w:rsidTr="00AD20AD">
        <w:tc>
          <w:tcPr>
            <w:tcW w:w="1911" w:type="dxa"/>
            <w:tcBorders>
              <w:top w:val="single" w:sz="4" w:space="0" w:color="auto"/>
              <w:left w:val="single" w:sz="4" w:space="0" w:color="auto"/>
              <w:bottom w:val="single" w:sz="4" w:space="0" w:color="auto"/>
              <w:right w:val="single" w:sz="4" w:space="0" w:color="auto"/>
            </w:tcBorders>
          </w:tcPr>
          <w:p w:rsidR="00E23B77" w:rsidRDefault="00E23B77" w:rsidP="00AD20AD">
            <w:r>
              <w:t>IOI</w:t>
            </w:r>
          </w:p>
        </w:tc>
        <w:tc>
          <w:tcPr>
            <w:tcW w:w="1377"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p>
        </w:tc>
        <w:tc>
          <w:tcPr>
            <w:tcW w:w="1391"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r>
              <w:t>(37)</w:t>
            </w:r>
          </w:p>
        </w:tc>
        <w:tc>
          <w:tcPr>
            <w:tcW w:w="1459"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r>
              <w:t>(4,900)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p>
        </w:tc>
        <w:tc>
          <w:tcPr>
            <w:tcW w:w="1890" w:type="dxa"/>
            <w:tcBorders>
              <w:top w:val="single" w:sz="4" w:space="0" w:color="auto"/>
              <w:left w:val="single" w:sz="4" w:space="0" w:color="auto"/>
              <w:bottom w:val="single" w:sz="4" w:space="0" w:color="auto"/>
              <w:right w:val="single" w:sz="4" w:space="0" w:color="auto"/>
            </w:tcBorders>
            <w:hideMark/>
          </w:tcPr>
          <w:p w:rsidR="00E23B77" w:rsidRDefault="00E23B77" w:rsidP="00AD20AD">
            <w:pPr>
              <w:jc w:val="right"/>
            </w:pPr>
          </w:p>
        </w:tc>
      </w:tr>
      <w:tr w:rsidR="00E23B77" w:rsidTr="00AD20AD">
        <w:tc>
          <w:tcPr>
            <w:tcW w:w="1911" w:type="dxa"/>
            <w:tcBorders>
              <w:top w:val="single" w:sz="4" w:space="0" w:color="auto"/>
              <w:left w:val="single" w:sz="4" w:space="0" w:color="auto"/>
              <w:bottom w:val="single" w:sz="4" w:space="0" w:color="auto"/>
              <w:right w:val="single" w:sz="4" w:space="0" w:color="auto"/>
            </w:tcBorders>
          </w:tcPr>
          <w:p w:rsidR="00E23B77" w:rsidRDefault="00E23B77" w:rsidP="00AD20AD">
            <w:r>
              <w:t>Tech/Prof/Admin</w:t>
            </w:r>
          </w:p>
        </w:tc>
        <w:tc>
          <w:tcPr>
            <w:tcW w:w="1377"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p>
        </w:tc>
        <w:tc>
          <w:tcPr>
            <w:tcW w:w="1391"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r>
              <w:t>(93)</w:t>
            </w:r>
          </w:p>
        </w:tc>
        <w:tc>
          <w:tcPr>
            <w:tcW w:w="1459"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r>
              <w:t>(9,900)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p>
        </w:tc>
        <w:tc>
          <w:tcPr>
            <w:tcW w:w="1890" w:type="dxa"/>
            <w:tcBorders>
              <w:top w:val="single" w:sz="4" w:space="0" w:color="auto"/>
              <w:left w:val="single" w:sz="4" w:space="0" w:color="auto"/>
              <w:bottom w:val="single" w:sz="4" w:space="0" w:color="auto"/>
              <w:right w:val="single" w:sz="4" w:space="0" w:color="auto"/>
            </w:tcBorders>
            <w:hideMark/>
          </w:tcPr>
          <w:p w:rsidR="00E23B77" w:rsidRDefault="00E23B77" w:rsidP="00AD20AD">
            <w:pPr>
              <w:jc w:val="right"/>
            </w:pPr>
          </w:p>
        </w:tc>
      </w:tr>
      <w:tr w:rsidR="00E23B77" w:rsidTr="00AD20AD">
        <w:tc>
          <w:tcPr>
            <w:tcW w:w="1911" w:type="dxa"/>
            <w:tcBorders>
              <w:top w:val="single" w:sz="4" w:space="0" w:color="auto"/>
              <w:left w:val="single" w:sz="4" w:space="0" w:color="auto"/>
              <w:bottom w:val="single" w:sz="4" w:space="0" w:color="auto"/>
              <w:right w:val="single" w:sz="4" w:space="0" w:color="auto"/>
            </w:tcBorders>
            <w:hideMark/>
          </w:tcPr>
          <w:p w:rsidR="00E23B77" w:rsidRDefault="00E23B77" w:rsidP="00AD20AD">
            <w:r>
              <w:t>Total Personnel</w:t>
            </w:r>
          </w:p>
        </w:tc>
        <w:tc>
          <w:tcPr>
            <w:tcW w:w="1377"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p>
        </w:tc>
        <w:tc>
          <w:tcPr>
            <w:tcW w:w="1391"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r>
              <w:t>(164)</w:t>
            </w:r>
          </w:p>
        </w:tc>
        <w:tc>
          <w:tcPr>
            <w:tcW w:w="1459"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r>
              <w:t>(21,700)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right"/>
            </w:pPr>
            <w:r>
              <w:t>0</w:t>
            </w:r>
          </w:p>
        </w:tc>
        <w:tc>
          <w:tcPr>
            <w:tcW w:w="1890" w:type="dxa"/>
            <w:tcBorders>
              <w:top w:val="single" w:sz="4" w:space="0" w:color="auto"/>
              <w:left w:val="single" w:sz="4" w:space="0" w:color="auto"/>
              <w:bottom w:val="single" w:sz="4" w:space="0" w:color="auto"/>
              <w:right w:val="single" w:sz="4" w:space="0" w:color="auto"/>
            </w:tcBorders>
            <w:hideMark/>
          </w:tcPr>
          <w:p w:rsidR="00E23B77" w:rsidRDefault="00E23B77" w:rsidP="00AD20AD">
            <w:pPr>
              <w:jc w:val="right"/>
            </w:pPr>
            <w:r>
              <w:t>0</w:t>
            </w:r>
          </w:p>
        </w:tc>
      </w:tr>
    </w:tbl>
    <w:p w:rsidR="00E23B77" w:rsidRPr="00422F4B" w:rsidRDefault="00E23B77" w:rsidP="00E23B77">
      <w:pPr>
        <w:pStyle w:val="xl24"/>
        <w:rPr>
          <w:rFonts w:eastAsia="Times New Roman"/>
          <w:u w:val="single"/>
        </w:rPr>
      </w:pPr>
      <w:r w:rsidRPr="00422F4B">
        <w:rPr>
          <w:rFonts w:eastAsia="Times New Roman"/>
          <w:u w:val="single"/>
        </w:rPr>
        <w:t>Non-Personnel Reduction Cost Summary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990"/>
        <w:gridCol w:w="1530"/>
        <w:gridCol w:w="1530"/>
        <w:gridCol w:w="2070"/>
        <w:gridCol w:w="1890"/>
      </w:tblGrid>
      <w:tr w:rsidR="00E23B77" w:rsidTr="00AD20AD">
        <w:tc>
          <w:tcPr>
            <w:tcW w:w="199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E23B77" w:rsidRPr="003067B0" w:rsidRDefault="00E23B77" w:rsidP="00AD20AD">
            <w:pPr>
              <w:jc w:val="center"/>
            </w:pPr>
            <w:r w:rsidRPr="003067B0">
              <w:t>Non-Personnel Item</w:t>
            </w:r>
          </w:p>
        </w:tc>
        <w:tc>
          <w:tcPr>
            <w:tcW w:w="99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center"/>
            </w:pPr>
            <w:r w:rsidRPr="003067B0">
              <w:t>Unit</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center"/>
            </w:pPr>
            <w:r w:rsidRPr="003067B0">
              <w:t>Quantity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center"/>
            </w:pPr>
            <w:r w:rsidRPr="003067B0">
              <w:t>FY 2013</w:t>
            </w:r>
          </w:p>
          <w:p w:rsidR="00E23B77" w:rsidRPr="003067B0" w:rsidRDefault="00E23B77" w:rsidP="00AD20AD">
            <w:pPr>
              <w:jc w:val="center"/>
            </w:pPr>
            <w:r w:rsidRPr="003067B0">
              <w:t>Request</w:t>
            </w:r>
          </w:p>
          <w:p w:rsidR="00E23B77" w:rsidRPr="003067B0" w:rsidRDefault="00E23B77" w:rsidP="00AD20AD">
            <w:pPr>
              <w:jc w:val="center"/>
            </w:pPr>
            <w:r w:rsidRPr="003067B0">
              <w:t>($000)</w:t>
            </w:r>
          </w:p>
        </w:tc>
        <w:tc>
          <w:tcPr>
            <w:tcW w:w="207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center"/>
            </w:pPr>
            <w:r w:rsidRPr="003067B0">
              <w:t>FY 2014 Net</w:t>
            </w:r>
          </w:p>
          <w:p w:rsidR="00E23B77" w:rsidRPr="003067B0" w:rsidRDefault="00E23B77" w:rsidP="00AD20AD">
            <w:pPr>
              <w:jc w:val="center"/>
            </w:pPr>
            <w:r w:rsidRPr="003067B0">
              <w:t>Annualization (change from 2012)</w:t>
            </w:r>
            <w:r>
              <w:t xml:space="preserve"> </w:t>
            </w:r>
            <w:r w:rsidRPr="003067B0">
              <w:t>($000)</w:t>
            </w:r>
          </w:p>
        </w:tc>
        <w:tc>
          <w:tcPr>
            <w:tcW w:w="1890" w:type="dxa"/>
            <w:tcBorders>
              <w:top w:val="single" w:sz="4" w:space="0" w:color="auto"/>
              <w:left w:val="single" w:sz="4" w:space="0" w:color="auto"/>
              <w:bottom w:val="single" w:sz="4" w:space="0" w:color="auto"/>
              <w:right w:val="single" w:sz="4" w:space="0" w:color="auto"/>
            </w:tcBorders>
            <w:hideMark/>
          </w:tcPr>
          <w:p w:rsidR="00E23B77" w:rsidRDefault="00E23B77" w:rsidP="00AD20AD">
            <w:pPr>
              <w:jc w:val="center"/>
            </w:pPr>
            <w:r>
              <w:t>FY 2015 Net</w:t>
            </w:r>
          </w:p>
          <w:p w:rsidR="00E23B77" w:rsidRDefault="00E23B77" w:rsidP="00AD20AD">
            <w:pPr>
              <w:jc w:val="center"/>
            </w:pPr>
            <w:r>
              <w:t>Annualization (change from 2013) ($000)</w:t>
            </w:r>
          </w:p>
        </w:tc>
      </w:tr>
      <w:tr w:rsidR="00E23B77" w:rsidTr="00AD20AD">
        <w:trPr>
          <w:trHeight w:val="683"/>
        </w:trPr>
        <w:tc>
          <w:tcPr>
            <w:tcW w:w="1998" w:type="dxa"/>
            <w:tcBorders>
              <w:top w:val="single" w:sz="4" w:space="0" w:color="auto"/>
              <w:left w:val="single" w:sz="4" w:space="0" w:color="auto"/>
              <w:bottom w:val="single" w:sz="4" w:space="0" w:color="auto"/>
              <w:right w:val="single" w:sz="4" w:space="0" w:color="auto"/>
            </w:tcBorders>
            <w:hideMark/>
          </w:tcPr>
          <w:p w:rsidR="00E23B77" w:rsidRPr="003067B0" w:rsidRDefault="00E23B77" w:rsidP="00AD20AD">
            <w:pPr>
              <w:rPr>
                <w:rFonts w:eastAsiaTheme="minorEastAsia"/>
              </w:rPr>
            </w:pPr>
            <w:r w:rsidRPr="003067B0">
              <w:rPr>
                <w:rFonts w:eastAsiaTheme="minorEastAsia"/>
              </w:rPr>
              <w:t>General Admin and program reduction</w:t>
            </w:r>
          </w:p>
        </w:tc>
        <w:tc>
          <w:tcPr>
            <w:tcW w:w="99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right"/>
              <w:rPr>
                <w:rFonts w:eastAsiaTheme="minorEastAsia"/>
              </w:rPr>
            </w:pPr>
            <w:r w:rsidRPr="003067B0">
              <w:rPr>
                <w:rFonts w:eastAsiaTheme="minorEastAsia"/>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right"/>
              <w:rPr>
                <w:rFonts w:eastAsiaTheme="minorEastAsia"/>
              </w:rPr>
            </w:pPr>
            <w:r w:rsidRPr="003067B0">
              <w:rPr>
                <w:rFonts w:eastAsiaTheme="minorEastAsia"/>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right"/>
              <w:rPr>
                <w:rFonts w:eastAsiaTheme="minorEastAsia"/>
              </w:rPr>
            </w:pPr>
            <w:r w:rsidRPr="003067B0">
              <w:rPr>
                <w:rFonts w:eastAsiaTheme="minorEastAsia"/>
              </w:rPr>
              <w:t>(3,</w:t>
            </w:r>
            <w:r>
              <w:rPr>
                <w:rFonts w:eastAsiaTheme="minorEastAsia"/>
              </w:rPr>
              <w:t>0</w:t>
            </w:r>
            <w:r w:rsidRPr="003067B0">
              <w:rPr>
                <w:rFonts w:eastAsiaTheme="minorEastAsia"/>
              </w:rPr>
              <w:t>99)</w:t>
            </w:r>
          </w:p>
        </w:tc>
        <w:tc>
          <w:tcPr>
            <w:tcW w:w="207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right"/>
              <w:rPr>
                <w:rFonts w:eastAsiaTheme="minorEastAsia"/>
              </w:rPr>
            </w:pPr>
            <w:r w:rsidRPr="003067B0">
              <w:rPr>
                <w:rFonts w:eastAsiaTheme="minorEastAsia"/>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right"/>
              <w:rPr>
                <w:rFonts w:eastAsiaTheme="minorEastAsia"/>
                <w:sz w:val="22"/>
                <w:szCs w:val="22"/>
              </w:rPr>
            </w:pPr>
            <w:r w:rsidRPr="003067B0">
              <w:rPr>
                <w:rFonts w:eastAsiaTheme="minorEastAsia"/>
                <w:sz w:val="22"/>
                <w:szCs w:val="22"/>
              </w:rPr>
              <w:t>0</w:t>
            </w:r>
          </w:p>
        </w:tc>
      </w:tr>
      <w:tr w:rsidR="00E23B77" w:rsidTr="00AD20AD">
        <w:tc>
          <w:tcPr>
            <w:tcW w:w="1998" w:type="dxa"/>
            <w:tcBorders>
              <w:top w:val="single" w:sz="4" w:space="0" w:color="auto"/>
              <w:left w:val="single" w:sz="4" w:space="0" w:color="auto"/>
              <w:bottom w:val="single" w:sz="4" w:space="0" w:color="auto"/>
              <w:right w:val="single" w:sz="4" w:space="0" w:color="auto"/>
            </w:tcBorders>
            <w:hideMark/>
          </w:tcPr>
          <w:p w:rsidR="00E23B77" w:rsidRPr="003067B0" w:rsidRDefault="00E23B77" w:rsidP="00AD20AD">
            <w:r w:rsidRPr="003067B0">
              <w:t>Total Non-Personnel</w:t>
            </w:r>
          </w:p>
        </w:tc>
        <w:tc>
          <w:tcPr>
            <w:tcW w:w="99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right"/>
              <w:rPr>
                <w:rFonts w:eastAsiaTheme="minorEastAsia"/>
              </w:rPr>
            </w:pPr>
            <w:r w:rsidRPr="003067B0">
              <w:rPr>
                <w:rFonts w:eastAsiaTheme="minorEastAsia"/>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right"/>
              <w:rPr>
                <w:rFonts w:eastAsiaTheme="minorEastAsia"/>
              </w:rPr>
            </w:pPr>
            <w:r w:rsidRPr="003067B0">
              <w:rPr>
                <w:rFonts w:eastAsiaTheme="minorEastAsia"/>
              </w:rPr>
              <w:t>0</w:t>
            </w:r>
          </w:p>
        </w:tc>
        <w:tc>
          <w:tcPr>
            <w:tcW w:w="153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right"/>
              <w:rPr>
                <w:rFonts w:eastAsiaTheme="minorEastAsia"/>
              </w:rPr>
            </w:pPr>
            <w:r>
              <w:rPr>
                <w:rFonts w:eastAsiaTheme="minorEastAsia"/>
              </w:rPr>
              <w:t>(3,099)</w:t>
            </w:r>
          </w:p>
        </w:tc>
        <w:tc>
          <w:tcPr>
            <w:tcW w:w="207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right"/>
              <w:rPr>
                <w:rFonts w:eastAsiaTheme="minorEastAsia"/>
              </w:rPr>
            </w:pPr>
            <w:r w:rsidRPr="003067B0">
              <w:rPr>
                <w:rFonts w:eastAsiaTheme="minorEastAsia"/>
              </w:rPr>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E23B77" w:rsidRPr="003067B0" w:rsidRDefault="00E23B77" w:rsidP="00AD20AD">
            <w:pPr>
              <w:jc w:val="right"/>
              <w:rPr>
                <w:rFonts w:eastAsiaTheme="minorEastAsia"/>
                <w:sz w:val="22"/>
                <w:szCs w:val="22"/>
              </w:rPr>
            </w:pPr>
            <w:r w:rsidRPr="003067B0">
              <w:rPr>
                <w:rFonts w:eastAsiaTheme="minorEastAsia"/>
                <w:sz w:val="22"/>
                <w:szCs w:val="22"/>
              </w:rPr>
              <w:t>0</w:t>
            </w:r>
          </w:p>
        </w:tc>
      </w:tr>
    </w:tbl>
    <w:p w:rsidR="00E23B77" w:rsidRPr="00422F4B" w:rsidRDefault="00E23B77" w:rsidP="00E23B77">
      <w:pPr>
        <w:pStyle w:val="xl24"/>
        <w:rPr>
          <w:rFonts w:eastAsia="Times New Roman"/>
          <w:u w:val="single"/>
        </w:rPr>
      </w:pPr>
      <w:r w:rsidRPr="00422F4B">
        <w:rPr>
          <w:rFonts w:eastAsia="Times New Roman"/>
          <w:u w:val="single"/>
        </w:rPr>
        <w:t>Total Request for this Item</w:t>
      </w:r>
    </w:p>
    <w:tbl>
      <w:tblPr>
        <w:tblW w:w="10740"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4"/>
        <w:gridCol w:w="809"/>
        <w:gridCol w:w="811"/>
        <w:gridCol w:w="809"/>
        <w:gridCol w:w="1260"/>
        <w:gridCol w:w="1170"/>
        <w:gridCol w:w="1080"/>
        <w:gridCol w:w="1677"/>
        <w:gridCol w:w="1890"/>
      </w:tblGrid>
      <w:tr w:rsidR="00E23B77" w:rsidTr="00AD20AD">
        <w:trPr>
          <w:trHeight w:val="1142"/>
        </w:trPr>
        <w:tc>
          <w:tcPr>
            <w:tcW w:w="1234" w:type="dxa"/>
            <w:tcBorders>
              <w:top w:val="single" w:sz="4" w:space="0" w:color="auto"/>
              <w:left w:val="single" w:sz="4" w:space="0" w:color="auto"/>
              <w:bottom w:val="single" w:sz="4" w:space="0" w:color="auto"/>
              <w:right w:val="single" w:sz="4" w:space="0" w:color="auto"/>
            </w:tcBorders>
            <w:shd w:val="clear" w:color="auto" w:fill="E6E6E6"/>
          </w:tcPr>
          <w:p w:rsidR="00E23B77" w:rsidRDefault="00E23B77" w:rsidP="00AD20AD"/>
        </w:tc>
        <w:tc>
          <w:tcPr>
            <w:tcW w:w="809"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center"/>
            </w:pPr>
            <w:r>
              <w:t>Pos</w:t>
            </w:r>
          </w:p>
        </w:tc>
        <w:tc>
          <w:tcPr>
            <w:tcW w:w="811" w:type="dxa"/>
            <w:tcBorders>
              <w:top w:val="single" w:sz="4" w:space="0" w:color="auto"/>
              <w:left w:val="single" w:sz="4" w:space="0" w:color="auto"/>
              <w:bottom w:val="single" w:sz="4" w:space="0" w:color="auto"/>
              <w:right w:val="single" w:sz="4" w:space="0" w:color="auto"/>
            </w:tcBorders>
            <w:vAlign w:val="center"/>
          </w:tcPr>
          <w:p w:rsidR="00E23B77" w:rsidRDefault="00E23B77" w:rsidP="00AD20AD">
            <w:pPr>
              <w:jc w:val="center"/>
            </w:pPr>
          </w:p>
          <w:p w:rsidR="00E23B77" w:rsidRDefault="00E23B77" w:rsidP="00AD20AD">
            <w:pPr>
              <w:jc w:val="center"/>
            </w:pPr>
            <w:r>
              <w:t>Agt/</w:t>
            </w:r>
          </w:p>
          <w:p w:rsidR="00E23B77" w:rsidRDefault="00E23B77" w:rsidP="00AD20AD">
            <w:pPr>
              <w:jc w:val="center"/>
            </w:pPr>
            <w:r>
              <w:t>Atty</w:t>
            </w:r>
          </w:p>
          <w:p w:rsidR="00E23B77" w:rsidRDefault="00E23B77" w:rsidP="00AD20AD">
            <w:pPr>
              <w:jc w:val="center"/>
            </w:pPr>
          </w:p>
        </w:tc>
        <w:tc>
          <w:tcPr>
            <w:tcW w:w="809"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center"/>
            </w:pPr>
            <w:r>
              <w:t>FTE</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center"/>
            </w:pPr>
            <w:r>
              <w:t>Personnel</w:t>
            </w:r>
          </w:p>
          <w:p w:rsidR="00E23B77" w:rsidRDefault="00E23B77" w:rsidP="00AD20AD">
            <w:pPr>
              <w:jc w:val="center"/>
            </w:pPr>
            <w:r>
              <w:t>($000)</w:t>
            </w:r>
          </w:p>
        </w:tc>
        <w:tc>
          <w:tcPr>
            <w:tcW w:w="1170"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center"/>
            </w:pPr>
            <w:r>
              <w:t>Non-Personnel</w:t>
            </w:r>
          </w:p>
          <w:p w:rsidR="00E23B77" w:rsidRDefault="00E23B77" w:rsidP="00AD20AD">
            <w:pPr>
              <w:jc w:val="center"/>
            </w:pPr>
            <w:r>
              <w:t>($000)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center"/>
            </w:pPr>
            <w:r>
              <w:t>Total</w:t>
            </w:r>
          </w:p>
          <w:p w:rsidR="00E23B77" w:rsidRDefault="00E23B77" w:rsidP="00AD20AD">
            <w:pPr>
              <w:jc w:val="center"/>
            </w:pPr>
            <w:r>
              <w:t>($000)</w:t>
            </w:r>
          </w:p>
        </w:tc>
        <w:tc>
          <w:tcPr>
            <w:tcW w:w="1677" w:type="dxa"/>
            <w:tcBorders>
              <w:top w:val="single" w:sz="4" w:space="0" w:color="auto"/>
              <w:left w:val="single" w:sz="4" w:space="0" w:color="auto"/>
              <w:bottom w:val="single" w:sz="4" w:space="0" w:color="auto"/>
              <w:right w:val="single" w:sz="4" w:space="0" w:color="auto"/>
            </w:tcBorders>
            <w:vAlign w:val="center"/>
            <w:hideMark/>
          </w:tcPr>
          <w:p w:rsidR="00E23B77" w:rsidRDefault="00E23B77" w:rsidP="00AD20AD">
            <w:pPr>
              <w:jc w:val="center"/>
            </w:pPr>
            <w:r>
              <w:t>FY 2014 Net</w:t>
            </w:r>
          </w:p>
          <w:p w:rsidR="00E23B77" w:rsidRDefault="00E23B77" w:rsidP="00AD20AD">
            <w:pPr>
              <w:jc w:val="center"/>
            </w:pPr>
            <w:r>
              <w:t xml:space="preserve">Annualization (change from 2013) - </w:t>
            </w:r>
            <w:r w:rsidRPr="003067B0">
              <w:t>($000)</w:t>
            </w:r>
          </w:p>
        </w:tc>
        <w:tc>
          <w:tcPr>
            <w:tcW w:w="1890" w:type="dxa"/>
            <w:tcBorders>
              <w:top w:val="single" w:sz="4" w:space="0" w:color="auto"/>
              <w:left w:val="single" w:sz="4" w:space="0" w:color="auto"/>
              <w:bottom w:val="single" w:sz="4" w:space="0" w:color="auto"/>
              <w:right w:val="single" w:sz="4" w:space="0" w:color="auto"/>
            </w:tcBorders>
            <w:hideMark/>
          </w:tcPr>
          <w:p w:rsidR="00E23B77" w:rsidRDefault="00E23B77" w:rsidP="00AD20AD">
            <w:pPr>
              <w:jc w:val="center"/>
            </w:pPr>
            <w:r>
              <w:t>FY 2015 Net</w:t>
            </w:r>
          </w:p>
          <w:p w:rsidR="00E23B77" w:rsidRDefault="00E23B77" w:rsidP="00AD20AD">
            <w:pPr>
              <w:jc w:val="center"/>
            </w:pPr>
            <w:r>
              <w:t xml:space="preserve">Annualization (change from 2014) - </w:t>
            </w:r>
            <w:r w:rsidRPr="003067B0">
              <w:t>($000)</w:t>
            </w:r>
          </w:p>
        </w:tc>
      </w:tr>
      <w:tr w:rsidR="00E23B77" w:rsidTr="00AD20AD">
        <w:trPr>
          <w:trHeight w:val="215"/>
        </w:trPr>
        <w:tc>
          <w:tcPr>
            <w:tcW w:w="1234" w:type="dxa"/>
            <w:tcBorders>
              <w:top w:val="single" w:sz="4" w:space="0" w:color="auto"/>
              <w:left w:val="single" w:sz="4" w:space="0" w:color="auto"/>
              <w:bottom w:val="single" w:sz="4" w:space="0" w:color="auto"/>
              <w:right w:val="single" w:sz="4" w:space="0" w:color="auto"/>
            </w:tcBorders>
            <w:hideMark/>
          </w:tcPr>
          <w:p w:rsidR="00E23B77" w:rsidRPr="002A15FF" w:rsidRDefault="00E23B77" w:rsidP="00AD20AD">
            <w:r w:rsidRPr="002A15FF">
              <w:t>Current Services</w:t>
            </w:r>
          </w:p>
        </w:tc>
        <w:tc>
          <w:tcPr>
            <w:tcW w:w="809"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0</w:t>
            </w:r>
          </w:p>
        </w:tc>
        <w:tc>
          <w:tcPr>
            <w:tcW w:w="811"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0</w:t>
            </w:r>
          </w:p>
        </w:tc>
        <w:tc>
          <w:tcPr>
            <w:tcW w:w="809"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0</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0</w:t>
            </w:r>
          </w:p>
        </w:tc>
        <w:tc>
          <w:tcPr>
            <w:tcW w:w="1170"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rPr>
                <w:rFonts w:eastAsiaTheme="minorEastAsia"/>
              </w:rPr>
            </w:pPr>
            <w:r w:rsidRPr="002A15FF">
              <w:rPr>
                <w:rFonts w:eastAsiaTheme="minorEastAsia"/>
              </w:rPr>
              <w:t>0</w:t>
            </w:r>
          </w:p>
        </w:tc>
        <w:tc>
          <w:tcPr>
            <w:tcW w:w="1080"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rPr>
                <w:rFonts w:eastAsiaTheme="minorEastAsia"/>
              </w:rPr>
            </w:pPr>
            <w:r w:rsidRPr="002A15FF">
              <w:rPr>
                <w:rFonts w:eastAsiaTheme="minorEastAsia"/>
              </w:rPr>
              <w:t>0</w:t>
            </w:r>
          </w:p>
        </w:tc>
        <w:tc>
          <w:tcPr>
            <w:tcW w:w="1677"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0</w:t>
            </w:r>
          </w:p>
        </w:tc>
      </w:tr>
      <w:tr w:rsidR="00E23B77" w:rsidTr="00AD20AD">
        <w:trPr>
          <w:trHeight w:val="215"/>
        </w:trPr>
        <w:tc>
          <w:tcPr>
            <w:tcW w:w="1234" w:type="dxa"/>
            <w:tcBorders>
              <w:top w:val="single" w:sz="4" w:space="0" w:color="auto"/>
              <w:left w:val="single" w:sz="4" w:space="0" w:color="auto"/>
              <w:bottom w:val="single" w:sz="4" w:space="0" w:color="auto"/>
              <w:right w:val="single" w:sz="4" w:space="0" w:color="auto"/>
            </w:tcBorders>
            <w:hideMark/>
          </w:tcPr>
          <w:p w:rsidR="00E23B77" w:rsidRPr="002A15FF" w:rsidRDefault="00E23B77" w:rsidP="00AD20AD">
            <w:r w:rsidRPr="002A15FF">
              <w:t>Decreases</w:t>
            </w:r>
          </w:p>
        </w:tc>
        <w:tc>
          <w:tcPr>
            <w:tcW w:w="809"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(164)</w:t>
            </w:r>
          </w:p>
        </w:tc>
        <w:tc>
          <w:tcPr>
            <w:tcW w:w="811" w:type="dxa"/>
            <w:tcBorders>
              <w:top w:val="single" w:sz="4" w:space="0" w:color="auto"/>
              <w:left w:val="single" w:sz="4" w:space="0" w:color="auto"/>
              <w:bottom w:val="single" w:sz="4" w:space="0" w:color="auto"/>
              <w:right w:val="single" w:sz="4" w:space="0" w:color="auto"/>
            </w:tcBorders>
            <w:hideMark/>
          </w:tcPr>
          <w:p w:rsidR="00E23B77" w:rsidRPr="002A15FF" w:rsidRDefault="00E23B77" w:rsidP="00AD20AD">
            <w:pPr>
              <w:jc w:val="right"/>
            </w:pPr>
            <w:r w:rsidRPr="002A15FF">
              <w:t>(34)</w:t>
            </w:r>
          </w:p>
        </w:tc>
        <w:tc>
          <w:tcPr>
            <w:tcW w:w="809"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(164)</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(21,</w:t>
            </w:r>
            <w:r>
              <w:t>7</w:t>
            </w:r>
            <w:r w:rsidRPr="002A15FF">
              <w:t>00)</w:t>
            </w:r>
          </w:p>
        </w:tc>
        <w:tc>
          <w:tcPr>
            <w:tcW w:w="1170"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rPr>
                <w:rFonts w:eastAsiaTheme="minorEastAsia"/>
              </w:rPr>
            </w:pPr>
            <w:r w:rsidRPr="002A15FF">
              <w:rPr>
                <w:rFonts w:eastAsiaTheme="minorEastAsia"/>
              </w:rPr>
              <w:t>(3,</w:t>
            </w:r>
            <w:r>
              <w:rPr>
                <w:rFonts w:eastAsiaTheme="minorEastAsia"/>
              </w:rPr>
              <w:t>0</w:t>
            </w:r>
            <w:r w:rsidRPr="002A15FF">
              <w:rPr>
                <w:rFonts w:eastAsiaTheme="minorEastAsia"/>
              </w:rPr>
              <w:t>99)</w:t>
            </w:r>
          </w:p>
        </w:tc>
        <w:tc>
          <w:tcPr>
            <w:tcW w:w="1080"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rPr>
                <w:rFonts w:eastAsiaTheme="minorEastAsia"/>
              </w:rPr>
            </w:pPr>
            <w:r w:rsidRPr="002A15FF">
              <w:rPr>
                <w:rFonts w:eastAsiaTheme="minorEastAsia"/>
              </w:rPr>
              <w:t>(24,799)</w:t>
            </w:r>
          </w:p>
        </w:tc>
        <w:tc>
          <w:tcPr>
            <w:tcW w:w="1677"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t>0</w:t>
            </w:r>
          </w:p>
        </w:tc>
        <w:tc>
          <w:tcPr>
            <w:tcW w:w="1890" w:type="dxa"/>
            <w:tcBorders>
              <w:top w:val="single" w:sz="4" w:space="0" w:color="auto"/>
              <w:left w:val="single" w:sz="4" w:space="0" w:color="auto"/>
              <w:bottom w:val="single" w:sz="4" w:space="0" w:color="auto"/>
              <w:right w:val="single" w:sz="4" w:space="0" w:color="auto"/>
            </w:tcBorders>
            <w:hideMark/>
          </w:tcPr>
          <w:p w:rsidR="00E23B77" w:rsidRPr="002A15FF" w:rsidRDefault="00E23B77" w:rsidP="00AD20AD">
            <w:pPr>
              <w:jc w:val="right"/>
            </w:pPr>
            <w:r w:rsidRPr="002A15FF">
              <w:t>0</w:t>
            </w:r>
          </w:p>
        </w:tc>
      </w:tr>
      <w:tr w:rsidR="00E23B77" w:rsidTr="00AD20AD">
        <w:trPr>
          <w:trHeight w:val="215"/>
        </w:trPr>
        <w:tc>
          <w:tcPr>
            <w:tcW w:w="1234" w:type="dxa"/>
            <w:tcBorders>
              <w:top w:val="single" w:sz="4" w:space="0" w:color="auto"/>
              <w:left w:val="single" w:sz="4" w:space="0" w:color="auto"/>
              <w:bottom w:val="single" w:sz="4" w:space="0" w:color="auto"/>
              <w:right w:val="single" w:sz="4" w:space="0" w:color="auto"/>
            </w:tcBorders>
            <w:hideMark/>
          </w:tcPr>
          <w:p w:rsidR="00E23B77" w:rsidRPr="002A15FF" w:rsidRDefault="00E23B77" w:rsidP="00AD20AD">
            <w:r w:rsidRPr="002A15FF">
              <w:t>Grand Total</w:t>
            </w:r>
          </w:p>
        </w:tc>
        <w:tc>
          <w:tcPr>
            <w:tcW w:w="809"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(164)</w:t>
            </w:r>
          </w:p>
        </w:tc>
        <w:tc>
          <w:tcPr>
            <w:tcW w:w="811"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(34)</w:t>
            </w:r>
          </w:p>
        </w:tc>
        <w:tc>
          <w:tcPr>
            <w:tcW w:w="809"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(164)</w:t>
            </w:r>
          </w:p>
        </w:tc>
        <w:tc>
          <w:tcPr>
            <w:tcW w:w="1260"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(21,</w:t>
            </w:r>
            <w:r>
              <w:t>7</w:t>
            </w:r>
            <w:r w:rsidRPr="002A15FF">
              <w:t>00)</w:t>
            </w:r>
          </w:p>
        </w:tc>
        <w:tc>
          <w:tcPr>
            <w:tcW w:w="1170"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rPr>
                <w:rFonts w:eastAsiaTheme="minorEastAsia"/>
              </w:rPr>
            </w:pPr>
            <w:r w:rsidRPr="002A15FF">
              <w:rPr>
                <w:rFonts w:eastAsiaTheme="minorEastAsia"/>
              </w:rPr>
              <w:t>(3,</w:t>
            </w:r>
            <w:r>
              <w:rPr>
                <w:rFonts w:eastAsiaTheme="minorEastAsia"/>
              </w:rPr>
              <w:t>0</w:t>
            </w:r>
            <w:r w:rsidRPr="002A15FF">
              <w:rPr>
                <w:rFonts w:eastAsiaTheme="minorEastAsia"/>
              </w:rPr>
              <w:t>99)</w:t>
            </w:r>
          </w:p>
        </w:tc>
        <w:tc>
          <w:tcPr>
            <w:tcW w:w="1080"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rPr>
                <w:rFonts w:eastAsiaTheme="minorEastAsia"/>
              </w:rPr>
            </w:pPr>
            <w:r w:rsidRPr="002A15FF">
              <w:rPr>
                <w:rFonts w:eastAsiaTheme="minorEastAsia"/>
              </w:rPr>
              <w:t>(24,799)</w:t>
            </w:r>
          </w:p>
        </w:tc>
        <w:tc>
          <w:tcPr>
            <w:tcW w:w="1677"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0</w:t>
            </w:r>
          </w:p>
        </w:tc>
        <w:tc>
          <w:tcPr>
            <w:tcW w:w="1890" w:type="dxa"/>
            <w:tcBorders>
              <w:top w:val="single" w:sz="4" w:space="0" w:color="auto"/>
              <w:left w:val="single" w:sz="4" w:space="0" w:color="auto"/>
              <w:bottom w:val="single" w:sz="4" w:space="0" w:color="auto"/>
              <w:right w:val="single" w:sz="4" w:space="0" w:color="auto"/>
            </w:tcBorders>
            <w:vAlign w:val="center"/>
            <w:hideMark/>
          </w:tcPr>
          <w:p w:rsidR="00E23B77" w:rsidRPr="002A15FF" w:rsidRDefault="00E23B77" w:rsidP="00AD20AD">
            <w:pPr>
              <w:jc w:val="right"/>
            </w:pPr>
            <w:r w:rsidRPr="002A15FF">
              <w:t>0</w:t>
            </w:r>
          </w:p>
        </w:tc>
      </w:tr>
    </w:tbl>
    <w:p w:rsidR="00E23B77" w:rsidRDefault="00E23B77" w:rsidP="003D01EB">
      <w:pPr>
        <w:pStyle w:val="xl19"/>
        <w:tabs>
          <w:tab w:val="left" w:pos="3420"/>
          <w:tab w:val="right" w:pos="8640"/>
        </w:tabs>
        <w:rPr>
          <w:b/>
          <w:bCs/>
        </w:rPr>
      </w:pPr>
    </w:p>
    <w:p w:rsidR="00E23B77" w:rsidRDefault="00E23B77" w:rsidP="003D01EB">
      <w:pPr>
        <w:pStyle w:val="xl19"/>
        <w:tabs>
          <w:tab w:val="left" w:pos="3420"/>
          <w:tab w:val="right" w:pos="8640"/>
        </w:tabs>
        <w:rPr>
          <w:b/>
          <w:bCs/>
        </w:rPr>
      </w:pPr>
    </w:p>
    <w:p w:rsidR="003D01EB" w:rsidRPr="00875443" w:rsidRDefault="003D01EB" w:rsidP="003D01EB">
      <w:pPr>
        <w:pStyle w:val="xl19"/>
        <w:tabs>
          <w:tab w:val="left" w:pos="3420"/>
          <w:tab w:val="right" w:pos="8640"/>
        </w:tabs>
        <w:rPr>
          <w:b/>
          <w:bCs/>
        </w:rPr>
      </w:pPr>
      <w:r w:rsidRPr="00875443">
        <w:rPr>
          <w:b/>
          <w:bCs/>
        </w:rPr>
        <w:t>Item Name:</w:t>
      </w:r>
      <w:r w:rsidRPr="00875443">
        <w:rPr>
          <w:b/>
          <w:bCs/>
        </w:rPr>
        <w:tab/>
        <w:t>Information Technology (IT) Savings</w:t>
      </w:r>
      <w:r w:rsidRPr="00875443">
        <w:rPr>
          <w:b/>
          <w:bCs/>
        </w:rPr>
        <w:tab/>
      </w:r>
    </w:p>
    <w:p w:rsidR="003D01EB" w:rsidRPr="00875443" w:rsidRDefault="003D01EB" w:rsidP="003D01EB">
      <w:pPr>
        <w:pStyle w:val="xl19"/>
        <w:tabs>
          <w:tab w:val="left" w:pos="3420"/>
          <w:tab w:val="right" w:pos="8640"/>
        </w:tabs>
      </w:pPr>
    </w:p>
    <w:p w:rsidR="003D01EB" w:rsidRPr="00875443" w:rsidRDefault="003D01EB" w:rsidP="003D01EB">
      <w:pPr>
        <w:pStyle w:val="xl19"/>
        <w:tabs>
          <w:tab w:val="left" w:pos="3420"/>
          <w:tab w:val="right" w:pos="8640"/>
        </w:tabs>
      </w:pPr>
      <w:r w:rsidRPr="00875443">
        <w:t xml:space="preserve">Budget Decision Unit(s): </w:t>
      </w:r>
      <w:r w:rsidRPr="00875443">
        <w:tab/>
        <w:t>Firearms, Arson &amp; Explosives, Alcohol &amp; Tobacco</w:t>
      </w:r>
    </w:p>
    <w:p w:rsidR="003D01EB" w:rsidRPr="00875443" w:rsidRDefault="003D01EB" w:rsidP="003D01EB">
      <w:pPr>
        <w:pStyle w:val="xl19"/>
        <w:tabs>
          <w:tab w:val="left" w:pos="3420"/>
          <w:tab w:val="right" w:pos="8640"/>
        </w:tabs>
      </w:pPr>
      <w:r w:rsidRPr="00875443">
        <w:tab/>
      </w:r>
      <w:r w:rsidRPr="00875443">
        <w:rPr>
          <w:u w:val="single"/>
        </w:rPr>
        <w:t xml:space="preserve">                                                                                       </w:t>
      </w:r>
    </w:p>
    <w:p w:rsidR="003D01EB" w:rsidRPr="00875443" w:rsidRDefault="003D01EB" w:rsidP="003D01EB">
      <w:pPr>
        <w:pStyle w:val="xl19"/>
        <w:tabs>
          <w:tab w:val="left" w:pos="3420"/>
          <w:tab w:val="right" w:pos="8640"/>
        </w:tabs>
      </w:pPr>
      <w:r w:rsidRPr="00875443">
        <w:t>Organizational Program:</w:t>
      </w:r>
      <w:r w:rsidRPr="00875443">
        <w:tab/>
        <w:t>Bureau-wide</w:t>
      </w:r>
    </w:p>
    <w:p w:rsidR="003D01EB" w:rsidRPr="00875443" w:rsidRDefault="003D01EB" w:rsidP="003D01EB">
      <w:pPr>
        <w:pStyle w:val="xl19"/>
        <w:tabs>
          <w:tab w:val="left" w:pos="3420"/>
          <w:tab w:val="right" w:pos="4320"/>
        </w:tabs>
      </w:pPr>
    </w:p>
    <w:p w:rsidR="003D01EB" w:rsidRPr="00875443" w:rsidRDefault="00345918" w:rsidP="003D01EB">
      <w:pPr>
        <w:pStyle w:val="xl19"/>
        <w:tabs>
          <w:tab w:val="left" w:pos="3420"/>
          <w:tab w:val="right" w:pos="4320"/>
        </w:tabs>
      </w:pPr>
      <w:r>
        <w:t xml:space="preserve">Component Ranking of Item: </w:t>
      </w:r>
      <w:r>
        <w:tab/>
        <w:t>1</w:t>
      </w:r>
      <w:r w:rsidR="003D01EB" w:rsidRPr="00875443">
        <w:t xml:space="preserve"> of 2</w:t>
      </w:r>
      <w:r w:rsidR="003D01EB" w:rsidRPr="00875443">
        <w:rPr>
          <w:u w:val="single"/>
        </w:rPr>
        <w:t xml:space="preserve">     </w:t>
      </w:r>
      <w:r w:rsidR="003D01EB" w:rsidRPr="00875443">
        <w:t xml:space="preserve">  </w:t>
      </w:r>
    </w:p>
    <w:p w:rsidR="003D01EB" w:rsidRPr="00875443" w:rsidRDefault="003D01EB" w:rsidP="003D01EB">
      <w:pPr>
        <w:pStyle w:val="xl19"/>
      </w:pPr>
    </w:p>
    <w:p w:rsidR="003D01EB" w:rsidRPr="00875443" w:rsidRDefault="003D01EB" w:rsidP="003D01EB">
      <w:pPr>
        <w:pStyle w:val="xl19"/>
        <w:tabs>
          <w:tab w:val="left" w:pos="2340"/>
          <w:tab w:val="right" w:pos="3060"/>
          <w:tab w:val="left" w:pos="3600"/>
          <w:tab w:val="right" w:pos="4500"/>
          <w:tab w:val="left" w:pos="5310"/>
          <w:tab w:val="right" w:pos="6300"/>
        </w:tabs>
        <w:rPr>
          <w:u w:val="single"/>
        </w:rPr>
      </w:pPr>
      <w:r w:rsidRPr="00875443">
        <w:t>Program Reduction:  Positions _</w:t>
      </w:r>
      <w:r w:rsidRPr="00875443">
        <w:rPr>
          <w:u w:val="single"/>
        </w:rPr>
        <w:t xml:space="preserve"> 0_</w:t>
      </w:r>
      <w:r w:rsidRPr="00875443">
        <w:t xml:space="preserve"> Agt/Atty _</w:t>
      </w:r>
      <w:r w:rsidRPr="00875443">
        <w:rPr>
          <w:u w:val="single"/>
        </w:rPr>
        <w:t>0</w:t>
      </w:r>
      <w:r w:rsidRPr="00875443">
        <w:t>_ FTE _</w:t>
      </w:r>
      <w:r w:rsidRPr="00875443">
        <w:rPr>
          <w:u w:val="single"/>
        </w:rPr>
        <w:t>0_</w:t>
      </w:r>
      <w:r w:rsidRPr="00875443">
        <w:t xml:space="preserve"> Dollars _</w:t>
      </w:r>
      <w:r w:rsidRPr="00875443">
        <w:rPr>
          <w:u w:val="single"/>
        </w:rPr>
        <w:t>$2,095,000_</w:t>
      </w:r>
    </w:p>
    <w:p w:rsidR="003D01EB" w:rsidRPr="00345918" w:rsidRDefault="003D01EB" w:rsidP="003D01EB">
      <w:pPr>
        <w:pStyle w:val="xl24"/>
        <w:spacing w:before="0" w:after="0"/>
        <w:rPr>
          <w:rFonts w:eastAsia="Times New Roman"/>
          <w:u w:val="single"/>
        </w:rPr>
      </w:pPr>
      <w:r w:rsidRPr="00345918">
        <w:rPr>
          <w:rFonts w:eastAsia="Times New Roman"/>
          <w:u w:val="single"/>
        </w:rPr>
        <w:t>Description of Item</w:t>
      </w:r>
    </w:p>
    <w:p w:rsidR="003D01EB" w:rsidRPr="00875443" w:rsidRDefault="003D01EB" w:rsidP="003D01EB">
      <w:pPr>
        <w:pStyle w:val="BodyText2"/>
        <w:rPr>
          <w:rFonts w:ascii="Times New Roman" w:hAnsi="Times New Roman" w:cs="Times New Roman"/>
          <w:color w:val="auto"/>
        </w:rPr>
      </w:pPr>
      <w:r w:rsidRPr="00875443">
        <w:rPr>
          <w:rFonts w:ascii="Times New Roman" w:hAnsi="Times New Roman" w:cs="Times New Roman"/>
          <w:color w:val="auto"/>
        </w:rPr>
        <w:t>The IT contract savings offset is a program initiative generated by the SAVE Council with the full support of Departmental Leadership.  It is designed to accomplish two objectives; first, it encourages components to make thoughtful decisions regarding procurement spending and to participate in a Department-wide effort to generate management savings; second, it provides a source of funding, without requiring a program enhancement request, for two major priority initiatives of the Department and the Administration – Cybersecurity and IT Transformation (including email system upgrade and data center consolidation). </w:t>
      </w:r>
    </w:p>
    <w:p w:rsidR="003D01EB" w:rsidRPr="00875443" w:rsidRDefault="003D01EB" w:rsidP="003D01EB">
      <w:pPr>
        <w:pStyle w:val="BodyText2"/>
        <w:rPr>
          <w:rFonts w:ascii="Times New Roman" w:hAnsi="Times New Roman" w:cs="Times New Roman"/>
          <w:color w:val="auto"/>
        </w:rPr>
      </w:pPr>
    </w:p>
    <w:p w:rsidR="003D01EB" w:rsidRPr="00875443" w:rsidRDefault="003D01EB" w:rsidP="003D01EB">
      <w:pPr>
        <w:pStyle w:val="BodyText2"/>
        <w:rPr>
          <w:rFonts w:ascii="Times New Roman" w:hAnsi="Times New Roman" w:cs="Times New Roman"/>
          <w:color w:val="auto"/>
          <w:u w:val="single"/>
        </w:rPr>
      </w:pPr>
      <w:r w:rsidRPr="00875443">
        <w:rPr>
          <w:rFonts w:ascii="Times New Roman" w:hAnsi="Times New Roman" w:cs="Times New Roman"/>
          <w:color w:val="auto"/>
          <w:u w:val="single"/>
        </w:rPr>
        <w:t>Summary Justification</w:t>
      </w:r>
    </w:p>
    <w:p w:rsidR="003D01EB" w:rsidRPr="00875443" w:rsidRDefault="003D01EB" w:rsidP="003D01EB">
      <w:pPr>
        <w:pStyle w:val="NormalWeb"/>
        <w:rPr>
          <w:rFonts w:ascii="Times New Roman" w:hAnsi="Times New Roman"/>
          <w:szCs w:val="24"/>
        </w:rPr>
      </w:pPr>
      <w:r w:rsidRPr="00875443">
        <w:rPr>
          <w:rFonts w:ascii="Times New Roman" w:hAnsi="Times New Roman"/>
          <w:color w:val="000000"/>
          <w:szCs w:val="24"/>
        </w:rPr>
        <w:t xml:space="preserve">As part of its effort to increase IT management efficiency and comply with OMB’s direction to reform IT management activities, the Department is implementing a cost saving initiative as well as IT transformation projects.  To support cost savings, the Department is developing an infrastructure to enable DOJ components to better collaborate on IT contracting; which should result in lower IT expenditures.  In FY 2013 the Department anticipates realizing savings on all direct non-personnel IT spending through IT contracting collaboration.  These savings will not only support greater management efficiency within components but will also support OMB’s IT Reform plan by providing resources to support major initiatives in Cybersecurity, data center consolidation, and enterprise e-mail systems.  </w:t>
      </w:r>
      <w:r w:rsidR="00345918">
        <w:rPr>
          <w:rFonts w:ascii="Times New Roman" w:hAnsi="Times New Roman"/>
          <w:color w:val="000000"/>
          <w:szCs w:val="24"/>
        </w:rPr>
        <w:t xml:space="preserve">The savings will also support other Department priorities in the FY 2013 request.  </w:t>
      </w:r>
      <w:r w:rsidRPr="00875443">
        <w:rPr>
          <w:rFonts w:ascii="Times New Roman" w:hAnsi="Times New Roman"/>
          <w:color w:val="000000"/>
          <w:szCs w:val="24"/>
        </w:rPr>
        <w:t>The offset to support these initiatives for ATF is $2,095,000.</w:t>
      </w:r>
    </w:p>
    <w:p w:rsidR="003D01EB" w:rsidRPr="00875443" w:rsidRDefault="003D01EB" w:rsidP="003D01EB">
      <w:pPr>
        <w:rPr>
          <w:u w:val="single"/>
        </w:rPr>
      </w:pPr>
      <w:r w:rsidRPr="00875443">
        <w:rPr>
          <w:u w:val="single"/>
        </w:rPr>
        <w:t>Impact on Performance (Relationship of Decrease to Priority Goals)</w:t>
      </w:r>
    </w:p>
    <w:p w:rsidR="003D01EB" w:rsidRPr="00875443" w:rsidRDefault="003D01EB" w:rsidP="003D01EB">
      <w:pPr>
        <w:pStyle w:val="BodyText2"/>
        <w:rPr>
          <w:rFonts w:ascii="Times New Roman" w:hAnsi="Times New Roman" w:cs="Times New Roman"/>
          <w:i/>
        </w:rPr>
      </w:pPr>
    </w:p>
    <w:p w:rsidR="003D01EB" w:rsidRPr="00875443" w:rsidRDefault="003D01EB" w:rsidP="003D01EB">
      <w:pPr>
        <w:pStyle w:val="BodyText2"/>
        <w:rPr>
          <w:rFonts w:ascii="Times New Roman" w:hAnsi="Times New Roman" w:cs="Times New Roman"/>
          <w:color w:val="auto"/>
        </w:rPr>
      </w:pPr>
      <w:r w:rsidRPr="00875443">
        <w:rPr>
          <w:rFonts w:ascii="Times New Roman" w:hAnsi="Times New Roman" w:cs="Times New Roman"/>
          <w:color w:val="auto"/>
        </w:rPr>
        <w:t xml:space="preserve">The Department and its components are continually evaluating programs and operations with the goal of achieving economies of scale that result in increase efficiencies, cost savings and cost avoidance.  This IT management efficiency will achieve savings, transform IT contracting efforts and meet the intent of OMB’s directive to effectively reform IT procurement and management. </w:t>
      </w:r>
    </w:p>
    <w:p w:rsidR="003D01EB" w:rsidRPr="00875443" w:rsidRDefault="003D01EB" w:rsidP="003D01EB"/>
    <w:p w:rsidR="003D01EB" w:rsidRPr="00875443" w:rsidRDefault="003D01EB" w:rsidP="003D01EB"/>
    <w:p w:rsidR="003D01EB" w:rsidRPr="00875443" w:rsidRDefault="003D01EB" w:rsidP="003D01EB"/>
    <w:p w:rsidR="003D01EB" w:rsidRPr="00875443" w:rsidRDefault="003D01EB" w:rsidP="003D01EB"/>
    <w:p w:rsidR="003D01EB" w:rsidRPr="009E38E3" w:rsidRDefault="003D01EB" w:rsidP="003D01EB">
      <w:pPr>
        <w:rPr>
          <w:b/>
          <w:bCs/>
        </w:rPr>
      </w:pPr>
      <w:r>
        <w:rPr>
          <w:bCs/>
        </w:rPr>
        <w:br w:type="page"/>
      </w:r>
    </w:p>
    <w:p w:rsidR="003D01EB" w:rsidRPr="00875443" w:rsidRDefault="003D01EB" w:rsidP="003D01EB">
      <w:pPr>
        <w:pStyle w:val="Heading1"/>
        <w:rPr>
          <w:rFonts w:ascii="Times New Roman" w:hAnsi="Times New Roman"/>
          <w:bCs/>
          <w:szCs w:val="24"/>
        </w:rPr>
      </w:pPr>
      <w:r w:rsidRPr="00875443">
        <w:rPr>
          <w:rFonts w:ascii="Times New Roman" w:hAnsi="Times New Roman"/>
          <w:bCs/>
          <w:szCs w:val="24"/>
        </w:rPr>
        <w:t>Funding</w:t>
      </w:r>
    </w:p>
    <w:p w:rsidR="003D01EB" w:rsidRPr="0063024B" w:rsidRDefault="003D01EB" w:rsidP="003D01EB">
      <w:pPr>
        <w:pStyle w:val="xl24"/>
        <w:spacing w:before="0" w:after="0"/>
        <w:rPr>
          <w:rFonts w:eastAsia="Times New Roman"/>
          <w:u w:val="single"/>
        </w:rPr>
      </w:pPr>
      <w:r w:rsidRPr="0063024B">
        <w:rPr>
          <w:rFonts w:eastAsia="Times New Roman"/>
          <w:u w:val="single"/>
        </w:rPr>
        <w:t>Summary</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607"/>
        <w:gridCol w:w="77"/>
        <w:gridCol w:w="720"/>
        <w:gridCol w:w="1170"/>
        <w:gridCol w:w="603"/>
        <w:gridCol w:w="747"/>
        <w:gridCol w:w="720"/>
        <w:gridCol w:w="1170"/>
        <w:gridCol w:w="590"/>
        <w:gridCol w:w="607"/>
        <w:gridCol w:w="63"/>
        <w:gridCol w:w="720"/>
        <w:gridCol w:w="1424"/>
      </w:tblGrid>
      <w:tr w:rsidR="003D01EB" w:rsidRPr="00875443" w:rsidTr="00593FBE">
        <w:tc>
          <w:tcPr>
            <w:tcW w:w="3168" w:type="dxa"/>
            <w:gridSpan w:val="5"/>
            <w:shd w:val="clear" w:color="auto" w:fill="E6E6E6"/>
          </w:tcPr>
          <w:p w:rsidR="003D01EB" w:rsidRPr="00875443" w:rsidRDefault="003D01EB" w:rsidP="00B20B2B">
            <w:pPr>
              <w:pStyle w:val="Heading7"/>
              <w:jc w:val="center"/>
              <w:rPr>
                <w:sz w:val="24"/>
                <w:szCs w:val="24"/>
              </w:rPr>
            </w:pPr>
            <w:r w:rsidRPr="00875443">
              <w:rPr>
                <w:sz w:val="24"/>
                <w:szCs w:val="24"/>
              </w:rPr>
              <w:t>FY 2011 Enacted (w/rescissions)</w:t>
            </w:r>
          </w:p>
        </w:tc>
        <w:tc>
          <w:tcPr>
            <w:tcW w:w="3240" w:type="dxa"/>
            <w:gridSpan w:val="4"/>
            <w:shd w:val="clear" w:color="auto" w:fill="E6E6E6"/>
          </w:tcPr>
          <w:p w:rsidR="003D01EB" w:rsidRPr="00875443" w:rsidRDefault="00CE5E69" w:rsidP="00CE5E69">
            <w:pPr>
              <w:pStyle w:val="Heading7"/>
              <w:jc w:val="center"/>
              <w:rPr>
                <w:sz w:val="24"/>
                <w:szCs w:val="24"/>
              </w:rPr>
            </w:pPr>
            <w:r>
              <w:rPr>
                <w:sz w:val="24"/>
                <w:szCs w:val="24"/>
              </w:rPr>
              <w:t>FY 2012 Enacted</w:t>
            </w:r>
          </w:p>
        </w:tc>
        <w:tc>
          <w:tcPr>
            <w:tcW w:w="3404" w:type="dxa"/>
            <w:gridSpan w:val="5"/>
            <w:shd w:val="clear" w:color="auto" w:fill="E6E6E6"/>
          </w:tcPr>
          <w:p w:rsidR="003D01EB" w:rsidRPr="00875443" w:rsidRDefault="003D01EB" w:rsidP="00593FBE">
            <w:pPr>
              <w:pStyle w:val="Heading7"/>
              <w:rPr>
                <w:sz w:val="24"/>
                <w:szCs w:val="24"/>
              </w:rPr>
            </w:pPr>
            <w:r w:rsidRPr="00875443">
              <w:rPr>
                <w:sz w:val="24"/>
                <w:szCs w:val="24"/>
              </w:rPr>
              <w:t>FY 2013 Current Services</w:t>
            </w:r>
          </w:p>
        </w:tc>
      </w:tr>
      <w:tr w:rsidR="003D01EB" w:rsidRPr="00875443" w:rsidTr="00593FBE">
        <w:tc>
          <w:tcPr>
            <w:tcW w:w="594" w:type="dxa"/>
          </w:tcPr>
          <w:p w:rsidR="003D01EB" w:rsidRPr="00875443" w:rsidRDefault="003D01EB" w:rsidP="00593FBE">
            <w:pPr>
              <w:pStyle w:val="xl24"/>
              <w:spacing w:before="0" w:after="0"/>
              <w:jc w:val="center"/>
              <w:rPr>
                <w:rFonts w:eastAsia="Times New Roman"/>
              </w:rPr>
            </w:pPr>
            <w:r w:rsidRPr="00875443">
              <w:rPr>
                <w:rFonts w:eastAsia="Times New Roman"/>
              </w:rPr>
              <w:t>Pos</w:t>
            </w:r>
          </w:p>
        </w:tc>
        <w:tc>
          <w:tcPr>
            <w:tcW w:w="684" w:type="dxa"/>
            <w:gridSpan w:val="2"/>
          </w:tcPr>
          <w:p w:rsidR="003D01EB" w:rsidRPr="00875443" w:rsidRDefault="003D01EB" w:rsidP="00593FBE">
            <w:pPr>
              <w:pStyle w:val="xl24"/>
              <w:spacing w:before="0" w:after="0"/>
              <w:jc w:val="center"/>
              <w:rPr>
                <w:rFonts w:eastAsia="Times New Roman"/>
              </w:rPr>
            </w:pPr>
            <w:r>
              <w:rPr>
                <w:rFonts w:eastAsia="Times New Roman"/>
              </w:rPr>
              <w:t>A</w:t>
            </w:r>
            <w:r w:rsidRPr="00875443">
              <w:rPr>
                <w:rFonts w:eastAsia="Times New Roman"/>
              </w:rPr>
              <w:t>gt/</w:t>
            </w:r>
            <w:r>
              <w:rPr>
                <w:rFonts w:eastAsia="Times New Roman"/>
              </w:rPr>
              <w:t>A</w:t>
            </w:r>
            <w:r w:rsidRPr="00875443">
              <w:rPr>
                <w:rFonts w:eastAsia="Times New Roman"/>
              </w:rPr>
              <w:t>tty</w:t>
            </w:r>
          </w:p>
        </w:tc>
        <w:tc>
          <w:tcPr>
            <w:tcW w:w="720" w:type="dxa"/>
          </w:tcPr>
          <w:p w:rsidR="003D01EB" w:rsidRPr="00875443" w:rsidRDefault="003D01EB" w:rsidP="00593FBE">
            <w:pPr>
              <w:pStyle w:val="xl24"/>
              <w:spacing w:before="0" w:after="0"/>
              <w:jc w:val="center"/>
              <w:rPr>
                <w:rFonts w:eastAsia="Times New Roman"/>
              </w:rPr>
            </w:pPr>
            <w:r w:rsidRPr="00875443">
              <w:rPr>
                <w:rFonts w:eastAsia="Times New Roman"/>
              </w:rPr>
              <w:t>FTE</w:t>
            </w:r>
          </w:p>
        </w:tc>
        <w:tc>
          <w:tcPr>
            <w:tcW w:w="1170" w:type="dxa"/>
          </w:tcPr>
          <w:p w:rsidR="003D01EB" w:rsidRPr="00875443" w:rsidRDefault="003D01EB" w:rsidP="00593FBE">
            <w:pPr>
              <w:pStyle w:val="xl24"/>
              <w:spacing w:before="0" w:after="0"/>
              <w:jc w:val="center"/>
              <w:rPr>
                <w:rFonts w:eastAsia="Times New Roman"/>
              </w:rPr>
            </w:pPr>
            <w:r w:rsidRPr="00875443">
              <w:rPr>
                <w:rFonts w:eastAsia="Times New Roman"/>
              </w:rPr>
              <w:t>$(000)</w:t>
            </w:r>
          </w:p>
        </w:tc>
        <w:tc>
          <w:tcPr>
            <w:tcW w:w="603" w:type="dxa"/>
          </w:tcPr>
          <w:p w:rsidR="003D01EB" w:rsidRPr="00875443" w:rsidRDefault="003D01EB" w:rsidP="00593FBE">
            <w:pPr>
              <w:pStyle w:val="xl24"/>
              <w:spacing w:before="0" w:after="0"/>
              <w:jc w:val="center"/>
              <w:rPr>
                <w:rFonts w:eastAsia="Times New Roman"/>
              </w:rPr>
            </w:pPr>
            <w:r w:rsidRPr="00875443">
              <w:rPr>
                <w:rFonts w:eastAsia="Times New Roman"/>
              </w:rPr>
              <w:t>Pos</w:t>
            </w:r>
          </w:p>
        </w:tc>
        <w:tc>
          <w:tcPr>
            <w:tcW w:w="747" w:type="dxa"/>
          </w:tcPr>
          <w:p w:rsidR="003D01EB" w:rsidRPr="00875443" w:rsidRDefault="003D01EB" w:rsidP="00593FBE">
            <w:pPr>
              <w:pStyle w:val="xl24"/>
              <w:spacing w:before="0" w:after="0"/>
              <w:jc w:val="center"/>
              <w:rPr>
                <w:rFonts w:eastAsia="Times New Roman"/>
              </w:rPr>
            </w:pPr>
            <w:r>
              <w:rPr>
                <w:rFonts w:eastAsia="Times New Roman"/>
              </w:rPr>
              <w:t>Agt</w:t>
            </w:r>
            <w:r w:rsidRPr="00875443">
              <w:rPr>
                <w:rFonts w:eastAsia="Times New Roman"/>
              </w:rPr>
              <w:t>/</w:t>
            </w:r>
            <w:r>
              <w:rPr>
                <w:rFonts w:eastAsia="Times New Roman"/>
              </w:rPr>
              <w:t>A</w:t>
            </w:r>
            <w:r w:rsidRPr="00875443">
              <w:rPr>
                <w:rFonts w:eastAsia="Times New Roman"/>
              </w:rPr>
              <w:t>tty</w:t>
            </w:r>
          </w:p>
        </w:tc>
        <w:tc>
          <w:tcPr>
            <w:tcW w:w="720" w:type="dxa"/>
          </w:tcPr>
          <w:p w:rsidR="003D01EB" w:rsidRPr="00875443" w:rsidRDefault="003D01EB" w:rsidP="00593FBE">
            <w:pPr>
              <w:pStyle w:val="xl24"/>
              <w:spacing w:before="0" w:after="0"/>
              <w:jc w:val="center"/>
              <w:rPr>
                <w:rFonts w:eastAsia="Times New Roman"/>
              </w:rPr>
            </w:pPr>
            <w:r w:rsidRPr="00875443">
              <w:rPr>
                <w:rFonts w:eastAsia="Times New Roman"/>
              </w:rPr>
              <w:t>FTE</w:t>
            </w:r>
          </w:p>
        </w:tc>
        <w:tc>
          <w:tcPr>
            <w:tcW w:w="1170" w:type="dxa"/>
          </w:tcPr>
          <w:p w:rsidR="003D01EB" w:rsidRPr="00875443" w:rsidRDefault="003D01EB" w:rsidP="00593FBE">
            <w:pPr>
              <w:pStyle w:val="xl24"/>
              <w:spacing w:before="0" w:after="0"/>
              <w:jc w:val="center"/>
              <w:rPr>
                <w:rFonts w:eastAsia="Times New Roman"/>
              </w:rPr>
            </w:pPr>
            <w:r w:rsidRPr="00875443">
              <w:rPr>
                <w:rFonts w:eastAsia="Times New Roman"/>
              </w:rPr>
              <w:t>$(000)</w:t>
            </w:r>
          </w:p>
        </w:tc>
        <w:tc>
          <w:tcPr>
            <w:tcW w:w="590" w:type="dxa"/>
          </w:tcPr>
          <w:p w:rsidR="003D01EB" w:rsidRPr="00875443" w:rsidRDefault="003D01EB" w:rsidP="00593FBE">
            <w:pPr>
              <w:pStyle w:val="xl24"/>
              <w:spacing w:before="0" w:after="0"/>
              <w:jc w:val="center"/>
              <w:rPr>
                <w:rFonts w:eastAsia="Times New Roman"/>
              </w:rPr>
            </w:pPr>
            <w:r w:rsidRPr="00875443">
              <w:rPr>
                <w:rFonts w:eastAsia="Times New Roman"/>
              </w:rPr>
              <w:t>Pos</w:t>
            </w:r>
          </w:p>
        </w:tc>
        <w:tc>
          <w:tcPr>
            <w:tcW w:w="670" w:type="dxa"/>
            <w:gridSpan w:val="2"/>
          </w:tcPr>
          <w:p w:rsidR="003D01EB" w:rsidRPr="00875443" w:rsidRDefault="003D01EB" w:rsidP="00593FBE">
            <w:pPr>
              <w:pStyle w:val="xl24"/>
              <w:spacing w:before="0" w:after="0"/>
              <w:jc w:val="center"/>
              <w:rPr>
                <w:rFonts w:eastAsia="Times New Roman"/>
              </w:rPr>
            </w:pPr>
            <w:r>
              <w:rPr>
                <w:rFonts w:eastAsia="Times New Roman"/>
              </w:rPr>
              <w:t>A</w:t>
            </w:r>
            <w:r w:rsidRPr="00875443">
              <w:rPr>
                <w:rFonts w:eastAsia="Times New Roman"/>
              </w:rPr>
              <w:t>gt/</w:t>
            </w:r>
            <w:r>
              <w:rPr>
                <w:rFonts w:eastAsia="Times New Roman"/>
              </w:rPr>
              <w:t>A</w:t>
            </w:r>
            <w:r w:rsidRPr="00875443">
              <w:rPr>
                <w:rFonts w:eastAsia="Times New Roman"/>
              </w:rPr>
              <w:t>tty</w:t>
            </w:r>
          </w:p>
        </w:tc>
        <w:tc>
          <w:tcPr>
            <w:tcW w:w="720" w:type="dxa"/>
          </w:tcPr>
          <w:p w:rsidR="003D01EB" w:rsidRPr="00875443" w:rsidRDefault="003D01EB" w:rsidP="00593FBE">
            <w:pPr>
              <w:pStyle w:val="xl24"/>
              <w:spacing w:before="0" w:after="0"/>
              <w:jc w:val="center"/>
              <w:rPr>
                <w:rFonts w:eastAsia="Times New Roman"/>
              </w:rPr>
            </w:pPr>
            <w:r w:rsidRPr="00875443">
              <w:rPr>
                <w:rFonts w:eastAsia="Times New Roman"/>
              </w:rPr>
              <w:t>FTE</w:t>
            </w:r>
          </w:p>
        </w:tc>
        <w:tc>
          <w:tcPr>
            <w:tcW w:w="1424" w:type="dxa"/>
          </w:tcPr>
          <w:p w:rsidR="003D01EB" w:rsidRPr="00875443" w:rsidRDefault="003D01EB" w:rsidP="00593FBE">
            <w:pPr>
              <w:pStyle w:val="xl24"/>
              <w:spacing w:before="0" w:after="0"/>
              <w:jc w:val="center"/>
              <w:rPr>
                <w:rFonts w:eastAsia="Times New Roman"/>
              </w:rPr>
            </w:pPr>
            <w:r w:rsidRPr="00875443">
              <w:rPr>
                <w:rFonts w:eastAsia="Times New Roman"/>
              </w:rPr>
              <w:t>$(000)</w:t>
            </w:r>
          </w:p>
        </w:tc>
      </w:tr>
      <w:tr w:rsidR="003D01EB" w:rsidRPr="00875443" w:rsidTr="00593FBE">
        <w:tc>
          <w:tcPr>
            <w:tcW w:w="594" w:type="dxa"/>
          </w:tcPr>
          <w:p w:rsidR="003D01EB" w:rsidRPr="00875443" w:rsidRDefault="003D01EB" w:rsidP="00593FBE">
            <w:pPr>
              <w:pStyle w:val="xl24"/>
              <w:spacing w:before="0" w:after="0"/>
              <w:jc w:val="right"/>
              <w:rPr>
                <w:rFonts w:eastAsia="Times New Roman"/>
              </w:rPr>
            </w:pPr>
            <w:r w:rsidRPr="00875443">
              <w:rPr>
                <w:rFonts w:eastAsia="Times New Roman"/>
              </w:rPr>
              <w:t>90</w:t>
            </w:r>
          </w:p>
        </w:tc>
        <w:tc>
          <w:tcPr>
            <w:tcW w:w="607" w:type="dxa"/>
          </w:tcPr>
          <w:p w:rsidR="003D01EB" w:rsidRPr="00875443" w:rsidRDefault="003D01EB" w:rsidP="00593FBE">
            <w:pPr>
              <w:pStyle w:val="xl24"/>
              <w:spacing w:before="0" w:after="0"/>
              <w:jc w:val="right"/>
              <w:rPr>
                <w:rFonts w:eastAsia="Times New Roman"/>
              </w:rPr>
            </w:pPr>
            <w:r w:rsidRPr="00875443">
              <w:rPr>
                <w:rFonts w:eastAsia="Times New Roman"/>
              </w:rPr>
              <w:t>0</w:t>
            </w:r>
          </w:p>
        </w:tc>
        <w:tc>
          <w:tcPr>
            <w:tcW w:w="797" w:type="dxa"/>
            <w:gridSpan w:val="2"/>
          </w:tcPr>
          <w:p w:rsidR="003D01EB" w:rsidRPr="00875443" w:rsidRDefault="003D01EB" w:rsidP="00593FBE">
            <w:pPr>
              <w:pStyle w:val="xl24"/>
              <w:spacing w:before="0" w:after="0"/>
              <w:jc w:val="right"/>
              <w:rPr>
                <w:rFonts w:eastAsia="Times New Roman"/>
              </w:rPr>
            </w:pPr>
            <w:r w:rsidRPr="00875443">
              <w:rPr>
                <w:rFonts w:eastAsia="Times New Roman"/>
              </w:rPr>
              <w:t>90</w:t>
            </w:r>
          </w:p>
        </w:tc>
        <w:tc>
          <w:tcPr>
            <w:tcW w:w="1170" w:type="dxa"/>
          </w:tcPr>
          <w:p w:rsidR="003D01EB" w:rsidRPr="00875443" w:rsidRDefault="003D01EB" w:rsidP="00593FBE">
            <w:pPr>
              <w:pStyle w:val="xl24"/>
              <w:spacing w:before="0" w:after="0"/>
              <w:jc w:val="right"/>
              <w:rPr>
                <w:rFonts w:eastAsia="Times New Roman"/>
              </w:rPr>
            </w:pPr>
            <w:r w:rsidRPr="00875443">
              <w:rPr>
                <w:rFonts w:eastAsia="Times New Roman"/>
              </w:rPr>
              <w:t>123,163</w:t>
            </w:r>
          </w:p>
        </w:tc>
        <w:tc>
          <w:tcPr>
            <w:tcW w:w="603" w:type="dxa"/>
          </w:tcPr>
          <w:p w:rsidR="003D01EB" w:rsidRPr="00875443" w:rsidRDefault="003D01EB" w:rsidP="00593FBE">
            <w:pPr>
              <w:pStyle w:val="xl24"/>
              <w:spacing w:before="0" w:after="0"/>
              <w:jc w:val="right"/>
              <w:rPr>
                <w:rFonts w:eastAsia="Times New Roman"/>
              </w:rPr>
            </w:pPr>
            <w:r w:rsidRPr="00875443">
              <w:rPr>
                <w:rFonts w:eastAsia="Times New Roman"/>
              </w:rPr>
              <w:t>90</w:t>
            </w:r>
          </w:p>
        </w:tc>
        <w:tc>
          <w:tcPr>
            <w:tcW w:w="747" w:type="dxa"/>
          </w:tcPr>
          <w:p w:rsidR="003D01EB" w:rsidRPr="00875443" w:rsidRDefault="003D01EB" w:rsidP="00593FBE">
            <w:pPr>
              <w:pStyle w:val="xl24"/>
              <w:spacing w:before="0" w:after="0"/>
              <w:jc w:val="right"/>
              <w:rPr>
                <w:rFonts w:eastAsia="Times New Roman"/>
              </w:rPr>
            </w:pPr>
            <w:r w:rsidRPr="00875443">
              <w:rPr>
                <w:rFonts w:eastAsia="Times New Roman"/>
              </w:rPr>
              <w:t>0</w:t>
            </w:r>
          </w:p>
        </w:tc>
        <w:tc>
          <w:tcPr>
            <w:tcW w:w="720" w:type="dxa"/>
          </w:tcPr>
          <w:p w:rsidR="003D01EB" w:rsidRPr="00875443" w:rsidRDefault="003D01EB" w:rsidP="00593FBE">
            <w:pPr>
              <w:pStyle w:val="xl24"/>
              <w:spacing w:before="0" w:after="0"/>
              <w:jc w:val="right"/>
              <w:rPr>
                <w:rFonts w:eastAsia="Times New Roman"/>
              </w:rPr>
            </w:pPr>
            <w:r w:rsidRPr="00875443">
              <w:rPr>
                <w:rFonts w:eastAsia="Times New Roman"/>
              </w:rPr>
              <w:t>90</w:t>
            </w:r>
          </w:p>
        </w:tc>
        <w:tc>
          <w:tcPr>
            <w:tcW w:w="1170" w:type="dxa"/>
          </w:tcPr>
          <w:p w:rsidR="003D01EB" w:rsidRPr="00875443" w:rsidRDefault="003D01EB" w:rsidP="00194AD8">
            <w:pPr>
              <w:pStyle w:val="xl24"/>
              <w:spacing w:before="0" w:after="0"/>
              <w:jc w:val="right"/>
              <w:rPr>
                <w:rFonts w:eastAsia="Times New Roman"/>
              </w:rPr>
            </w:pPr>
            <w:r w:rsidRPr="00875443">
              <w:rPr>
                <w:rFonts w:eastAsia="Times New Roman"/>
              </w:rPr>
              <w:t>12</w:t>
            </w:r>
            <w:r w:rsidR="00194AD8">
              <w:rPr>
                <w:rFonts w:eastAsia="Times New Roman"/>
              </w:rPr>
              <w:t>1,7</w:t>
            </w:r>
            <w:r w:rsidRPr="00875443">
              <w:rPr>
                <w:rFonts w:eastAsia="Times New Roman"/>
              </w:rPr>
              <w:t>63</w:t>
            </w:r>
          </w:p>
        </w:tc>
        <w:tc>
          <w:tcPr>
            <w:tcW w:w="590" w:type="dxa"/>
          </w:tcPr>
          <w:p w:rsidR="003D01EB" w:rsidRPr="00875443" w:rsidRDefault="003D01EB" w:rsidP="00593FBE">
            <w:pPr>
              <w:pStyle w:val="xl24"/>
              <w:spacing w:before="0" w:after="0"/>
              <w:jc w:val="right"/>
              <w:rPr>
                <w:rFonts w:eastAsia="Times New Roman"/>
              </w:rPr>
            </w:pPr>
            <w:r w:rsidRPr="00875443">
              <w:rPr>
                <w:rFonts w:eastAsia="Times New Roman"/>
              </w:rPr>
              <w:t>90</w:t>
            </w:r>
          </w:p>
        </w:tc>
        <w:tc>
          <w:tcPr>
            <w:tcW w:w="607" w:type="dxa"/>
          </w:tcPr>
          <w:p w:rsidR="003D01EB" w:rsidRPr="00875443" w:rsidRDefault="003D01EB" w:rsidP="00593FBE">
            <w:pPr>
              <w:pStyle w:val="xl24"/>
              <w:spacing w:before="0" w:after="0"/>
              <w:jc w:val="right"/>
              <w:rPr>
                <w:rFonts w:eastAsia="Times New Roman"/>
              </w:rPr>
            </w:pPr>
            <w:r w:rsidRPr="00875443">
              <w:rPr>
                <w:rFonts w:eastAsia="Times New Roman"/>
              </w:rPr>
              <w:t>0</w:t>
            </w:r>
          </w:p>
        </w:tc>
        <w:tc>
          <w:tcPr>
            <w:tcW w:w="783" w:type="dxa"/>
            <w:gridSpan w:val="2"/>
          </w:tcPr>
          <w:p w:rsidR="003D01EB" w:rsidRPr="00875443" w:rsidRDefault="003D01EB" w:rsidP="00593FBE">
            <w:pPr>
              <w:pStyle w:val="xl24"/>
              <w:spacing w:before="0" w:after="0"/>
              <w:jc w:val="right"/>
              <w:rPr>
                <w:rFonts w:eastAsia="Times New Roman"/>
              </w:rPr>
            </w:pPr>
            <w:r w:rsidRPr="00875443">
              <w:rPr>
                <w:rFonts w:eastAsia="Times New Roman"/>
              </w:rPr>
              <w:t>90</w:t>
            </w:r>
          </w:p>
        </w:tc>
        <w:tc>
          <w:tcPr>
            <w:tcW w:w="1424" w:type="dxa"/>
          </w:tcPr>
          <w:p w:rsidR="003D01EB" w:rsidRPr="00875443" w:rsidRDefault="003D01EB" w:rsidP="00194AD8">
            <w:pPr>
              <w:pStyle w:val="xl24"/>
              <w:spacing w:before="0" w:after="0"/>
              <w:jc w:val="right"/>
              <w:rPr>
                <w:rFonts w:eastAsia="Times New Roman"/>
              </w:rPr>
            </w:pPr>
            <w:r w:rsidRPr="00875443">
              <w:rPr>
                <w:rFonts w:eastAsia="Times New Roman"/>
              </w:rPr>
              <w:t>12</w:t>
            </w:r>
            <w:r w:rsidR="00194AD8">
              <w:rPr>
                <w:rFonts w:eastAsia="Times New Roman"/>
              </w:rPr>
              <w:t>7</w:t>
            </w:r>
            <w:r w:rsidRPr="00875443">
              <w:rPr>
                <w:rFonts w:eastAsia="Times New Roman"/>
              </w:rPr>
              <w:t>,</w:t>
            </w:r>
            <w:r w:rsidR="00194AD8">
              <w:rPr>
                <w:rFonts w:eastAsia="Times New Roman"/>
              </w:rPr>
              <w:t>254</w:t>
            </w:r>
          </w:p>
        </w:tc>
      </w:tr>
    </w:tbl>
    <w:p w:rsidR="003D01EB" w:rsidRDefault="003D01EB" w:rsidP="003D01EB">
      <w:pPr>
        <w:pStyle w:val="BodyText"/>
        <w:rPr>
          <w:szCs w:val="24"/>
          <w:u w:val="single"/>
        </w:rPr>
      </w:pPr>
    </w:p>
    <w:p w:rsidR="003D01EB" w:rsidRPr="00875443" w:rsidRDefault="003D01EB" w:rsidP="003D01EB">
      <w:pPr>
        <w:pStyle w:val="BodyText"/>
        <w:rPr>
          <w:szCs w:val="24"/>
        </w:rPr>
      </w:pPr>
      <w:r w:rsidRPr="00875443">
        <w:rPr>
          <w:szCs w:val="24"/>
          <w:u w:val="single"/>
        </w:rPr>
        <w:t>Personnel Reduction Cost Summary</w:t>
      </w:r>
    </w:p>
    <w:p w:rsidR="003D01EB" w:rsidRPr="00875443" w:rsidRDefault="003D01EB" w:rsidP="003D01EB">
      <w:pPr>
        <w:pStyle w:val="BodyText"/>
        <w:rPr>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5"/>
        <w:gridCol w:w="1433"/>
        <w:gridCol w:w="1440"/>
        <w:gridCol w:w="1530"/>
        <w:gridCol w:w="1890"/>
        <w:gridCol w:w="1890"/>
      </w:tblGrid>
      <w:tr w:rsidR="003D01EB" w:rsidRPr="00875443" w:rsidTr="00593FBE">
        <w:tc>
          <w:tcPr>
            <w:tcW w:w="1645" w:type="dxa"/>
            <w:shd w:val="clear" w:color="auto" w:fill="E6E6E6"/>
            <w:vAlign w:val="center"/>
          </w:tcPr>
          <w:p w:rsidR="003D01EB" w:rsidRPr="00875443" w:rsidRDefault="003D01EB" w:rsidP="00593FBE">
            <w:pPr>
              <w:jc w:val="center"/>
            </w:pPr>
            <w:r w:rsidRPr="00875443">
              <w:t>Type of Position</w:t>
            </w:r>
          </w:p>
        </w:tc>
        <w:tc>
          <w:tcPr>
            <w:tcW w:w="1433" w:type="dxa"/>
            <w:vAlign w:val="center"/>
          </w:tcPr>
          <w:p w:rsidR="003D01EB" w:rsidRPr="00875443" w:rsidRDefault="003D01EB" w:rsidP="00593FBE">
            <w:pPr>
              <w:jc w:val="center"/>
            </w:pPr>
            <w:r w:rsidRPr="00875443">
              <w:t>Modular Cost</w:t>
            </w:r>
          </w:p>
          <w:p w:rsidR="003D01EB" w:rsidRPr="00875443" w:rsidRDefault="003D01EB" w:rsidP="00593FBE">
            <w:pPr>
              <w:jc w:val="center"/>
            </w:pPr>
            <w:r w:rsidRPr="00875443">
              <w:t>per Position</w:t>
            </w:r>
          </w:p>
          <w:p w:rsidR="003D01EB" w:rsidRPr="00875443" w:rsidRDefault="003D01EB" w:rsidP="00593FBE">
            <w:pPr>
              <w:jc w:val="center"/>
            </w:pPr>
            <w:r w:rsidRPr="00875443">
              <w:t>($000)</w:t>
            </w:r>
          </w:p>
        </w:tc>
        <w:tc>
          <w:tcPr>
            <w:tcW w:w="1440" w:type="dxa"/>
            <w:vAlign w:val="center"/>
          </w:tcPr>
          <w:p w:rsidR="003D01EB" w:rsidRPr="00875443" w:rsidRDefault="003D01EB" w:rsidP="00593FBE">
            <w:pPr>
              <w:jc w:val="center"/>
            </w:pPr>
            <w:r w:rsidRPr="00875443">
              <w:t>Number of</w:t>
            </w:r>
          </w:p>
          <w:p w:rsidR="003D01EB" w:rsidRPr="00875443" w:rsidRDefault="003D01EB" w:rsidP="00593FBE">
            <w:pPr>
              <w:jc w:val="center"/>
            </w:pPr>
            <w:r w:rsidRPr="00875443">
              <w:t>Positions</w:t>
            </w:r>
          </w:p>
          <w:p w:rsidR="003D01EB" w:rsidRPr="00875443" w:rsidRDefault="003D01EB" w:rsidP="00593FBE">
            <w:pPr>
              <w:jc w:val="center"/>
            </w:pPr>
            <w:r w:rsidRPr="00875443">
              <w:t>Reduced</w:t>
            </w:r>
          </w:p>
        </w:tc>
        <w:tc>
          <w:tcPr>
            <w:tcW w:w="1530" w:type="dxa"/>
            <w:vAlign w:val="center"/>
          </w:tcPr>
          <w:p w:rsidR="003D01EB" w:rsidRPr="00875443" w:rsidRDefault="003D01EB" w:rsidP="00593FBE">
            <w:pPr>
              <w:jc w:val="center"/>
            </w:pPr>
            <w:r w:rsidRPr="00875443">
              <w:t>FY 2013</w:t>
            </w:r>
          </w:p>
          <w:p w:rsidR="003D01EB" w:rsidRPr="00875443" w:rsidRDefault="003D01EB" w:rsidP="00593FBE">
            <w:pPr>
              <w:jc w:val="center"/>
            </w:pPr>
            <w:r w:rsidRPr="00875443">
              <w:t>Request</w:t>
            </w:r>
          </w:p>
          <w:p w:rsidR="003D01EB" w:rsidRPr="00875443" w:rsidRDefault="003D01EB" w:rsidP="00593FBE">
            <w:pPr>
              <w:jc w:val="center"/>
            </w:pPr>
            <w:r w:rsidRPr="00875443">
              <w:t>($000)</w:t>
            </w:r>
          </w:p>
        </w:tc>
        <w:tc>
          <w:tcPr>
            <w:tcW w:w="1890" w:type="dxa"/>
            <w:vAlign w:val="center"/>
          </w:tcPr>
          <w:p w:rsidR="003D01EB" w:rsidRPr="00875443" w:rsidRDefault="003D01EB" w:rsidP="00593FBE">
            <w:pPr>
              <w:jc w:val="center"/>
            </w:pPr>
            <w:r w:rsidRPr="00875443">
              <w:t>FY 2014 Net</w:t>
            </w:r>
          </w:p>
          <w:p w:rsidR="003D01EB" w:rsidRPr="00875443" w:rsidRDefault="003D01EB" w:rsidP="00593FBE">
            <w:pPr>
              <w:jc w:val="center"/>
            </w:pPr>
            <w:r w:rsidRPr="00875443">
              <w:t>Annualization (change from 2012)</w:t>
            </w:r>
          </w:p>
          <w:p w:rsidR="003D01EB" w:rsidRPr="00875443" w:rsidRDefault="003D01EB" w:rsidP="00593FBE">
            <w:pPr>
              <w:jc w:val="center"/>
            </w:pPr>
            <w:r w:rsidRPr="00875443">
              <w:t>($000)</w:t>
            </w:r>
          </w:p>
        </w:tc>
        <w:tc>
          <w:tcPr>
            <w:tcW w:w="1890" w:type="dxa"/>
          </w:tcPr>
          <w:p w:rsidR="003D01EB" w:rsidRPr="00875443" w:rsidRDefault="003D01EB" w:rsidP="00593FBE">
            <w:pPr>
              <w:jc w:val="center"/>
            </w:pPr>
            <w:r w:rsidRPr="00875443">
              <w:t>FY 2015 Net</w:t>
            </w:r>
          </w:p>
          <w:p w:rsidR="003D01EB" w:rsidRPr="00875443" w:rsidRDefault="003D01EB" w:rsidP="00593FBE">
            <w:pPr>
              <w:jc w:val="center"/>
            </w:pPr>
            <w:r w:rsidRPr="00875443">
              <w:t>Annualization (change from 2013)</w:t>
            </w:r>
          </w:p>
          <w:p w:rsidR="003D01EB" w:rsidRPr="00875443" w:rsidRDefault="003D01EB" w:rsidP="00593FBE">
            <w:pPr>
              <w:jc w:val="center"/>
            </w:pPr>
            <w:r w:rsidRPr="00875443">
              <w:t>($000)</w:t>
            </w:r>
          </w:p>
        </w:tc>
      </w:tr>
      <w:tr w:rsidR="003D01EB" w:rsidRPr="00875443" w:rsidTr="00593FBE">
        <w:tc>
          <w:tcPr>
            <w:tcW w:w="1645" w:type="dxa"/>
          </w:tcPr>
          <w:p w:rsidR="003D01EB" w:rsidRPr="00875443" w:rsidRDefault="003D01EB" w:rsidP="00593FBE"/>
        </w:tc>
        <w:tc>
          <w:tcPr>
            <w:tcW w:w="1433" w:type="dxa"/>
            <w:vAlign w:val="center"/>
          </w:tcPr>
          <w:p w:rsidR="003D01EB" w:rsidRPr="00875443" w:rsidRDefault="003D01EB" w:rsidP="00593FBE">
            <w:pPr>
              <w:jc w:val="right"/>
            </w:pPr>
            <w:r w:rsidRPr="00875443">
              <w:t>0</w:t>
            </w:r>
          </w:p>
        </w:tc>
        <w:tc>
          <w:tcPr>
            <w:tcW w:w="1440" w:type="dxa"/>
            <w:vAlign w:val="center"/>
          </w:tcPr>
          <w:p w:rsidR="003D01EB" w:rsidRPr="00875443" w:rsidRDefault="003D01EB" w:rsidP="00593FBE">
            <w:pPr>
              <w:jc w:val="right"/>
            </w:pPr>
            <w:r w:rsidRPr="00875443">
              <w:t>0</w:t>
            </w:r>
          </w:p>
        </w:tc>
        <w:tc>
          <w:tcPr>
            <w:tcW w:w="1530" w:type="dxa"/>
            <w:vAlign w:val="center"/>
          </w:tcPr>
          <w:p w:rsidR="003D01EB" w:rsidRPr="00875443" w:rsidRDefault="003D01EB" w:rsidP="00593FBE">
            <w:pPr>
              <w:jc w:val="right"/>
            </w:pPr>
            <w:r w:rsidRPr="00875443">
              <w:t>0</w:t>
            </w:r>
          </w:p>
        </w:tc>
        <w:tc>
          <w:tcPr>
            <w:tcW w:w="1890" w:type="dxa"/>
            <w:vAlign w:val="center"/>
          </w:tcPr>
          <w:p w:rsidR="003D01EB" w:rsidRPr="00875443" w:rsidRDefault="003D01EB" w:rsidP="00593FBE">
            <w:pPr>
              <w:jc w:val="right"/>
            </w:pPr>
            <w:r w:rsidRPr="00875443">
              <w:t>0</w:t>
            </w:r>
          </w:p>
        </w:tc>
        <w:tc>
          <w:tcPr>
            <w:tcW w:w="1890" w:type="dxa"/>
          </w:tcPr>
          <w:p w:rsidR="003D01EB" w:rsidRPr="00875443" w:rsidRDefault="003D01EB" w:rsidP="00593FBE">
            <w:pPr>
              <w:jc w:val="right"/>
            </w:pPr>
            <w:r w:rsidRPr="00875443">
              <w:t>0</w:t>
            </w:r>
          </w:p>
        </w:tc>
      </w:tr>
      <w:tr w:rsidR="003D01EB" w:rsidRPr="00875443" w:rsidTr="00593FBE">
        <w:tc>
          <w:tcPr>
            <w:tcW w:w="1645" w:type="dxa"/>
          </w:tcPr>
          <w:p w:rsidR="003D01EB" w:rsidRPr="00875443" w:rsidRDefault="003D01EB" w:rsidP="00593FBE">
            <w:r w:rsidRPr="00875443">
              <w:t>Total Personnel</w:t>
            </w:r>
          </w:p>
        </w:tc>
        <w:tc>
          <w:tcPr>
            <w:tcW w:w="1433" w:type="dxa"/>
            <w:vAlign w:val="center"/>
          </w:tcPr>
          <w:p w:rsidR="003D01EB" w:rsidRPr="00875443" w:rsidRDefault="003D01EB" w:rsidP="00593FBE">
            <w:pPr>
              <w:jc w:val="right"/>
            </w:pPr>
            <w:r w:rsidRPr="00875443">
              <w:t>0</w:t>
            </w:r>
          </w:p>
        </w:tc>
        <w:tc>
          <w:tcPr>
            <w:tcW w:w="1440" w:type="dxa"/>
            <w:vAlign w:val="center"/>
          </w:tcPr>
          <w:p w:rsidR="003D01EB" w:rsidRPr="00875443" w:rsidRDefault="003D01EB" w:rsidP="00593FBE">
            <w:pPr>
              <w:jc w:val="right"/>
            </w:pPr>
            <w:r w:rsidRPr="00875443">
              <w:t>0</w:t>
            </w:r>
          </w:p>
        </w:tc>
        <w:tc>
          <w:tcPr>
            <w:tcW w:w="1530" w:type="dxa"/>
            <w:vAlign w:val="center"/>
          </w:tcPr>
          <w:p w:rsidR="003D01EB" w:rsidRPr="00875443" w:rsidRDefault="003D01EB" w:rsidP="00593FBE">
            <w:pPr>
              <w:jc w:val="right"/>
            </w:pPr>
            <w:r w:rsidRPr="00875443">
              <w:t>0</w:t>
            </w:r>
          </w:p>
        </w:tc>
        <w:tc>
          <w:tcPr>
            <w:tcW w:w="1890" w:type="dxa"/>
            <w:vAlign w:val="center"/>
          </w:tcPr>
          <w:p w:rsidR="003D01EB" w:rsidRPr="00875443" w:rsidRDefault="003D01EB" w:rsidP="00593FBE">
            <w:pPr>
              <w:jc w:val="right"/>
            </w:pPr>
            <w:r w:rsidRPr="00875443">
              <w:t>0</w:t>
            </w:r>
          </w:p>
        </w:tc>
        <w:tc>
          <w:tcPr>
            <w:tcW w:w="1890" w:type="dxa"/>
          </w:tcPr>
          <w:p w:rsidR="003D01EB" w:rsidRPr="00875443" w:rsidRDefault="003D01EB" w:rsidP="00593FBE">
            <w:pPr>
              <w:jc w:val="right"/>
            </w:pPr>
            <w:r w:rsidRPr="00875443">
              <w:t>0</w:t>
            </w:r>
          </w:p>
        </w:tc>
      </w:tr>
    </w:tbl>
    <w:p w:rsidR="003D01EB" w:rsidRPr="00875443" w:rsidRDefault="003D01EB" w:rsidP="003D01EB">
      <w:pPr>
        <w:pStyle w:val="xl24"/>
        <w:spacing w:before="0" w:after="0"/>
        <w:rPr>
          <w:rFonts w:eastAsia="Times New Roman"/>
        </w:rPr>
      </w:pPr>
      <w:r w:rsidRPr="00875443">
        <w:rPr>
          <w:rFonts w:eastAsia="Times New Roman"/>
        </w:rPr>
        <w:t>Non-Personnel Reduction Cost Summary</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4"/>
        <w:gridCol w:w="1344"/>
        <w:gridCol w:w="1530"/>
        <w:gridCol w:w="1530"/>
        <w:gridCol w:w="1890"/>
        <w:gridCol w:w="1890"/>
      </w:tblGrid>
      <w:tr w:rsidR="003D01EB" w:rsidRPr="00875443" w:rsidTr="00593FBE">
        <w:tc>
          <w:tcPr>
            <w:tcW w:w="1644" w:type="dxa"/>
            <w:shd w:val="clear" w:color="auto" w:fill="E6E6E6"/>
            <w:vAlign w:val="center"/>
          </w:tcPr>
          <w:p w:rsidR="003D01EB" w:rsidRPr="00875443" w:rsidRDefault="003D01EB" w:rsidP="00593FBE">
            <w:pPr>
              <w:jc w:val="center"/>
            </w:pPr>
            <w:r w:rsidRPr="00875443">
              <w:t>Non-Personnel Item</w:t>
            </w:r>
          </w:p>
        </w:tc>
        <w:tc>
          <w:tcPr>
            <w:tcW w:w="1344" w:type="dxa"/>
            <w:vAlign w:val="center"/>
          </w:tcPr>
          <w:p w:rsidR="003D01EB" w:rsidRPr="00875443" w:rsidRDefault="003D01EB" w:rsidP="00593FBE">
            <w:pPr>
              <w:jc w:val="center"/>
            </w:pPr>
            <w:r w:rsidRPr="00875443">
              <w:t>Unit</w:t>
            </w:r>
          </w:p>
        </w:tc>
        <w:tc>
          <w:tcPr>
            <w:tcW w:w="1530" w:type="dxa"/>
            <w:vAlign w:val="center"/>
          </w:tcPr>
          <w:p w:rsidR="003D01EB" w:rsidRPr="00875443" w:rsidRDefault="003D01EB" w:rsidP="00593FBE">
            <w:pPr>
              <w:jc w:val="center"/>
            </w:pPr>
            <w:r w:rsidRPr="00875443">
              <w:t>Quantity</w:t>
            </w:r>
          </w:p>
        </w:tc>
        <w:tc>
          <w:tcPr>
            <w:tcW w:w="1530" w:type="dxa"/>
            <w:vAlign w:val="center"/>
          </w:tcPr>
          <w:p w:rsidR="003D01EB" w:rsidRPr="00875443" w:rsidRDefault="003D01EB" w:rsidP="00593FBE">
            <w:pPr>
              <w:jc w:val="center"/>
            </w:pPr>
            <w:r w:rsidRPr="00875443">
              <w:t>FY 2013</w:t>
            </w:r>
          </w:p>
          <w:p w:rsidR="003D01EB" w:rsidRPr="00875443" w:rsidRDefault="003D01EB" w:rsidP="00593FBE">
            <w:pPr>
              <w:jc w:val="center"/>
            </w:pPr>
            <w:r w:rsidRPr="00875443">
              <w:t>Request</w:t>
            </w:r>
          </w:p>
          <w:p w:rsidR="003D01EB" w:rsidRPr="00875443" w:rsidRDefault="003D01EB" w:rsidP="00593FBE">
            <w:pPr>
              <w:jc w:val="center"/>
            </w:pPr>
            <w:r w:rsidRPr="00875443">
              <w:t>($000)</w:t>
            </w:r>
          </w:p>
        </w:tc>
        <w:tc>
          <w:tcPr>
            <w:tcW w:w="1890" w:type="dxa"/>
            <w:vAlign w:val="center"/>
          </w:tcPr>
          <w:p w:rsidR="003D01EB" w:rsidRPr="00875443" w:rsidRDefault="003D01EB" w:rsidP="00593FBE">
            <w:pPr>
              <w:jc w:val="center"/>
            </w:pPr>
            <w:r w:rsidRPr="00875443">
              <w:t>FY 2014 Net</w:t>
            </w:r>
          </w:p>
          <w:p w:rsidR="003D01EB" w:rsidRPr="00875443" w:rsidRDefault="003D01EB" w:rsidP="00593FBE">
            <w:pPr>
              <w:jc w:val="center"/>
            </w:pPr>
            <w:r w:rsidRPr="00875443">
              <w:t>Annualization (change from 2012)</w:t>
            </w:r>
          </w:p>
          <w:p w:rsidR="003D01EB" w:rsidRPr="00875443" w:rsidRDefault="003D01EB" w:rsidP="00593FBE">
            <w:pPr>
              <w:jc w:val="center"/>
            </w:pPr>
            <w:r w:rsidRPr="00875443">
              <w:t>($000)</w:t>
            </w:r>
          </w:p>
        </w:tc>
        <w:tc>
          <w:tcPr>
            <w:tcW w:w="1890" w:type="dxa"/>
          </w:tcPr>
          <w:p w:rsidR="003D01EB" w:rsidRPr="00875443" w:rsidRDefault="003D01EB" w:rsidP="00593FBE">
            <w:pPr>
              <w:jc w:val="center"/>
            </w:pPr>
            <w:r w:rsidRPr="00875443">
              <w:t>FY 2015 Net</w:t>
            </w:r>
          </w:p>
          <w:p w:rsidR="003D01EB" w:rsidRPr="00875443" w:rsidRDefault="003D01EB" w:rsidP="00593FBE">
            <w:pPr>
              <w:jc w:val="center"/>
            </w:pPr>
            <w:r w:rsidRPr="00875443">
              <w:t>Annualization (change from 2013)</w:t>
            </w:r>
          </w:p>
          <w:p w:rsidR="003D01EB" w:rsidRPr="00875443" w:rsidRDefault="003D01EB" w:rsidP="00593FBE">
            <w:pPr>
              <w:jc w:val="center"/>
            </w:pPr>
            <w:r w:rsidRPr="00875443">
              <w:t>($000)</w:t>
            </w:r>
          </w:p>
        </w:tc>
      </w:tr>
      <w:tr w:rsidR="003D01EB" w:rsidRPr="00875443" w:rsidTr="00593FBE">
        <w:tc>
          <w:tcPr>
            <w:tcW w:w="1644" w:type="dxa"/>
          </w:tcPr>
          <w:p w:rsidR="003D01EB" w:rsidRPr="00875443" w:rsidRDefault="003D01EB" w:rsidP="00593FBE">
            <w:r>
              <w:t>IT Services</w:t>
            </w:r>
          </w:p>
        </w:tc>
        <w:tc>
          <w:tcPr>
            <w:tcW w:w="1344" w:type="dxa"/>
            <w:vAlign w:val="center"/>
          </w:tcPr>
          <w:p w:rsidR="003D01EB" w:rsidRPr="00875443" w:rsidRDefault="003D01EB" w:rsidP="00593FBE">
            <w:pPr>
              <w:pStyle w:val="xl19"/>
              <w:jc w:val="right"/>
            </w:pPr>
            <w:r w:rsidRPr="00875443">
              <w:t>0</w:t>
            </w:r>
          </w:p>
        </w:tc>
        <w:tc>
          <w:tcPr>
            <w:tcW w:w="1530" w:type="dxa"/>
            <w:vAlign w:val="center"/>
          </w:tcPr>
          <w:p w:rsidR="003D01EB" w:rsidRPr="00875443" w:rsidRDefault="003D01EB" w:rsidP="00593FBE">
            <w:pPr>
              <w:jc w:val="right"/>
            </w:pPr>
            <w:r w:rsidRPr="00875443">
              <w:t>0</w:t>
            </w:r>
          </w:p>
        </w:tc>
        <w:tc>
          <w:tcPr>
            <w:tcW w:w="1530" w:type="dxa"/>
            <w:vAlign w:val="center"/>
          </w:tcPr>
          <w:p w:rsidR="003D01EB" w:rsidRPr="00875443" w:rsidRDefault="003D01EB" w:rsidP="00593FBE">
            <w:pPr>
              <w:jc w:val="right"/>
            </w:pPr>
            <w:r w:rsidRPr="00875443">
              <w:t>(2,095)</w:t>
            </w:r>
          </w:p>
        </w:tc>
        <w:tc>
          <w:tcPr>
            <w:tcW w:w="1890" w:type="dxa"/>
            <w:vAlign w:val="center"/>
          </w:tcPr>
          <w:p w:rsidR="003D01EB" w:rsidRPr="00875443" w:rsidRDefault="003D01EB" w:rsidP="00593FBE">
            <w:pPr>
              <w:jc w:val="right"/>
            </w:pPr>
            <w:r w:rsidRPr="00875443">
              <w:t>0</w:t>
            </w:r>
          </w:p>
        </w:tc>
        <w:tc>
          <w:tcPr>
            <w:tcW w:w="1890" w:type="dxa"/>
          </w:tcPr>
          <w:p w:rsidR="003D01EB" w:rsidRPr="00875443" w:rsidRDefault="003D01EB" w:rsidP="00593FBE">
            <w:pPr>
              <w:jc w:val="right"/>
            </w:pPr>
            <w:r w:rsidRPr="00875443">
              <w:t>0</w:t>
            </w:r>
          </w:p>
        </w:tc>
      </w:tr>
      <w:tr w:rsidR="003D01EB" w:rsidRPr="00875443" w:rsidTr="00593FBE">
        <w:tc>
          <w:tcPr>
            <w:tcW w:w="1644" w:type="dxa"/>
          </w:tcPr>
          <w:p w:rsidR="003D01EB" w:rsidRPr="00875443" w:rsidRDefault="003D01EB" w:rsidP="00593FBE">
            <w:r w:rsidRPr="00875443">
              <w:t>Total Non-Personnel</w:t>
            </w:r>
          </w:p>
        </w:tc>
        <w:tc>
          <w:tcPr>
            <w:tcW w:w="1344" w:type="dxa"/>
            <w:vAlign w:val="center"/>
          </w:tcPr>
          <w:p w:rsidR="003D01EB" w:rsidRPr="00875443" w:rsidRDefault="003D01EB" w:rsidP="00593FBE">
            <w:pPr>
              <w:pStyle w:val="xl19"/>
              <w:jc w:val="right"/>
            </w:pPr>
            <w:r w:rsidRPr="00875443">
              <w:t>0</w:t>
            </w:r>
          </w:p>
        </w:tc>
        <w:tc>
          <w:tcPr>
            <w:tcW w:w="1530" w:type="dxa"/>
            <w:vAlign w:val="center"/>
          </w:tcPr>
          <w:p w:rsidR="003D01EB" w:rsidRPr="00875443" w:rsidRDefault="003D01EB" w:rsidP="00593FBE">
            <w:pPr>
              <w:jc w:val="right"/>
            </w:pPr>
            <w:r w:rsidRPr="00875443">
              <w:t>0</w:t>
            </w:r>
          </w:p>
        </w:tc>
        <w:tc>
          <w:tcPr>
            <w:tcW w:w="1530" w:type="dxa"/>
            <w:vAlign w:val="center"/>
          </w:tcPr>
          <w:p w:rsidR="003D01EB" w:rsidRPr="00875443" w:rsidRDefault="003D01EB" w:rsidP="00593FBE">
            <w:pPr>
              <w:jc w:val="right"/>
            </w:pPr>
            <w:r w:rsidRPr="00875443">
              <w:t>(2,095)</w:t>
            </w:r>
          </w:p>
        </w:tc>
        <w:tc>
          <w:tcPr>
            <w:tcW w:w="1890" w:type="dxa"/>
            <w:vAlign w:val="center"/>
          </w:tcPr>
          <w:p w:rsidR="003D01EB" w:rsidRPr="00875443" w:rsidRDefault="003D01EB" w:rsidP="00593FBE">
            <w:pPr>
              <w:jc w:val="right"/>
            </w:pPr>
            <w:r w:rsidRPr="00875443">
              <w:t>0</w:t>
            </w:r>
          </w:p>
        </w:tc>
        <w:tc>
          <w:tcPr>
            <w:tcW w:w="1890" w:type="dxa"/>
            <w:vAlign w:val="center"/>
          </w:tcPr>
          <w:p w:rsidR="003D01EB" w:rsidRPr="00875443" w:rsidRDefault="003D01EB" w:rsidP="00593FBE">
            <w:pPr>
              <w:jc w:val="right"/>
            </w:pPr>
            <w:r w:rsidRPr="00875443">
              <w:t>0</w:t>
            </w:r>
          </w:p>
        </w:tc>
      </w:tr>
    </w:tbl>
    <w:p w:rsidR="003D01EB" w:rsidRPr="00875443" w:rsidRDefault="003D01EB" w:rsidP="003D01EB">
      <w:pPr>
        <w:pStyle w:val="xl24"/>
        <w:spacing w:before="0" w:after="0"/>
        <w:rPr>
          <w:rFonts w:eastAsia="Times New Roman"/>
        </w:rPr>
      </w:pPr>
      <w:r w:rsidRPr="00875443">
        <w:rPr>
          <w:rFonts w:eastAsia="Times New Roman"/>
        </w:rPr>
        <w:t>Total Request for this Item</w:t>
      </w:r>
    </w:p>
    <w:tbl>
      <w:tblPr>
        <w:tblW w:w="10739"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3"/>
        <w:gridCol w:w="630"/>
        <w:gridCol w:w="990"/>
        <w:gridCol w:w="720"/>
        <w:gridCol w:w="1170"/>
        <w:gridCol w:w="1170"/>
        <w:gridCol w:w="1080"/>
        <w:gridCol w:w="1856"/>
        <w:gridCol w:w="1890"/>
      </w:tblGrid>
      <w:tr w:rsidR="003D01EB" w:rsidRPr="00875443" w:rsidTr="00593FBE">
        <w:trPr>
          <w:trHeight w:val="658"/>
        </w:trPr>
        <w:tc>
          <w:tcPr>
            <w:tcW w:w="1233" w:type="dxa"/>
            <w:shd w:val="clear" w:color="auto" w:fill="E6E6E6"/>
          </w:tcPr>
          <w:p w:rsidR="003D01EB" w:rsidRPr="00875443" w:rsidRDefault="003D01EB" w:rsidP="00593FBE"/>
        </w:tc>
        <w:tc>
          <w:tcPr>
            <w:tcW w:w="630" w:type="dxa"/>
            <w:vAlign w:val="center"/>
          </w:tcPr>
          <w:p w:rsidR="003D01EB" w:rsidRPr="00875443" w:rsidRDefault="003D01EB" w:rsidP="00593FBE">
            <w:pPr>
              <w:jc w:val="center"/>
            </w:pPr>
            <w:r w:rsidRPr="00875443">
              <w:t>Pos</w:t>
            </w:r>
          </w:p>
        </w:tc>
        <w:tc>
          <w:tcPr>
            <w:tcW w:w="990" w:type="dxa"/>
            <w:vAlign w:val="center"/>
          </w:tcPr>
          <w:p w:rsidR="003D01EB" w:rsidRPr="00875443" w:rsidRDefault="003D01EB" w:rsidP="00593FBE">
            <w:pPr>
              <w:jc w:val="center"/>
            </w:pPr>
          </w:p>
          <w:p w:rsidR="003D01EB" w:rsidRDefault="003D01EB" w:rsidP="00593FBE">
            <w:pPr>
              <w:jc w:val="center"/>
            </w:pPr>
            <w:r w:rsidRPr="00875443">
              <w:t>Agt/</w:t>
            </w:r>
          </w:p>
          <w:p w:rsidR="003D01EB" w:rsidRPr="00875443" w:rsidRDefault="003D01EB" w:rsidP="00593FBE">
            <w:pPr>
              <w:jc w:val="center"/>
            </w:pPr>
            <w:r w:rsidRPr="00875443">
              <w:t>Atty</w:t>
            </w:r>
          </w:p>
          <w:p w:rsidR="003D01EB" w:rsidRPr="00875443" w:rsidRDefault="003D01EB" w:rsidP="00593FBE">
            <w:pPr>
              <w:jc w:val="center"/>
            </w:pPr>
          </w:p>
        </w:tc>
        <w:tc>
          <w:tcPr>
            <w:tcW w:w="720" w:type="dxa"/>
            <w:vAlign w:val="center"/>
          </w:tcPr>
          <w:p w:rsidR="003D01EB" w:rsidRPr="00875443" w:rsidRDefault="003D01EB" w:rsidP="00593FBE">
            <w:pPr>
              <w:jc w:val="center"/>
            </w:pPr>
            <w:r w:rsidRPr="00875443">
              <w:t>FTE</w:t>
            </w:r>
          </w:p>
        </w:tc>
        <w:tc>
          <w:tcPr>
            <w:tcW w:w="1170" w:type="dxa"/>
            <w:vAlign w:val="center"/>
          </w:tcPr>
          <w:p w:rsidR="003D01EB" w:rsidRPr="00875443" w:rsidRDefault="003D01EB" w:rsidP="00593FBE">
            <w:pPr>
              <w:jc w:val="center"/>
            </w:pPr>
            <w:r w:rsidRPr="00875443">
              <w:t>Personnel</w:t>
            </w:r>
          </w:p>
          <w:p w:rsidR="003D01EB" w:rsidRPr="00875443" w:rsidRDefault="003D01EB" w:rsidP="00593FBE">
            <w:pPr>
              <w:jc w:val="center"/>
            </w:pPr>
            <w:r w:rsidRPr="00875443">
              <w:t>($000)</w:t>
            </w:r>
          </w:p>
        </w:tc>
        <w:tc>
          <w:tcPr>
            <w:tcW w:w="1170" w:type="dxa"/>
            <w:vAlign w:val="center"/>
          </w:tcPr>
          <w:p w:rsidR="003D01EB" w:rsidRPr="00875443" w:rsidRDefault="003D01EB" w:rsidP="00593FBE">
            <w:pPr>
              <w:jc w:val="center"/>
            </w:pPr>
            <w:r w:rsidRPr="00875443">
              <w:t>Non-Personnel</w:t>
            </w:r>
          </w:p>
          <w:p w:rsidR="003D01EB" w:rsidRPr="00875443" w:rsidRDefault="003D01EB" w:rsidP="00593FBE">
            <w:pPr>
              <w:jc w:val="center"/>
            </w:pPr>
            <w:r w:rsidRPr="00875443">
              <w:t>($000)</w:t>
            </w:r>
          </w:p>
        </w:tc>
        <w:tc>
          <w:tcPr>
            <w:tcW w:w="1080" w:type="dxa"/>
            <w:vAlign w:val="center"/>
          </w:tcPr>
          <w:p w:rsidR="003D01EB" w:rsidRPr="00875443" w:rsidRDefault="003D01EB" w:rsidP="00593FBE">
            <w:pPr>
              <w:jc w:val="center"/>
            </w:pPr>
            <w:r w:rsidRPr="00875443">
              <w:t>Total</w:t>
            </w:r>
          </w:p>
          <w:p w:rsidR="003D01EB" w:rsidRPr="00875443" w:rsidRDefault="003D01EB" w:rsidP="00593FBE">
            <w:pPr>
              <w:jc w:val="center"/>
            </w:pPr>
            <w:r w:rsidRPr="00875443">
              <w:t>($000)</w:t>
            </w:r>
          </w:p>
        </w:tc>
        <w:tc>
          <w:tcPr>
            <w:tcW w:w="1856" w:type="dxa"/>
            <w:vAlign w:val="center"/>
          </w:tcPr>
          <w:p w:rsidR="003D01EB" w:rsidRPr="00875443" w:rsidRDefault="003D01EB" w:rsidP="00593FBE">
            <w:pPr>
              <w:jc w:val="center"/>
            </w:pPr>
            <w:r w:rsidRPr="00875443">
              <w:t>FY 2014 Net</w:t>
            </w:r>
          </w:p>
          <w:p w:rsidR="003D01EB" w:rsidRPr="00875443" w:rsidRDefault="003D01EB" w:rsidP="00593FBE">
            <w:pPr>
              <w:jc w:val="center"/>
            </w:pPr>
            <w:r w:rsidRPr="00875443">
              <w:t>Annualization (change from 2013)</w:t>
            </w:r>
          </w:p>
          <w:p w:rsidR="003D01EB" w:rsidRPr="00875443" w:rsidRDefault="003D01EB" w:rsidP="00593FBE">
            <w:pPr>
              <w:jc w:val="center"/>
            </w:pPr>
            <w:r w:rsidRPr="00875443">
              <w:t>($000)</w:t>
            </w:r>
          </w:p>
        </w:tc>
        <w:tc>
          <w:tcPr>
            <w:tcW w:w="1890" w:type="dxa"/>
          </w:tcPr>
          <w:p w:rsidR="003D01EB" w:rsidRPr="00875443" w:rsidRDefault="003D01EB" w:rsidP="00593FBE">
            <w:pPr>
              <w:jc w:val="center"/>
            </w:pPr>
            <w:r w:rsidRPr="00875443">
              <w:t>FY 2015 Net</w:t>
            </w:r>
          </w:p>
          <w:p w:rsidR="003D01EB" w:rsidRPr="00875443" w:rsidRDefault="003D01EB" w:rsidP="00593FBE">
            <w:pPr>
              <w:jc w:val="center"/>
            </w:pPr>
            <w:r w:rsidRPr="00875443">
              <w:t>Annualization (change from 2014)</w:t>
            </w:r>
          </w:p>
          <w:p w:rsidR="003D01EB" w:rsidRPr="00875443" w:rsidRDefault="003D01EB" w:rsidP="00593FBE">
            <w:pPr>
              <w:jc w:val="center"/>
            </w:pPr>
            <w:r w:rsidRPr="00875443">
              <w:t>($000)</w:t>
            </w:r>
          </w:p>
        </w:tc>
      </w:tr>
      <w:tr w:rsidR="003D01EB" w:rsidRPr="00875443" w:rsidTr="00593FBE">
        <w:trPr>
          <w:trHeight w:val="215"/>
        </w:trPr>
        <w:tc>
          <w:tcPr>
            <w:tcW w:w="1233" w:type="dxa"/>
          </w:tcPr>
          <w:p w:rsidR="003D01EB" w:rsidRPr="00875443" w:rsidRDefault="003D01EB" w:rsidP="00593FBE">
            <w:r w:rsidRPr="00875443">
              <w:t>Current Services</w:t>
            </w:r>
          </w:p>
        </w:tc>
        <w:tc>
          <w:tcPr>
            <w:tcW w:w="630" w:type="dxa"/>
            <w:vAlign w:val="center"/>
          </w:tcPr>
          <w:p w:rsidR="003D01EB" w:rsidRPr="00875443" w:rsidRDefault="003D01EB" w:rsidP="00593FBE">
            <w:pPr>
              <w:jc w:val="right"/>
            </w:pPr>
            <w:r w:rsidRPr="00875443">
              <w:t>90</w:t>
            </w:r>
          </w:p>
        </w:tc>
        <w:tc>
          <w:tcPr>
            <w:tcW w:w="990" w:type="dxa"/>
            <w:vAlign w:val="center"/>
          </w:tcPr>
          <w:p w:rsidR="003D01EB" w:rsidRPr="00875443" w:rsidRDefault="003D01EB" w:rsidP="00593FBE">
            <w:pPr>
              <w:jc w:val="right"/>
            </w:pPr>
            <w:r w:rsidRPr="00875443">
              <w:t>0</w:t>
            </w:r>
          </w:p>
        </w:tc>
        <w:tc>
          <w:tcPr>
            <w:tcW w:w="720" w:type="dxa"/>
            <w:vAlign w:val="center"/>
          </w:tcPr>
          <w:p w:rsidR="003D01EB" w:rsidRPr="00875443" w:rsidRDefault="003D01EB" w:rsidP="00593FBE">
            <w:pPr>
              <w:jc w:val="right"/>
            </w:pPr>
            <w:r w:rsidRPr="00875443">
              <w:t>90</w:t>
            </w:r>
          </w:p>
        </w:tc>
        <w:tc>
          <w:tcPr>
            <w:tcW w:w="1170" w:type="dxa"/>
            <w:vAlign w:val="center"/>
          </w:tcPr>
          <w:p w:rsidR="003D01EB" w:rsidRPr="00875443" w:rsidRDefault="003D01EB" w:rsidP="00593FBE">
            <w:pPr>
              <w:jc w:val="right"/>
            </w:pPr>
            <w:r w:rsidRPr="00875443">
              <w:t>0</w:t>
            </w:r>
          </w:p>
        </w:tc>
        <w:tc>
          <w:tcPr>
            <w:tcW w:w="1170" w:type="dxa"/>
            <w:vAlign w:val="center"/>
          </w:tcPr>
          <w:p w:rsidR="003D01EB" w:rsidRPr="00875443" w:rsidRDefault="003D01EB" w:rsidP="00194AD8">
            <w:pPr>
              <w:jc w:val="right"/>
            </w:pPr>
            <w:r w:rsidRPr="00875443">
              <w:t>12</w:t>
            </w:r>
            <w:r w:rsidR="00194AD8">
              <w:t>7</w:t>
            </w:r>
            <w:r w:rsidRPr="00875443">
              <w:t>,</w:t>
            </w:r>
            <w:r w:rsidR="00194AD8">
              <w:t>2</w:t>
            </w:r>
            <w:r w:rsidRPr="00875443">
              <w:t>54</w:t>
            </w:r>
          </w:p>
        </w:tc>
        <w:tc>
          <w:tcPr>
            <w:tcW w:w="1080" w:type="dxa"/>
            <w:vAlign w:val="center"/>
          </w:tcPr>
          <w:p w:rsidR="003D01EB" w:rsidRPr="00875443" w:rsidRDefault="003D01EB" w:rsidP="00194AD8">
            <w:pPr>
              <w:jc w:val="right"/>
            </w:pPr>
            <w:r w:rsidRPr="00875443">
              <w:t>12</w:t>
            </w:r>
            <w:r w:rsidR="00194AD8">
              <w:t>7,254</w:t>
            </w:r>
          </w:p>
        </w:tc>
        <w:tc>
          <w:tcPr>
            <w:tcW w:w="1856" w:type="dxa"/>
            <w:vAlign w:val="center"/>
          </w:tcPr>
          <w:p w:rsidR="003D01EB" w:rsidRPr="00875443" w:rsidRDefault="003D01EB" w:rsidP="00593FBE">
            <w:pPr>
              <w:jc w:val="right"/>
            </w:pPr>
            <w:r w:rsidRPr="00875443">
              <w:t>0</w:t>
            </w:r>
          </w:p>
        </w:tc>
        <w:tc>
          <w:tcPr>
            <w:tcW w:w="1890" w:type="dxa"/>
          </w:tcPr>
          <w:p w:rsidR="003D01EB" w:rsidRPr="00875443" w:rsidRDefault="003D01EB" w:rsidP="00593FBE">
            <w:pPr>
              <w:jc w:val="right"/>
            </w:pPr>
            <w:r w:rsidRPr="00875443">
              <w:t>0</w:t>
            </w:r>
          </w:p>
        </w:tc>
      </w:tr>
      <w:tr w:rsidR="003D01EB" w:rsidRPr="00875443" w:rsidTr="00593FBE">
        <w:trPr>
          <w:trHeight w:val="215"/>
        </w:trPr>
        <w:tc>
          <w:tcPr>
            <w:tcW w:w="1233" w:type="dxa"/>
          </w:tcPr>
          <w:p w:rsidR="003D01EB" w:rsidRPr="00875443" w:rsidRDefault="003D01EB" w:rsidP="00593FBE">
            <w:r w:rsidRPr="00875443">
              <w:t>Decreases</w:t>
            </w:r>
          </w:p>
        </w:tc>
        <w:tc>
          <w:tcPr>
            <w:tcW w:w="630" w:type="dxa"/>
            <w:vAlign w:val="center"/>
          </w:tcPr>
          <w:p w:rsidR="003D01EB" w:rsidRPr="00875443" w:rsidRDefault="003D01EB" w:rsidP="00593FBE">
            <w:pPr>
              <w:jc w:val="right"/>
            </w:pPr>
            <w:r w:rsidRPr="00875443">
              <w:t>0</w:t>
            </w:r>
          </w:p>
        </w:tc>
        <w:tc>
          <w:tcPr>
            <w:tcW w:w="990" w:type="dxa"/>
          </w:tcPr>
          <w:p w:rsidR="003D01EB" w:rsidRPr="00875443" w:rsidRDefault="003D01EB" w:rsidP="00593FBE">
            <w:pPr>
              <w:jc w:val="right"/>
            </w:pPr>
            <w:r w:rsidRPr="00875443">
              <w:t>0</w:t>
            </w:r>
          </w:p>
        </w:tc>
        <w:tc>
          <w:tcPr>
            <w:tcW w:w="720" w:type="dxa"/>
            <w:vAlign w:val="center"/>
          </w:tcPr>
          <w:p w:rsidR="003D01EB" w:rsidRPr="00875443" w:rsidRDefault="003D01EB" w:rsidP="00593FBE">
            <w:pPr>
              <w:jc w:val="right"/>
            </w:pPr>
            <w:r w:rsidRPr="00875443">
              <w:t>0</w:t>
            </w:r>
          </w:p>
        </w:tc>
        <w:tc>
          <w:tcPr>
            <w:tcW w:w="1170" w:type="dxa"/>
            <w:vAlign w:val="center"/>
          </w:tcPr>
          <w:p w:rsidR="003D01EB" w:rsidRPr="00875443" w:rsidRDefault="003D01EB" w:rsidP="00593FBE">
            <w:pPr>
              <w:jc w:val="right"/>
            </w:pPr>
            <w:r w:rsidRPr="00875443">
              <w:t>0</w:t>
            </w:r>
          </w:p>
        </w:tc>
        <w:tc>
          <w:tcPr>
            <w:tcW w:w="1170" w:type="dxa"/>
            <w:vAlign w:val="center"/>
          </w:tcPr>
          <w:p w:rsidR="003D01EB" w:rsidRPr="00875443" w:rsidRDefault="003D01EB" w:rsidP="00593FBE">
            <w:pPr>
              <w:jc w:val="right"/>
            </w:pPr>
            <w:r w:rsidRPr="00875443">
              <w:t>(2,095)</w:t>
            </w:r>
          </w:p>
        </w:tc>
        <w:tc>
          <w:tcPr>
            <w:tcW w:w="1080" w:type="dxa"/>
            <w:vAlign w:val="center"/>
          </w:tcPr>
          <w:p w:rsidR="003D01EB" w:rsidRPr="00875443" w:rsidRDefault="003D01EB" w:rsidP="00593FBE">
            <w:pPr>
              <w:jc w:val="right"/>
            </w:pPr>
            <w:r w:rsidRPr="00875443">
              <w:t>(2,095)</w:t>
            </w:r>
          </w:p>
        </w:tc>
        <w:tc>
          <w:tcPr>
            <w:tcW w:w="1856" w:type="dxa"/>
            <w:vAlign w:val="center"/>
          </w:tcPr>
          <w:p w:rsidR="003D01EB" w:rsidRPr="00875443" w:rsidRDefault="003D01EB" w:rsidP="00593FBE">
            <w:pPr>
              <w:jc w:val="right"/>
            </w:pPr>
            <w:r w:rsidRPr="00875443">
              <w:t>0</w:t>
            </w:r>
          </w:p>
        </w:tc>
        <w:tc>
          <w:tcPr>
            <w:tcW w:w="1890" w:type="dxa"/>
          </w:tcPr>
          <w:p w:rsidR="003D01EB" w:rsidRPr="00875443" w:rsidRDefault="003D01EB" w:rsidP="00593FBE">
            <w:pPr>
              <w:jc w:val="right"/>
            </w:pPr>
            <w:r w:rsidRPr="00875443">
              <w:t>0</w:t>
            </w:r>
          </w:p>
        </w:tc>
      </w:tr>
      <w:tr w:rsidR="003D01EB" w:rsidRPr="00875443" w:rsidTr="00593FBE">
        <w:trPr>
          <w:trHeight w:val="215"/>
        </w:trPr>
        <w:tc>
          <w:tcPr>
            <w:tcW w:w="1233" w:type="dxa"/>
          </w:tcPr>
          <w:p w:rsidR="003D01EB" w:rsidRPr="00875443" w:rsidRDefault="003D01EB" w:rsidP="00593FBE">
            <w:r w:rsidRPr="00875443">
              <w:t>Grand Total</w:t>
            </w:r>
          </w:p>
        </w:tc>
        <w:tc>
          <w:tcPr>
            <w:tcW w:w="630" w:type="dxa"/>
            <w:vAlign w:val="center"/>
          </w:tcPr>
          <w:p w:rsidR="003D01EB" w:rsidRPr="00875443" w:rsidRDefault="003D01EB" w:rsidP="00593FBE">
            <w:pPr>
              <w:jc w:val="right"/>
            </w:pPr>
            <w:r w:rsidRPr="00875443">
              <w:t>90</w:t>
            </w:r>
          </w:p>
        </w:tc>
        <w:tc>
          <w:tcPr>
            <w:tcW w:w="990" w:type="dxa"/>
            <w:vAlign w:val="center"/>
          </w:tcPr>
          <w:p w:rsidR="003D01EB" w:rsidRPr="00875443" w:rsidRDefault="003D01EB" w:rsidP="00593FBE">
            <w:pPr>
              <w:jc w:val="right"/>
            </w:pPr>
            <w:r w:rsidRPr="00875443">
              <w:t>0</w:t>
            </w:r>
          </w:p>
        </w:tc>
        <w:tc>
          <w:tcPr>
            <w:tcW w:w="720" w:type="dxa"/>
            <w:vAlign w:val="center"/>
          </w:tcPr>
          <w:p w:rsidR="003D01EB" w:rsidRPr="00875443" w:rsidRDefault="003D01EB" w:rsidP="00593FBE">
            <w:pPr>
              <w:jc w:val="right"/>
            </w:pPr>
            <w:r w:rsidRPr="00875443">
              <w:t>90</w:t>
            </w:r>
          </w:p>
        </w:tc>
        <w:tc>
          <w:tcPr>
            <w:tcW w:w="1170" w:type="dxa"/>
            <w:vAlign w:val="center"/>
          </w:tcPr>
          <w:p w:rsidR="003D01EB" w:rsidRPr="00875443" w:rsidRDefault="003D01EB" w:rsidP="00593FBE">
            <w:pPr>
              <w:jc w:val="right"/>
            </w:pPr>
            <w:r w:rsidRPr="00875443">
              <w:t>0</w:t>
            </w:r>
          </w:p>
        </w:tc>
        <w:tc>
          <w:tcPr>
            <w:tcW w:w="1170" w:type="dxa"/>
            <w:vAlign w:val="center"/>
          </w:tcPr>
          <w:p w:rsidR="003D01EB" w:rsidRPr="00875443" w:rsidRDefault="00194AD8" w:rsidP="00593FBE">
            <w:pPr>
              <w:jc w:val="right"/>
            </w:pPr>
            <w:r>
              <w:t>125,1</w:t>
            </w:r>
            <w:r w:rsidR="003D01EB" w:rsidRPr="00875443">
              <w:t>59</w:t>
            </w:r>
          </w:p>
        </w:tc>
        <w:tc>
          <w:tcPr>
            <w:tcW w:w="1080" w:type="dxa"/>
            <w:vAlign w:val="center"/>
          </w:tcPr>
          <w:p w:rsidR="003D01EB" w:rsidRPr="00875443" w:rsidRDefault="00194AD8" w:rsidP="00593FBE">
            <w:pPr>
              <w:jc w:val="right"/>
            </w:pPr>
            <w:r>
              <w:t>125</w:t>
            </w:r>
            <w:r w:rsidR="003D01EB">
              <w:t>,</w:t>
            </w:r>
            <w:r>
              <w:t>1</w:t>
            </w:r>
            <w:r w:rsidR="003D01EB" w:rsidRPr="00875443">
              <w:t>5</w:t>
            </w:r>
            <w:r w:rsidR="003D01EB">
              <w:t>9</w:t>
            </w:r>
          </w:p>
        </w:tc>
        <w:tc>
          <w:tcPr>
            <w:tcW w:w="1856" w:type="dxa"/>
            <w:vAlign w:val="center"/>
          </w:tcPr>
          <w:p w:rsidR="003D01EB" w:rsidRPr="00875443" w:rsidRDefault="003D01EB" w:rsidP="00593FBE">
            <w:pPr>
              <w:jc w:val="right"/>
            </w:pPr>
            <w:r w:rsidRPr="00875443">
              <w:t>0</w:t>
            </w:r>
          </w:p>
        </w:tc>
        <w:tc>
          <w:tcPr>
            <w:tcW w:w="1890" w:type="dxa"/>
            <w:vAlign w:val="center"/>
          </w:tcPr>
          <w:p w:rsidR="003D01EB" w:rsidRPr="00875443" w:rsidRDefault="003D01EB" w:rsidP="00593FBE">
            <w:pPr>
              <w:jc w:val="right"/>
            </w:pPr>
            <w:r w:rsidRPr="00875443">
              <w:t>0</w:t>
            </w:r>
          </w:p>
        </w:tc>
      </w:tr>
    </w:tbl>
    <w:p w:rsidR="00593FBE" w:rsidRDefault="00593FBE" w:rsidP="00593FBE"/>
    <w:bookmarkEnd w:id="52"/>
    <w:p w:rsidR="000729D9" w:rsidRPr="00E23B77" w:rsidRDefault="000729D9" w:rsidP="00E23B77">
      <w:pPr>
        <w:rPr>
          <w:b/>
          <w:bCs/>
        </w:rPr>
      </w:pPr>
    </w:p>
    <w:sectPr w:rsidR="000729D9" w:rsidRPr="00E23B77" w:rsidSect="007A0000">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46E" w:rsidRDefault="0091746E">
      <w:r>
        <w:separator/>
      </w:r>
    </w:p>
  </w:endnote>
  <w:endnote w:type="continuationSeparator" w:id="0">
    <w:p w:rsidR="0091746E" w:rsidRDefault="009174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Univers-Condensed">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E" w:rsidRDefault="006C7F18" w:rsidP="005027FD">
    <w:pPr>
      <w:pStyle w:val="Footer"/>
      <w:framePr w:wrap="around" w:vAnchor="text" w:hAnchor="margin" w:xAlign="center" w:y="1"/>
      <w:rPr>
        <w:rStyle w:val="PageNumber"/>
      </w:rPr>
    </w:pPr>
    <w:r>
      <w:rPr>
        <w:rStyle w:val="PageNumber"/>
      </w:rPr>
      <w:fldChar w:fldCharType="begin"/>
    </w:r>
    <w:r w:rsidR="0091746E">
      <w:rPr>
        <w:rStyle w:val="PageNumber"/>
      </w:rPr>
      <w:instrText xml:space="preserve">PAGE  </w:instrText>
    </w:r>
    <w:r>
      <w:rPr>
        <w:rStyle w:val="PageNumber"/>
      </w:rPr>
      <w:fldChar w:fldCharType="separate"/>
    </w:r>
    <w:r w:rsidR="0091746E">
      <w:rPr>
        <w:rStyle w:val="PageNumber"/>
        <w:noProof/>
      </w:rPr>
      <w:t>123</w:t>
    </w:r>
    <w:r>
      <w:rPr>
        <w:rStyle w:val="PageNumber"/>
      </w:rPr>
      <w:fldChar w:fldCharType="end"/>
    </w:r>
    <w:r>
      <w:rPr>
        <w:rStyle w:val="PageNumber"/>
      </w:rPr>
      <w:fldChar w:fldCharType="begin"/>
    </w:r>
    <w:r w:rsidR="0091746E">
      <w:rPr>
        <w:rStyle w:val="PageNumber"/>
      </w:rPr>
      <w:instrText xml:space="preserve">PAGE  </w:instrText>
    </w:r>
    <w:r>
      <w:rPr>
        <w:rStyle w:val="PageNumber"/>
      </w:rPr>
      <w:fldChar w:fldCharType="end"/>
    </w:r>
  </w:p>
  <w:p w:rsidR="0091746E" w:rsidRDefault="009174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E" w:rsidRDefault="0091746E" w:rsidP="005027FD">
    <w:pPr>
      <w:pStyle w:val="Footer"/>
      <w:framePr w:wrap="around" w:vAnchor="text" w:hAnchor="margin" w:xAlign="center" w:y="1"/>
      <w:rPr>
        <w:rStyle w:val="PageNumber"/>
      </w:rPr>
    </w:pPr>
  </w:p>
  <w:p w:rsidR="0091746E" w:rsidRPr="00477590" w:rsidRDefault="0091746E" w:rsidP="005027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E" w:rsidRPr="00D54214" w:rsidRDefault="006C7F18" w:rsidP="005027FD">
    <w:pPr>
      <w:pStyle w:val="Footer"/>
      <w:jc w:val="center"/>
      <w:rPr>
        <w:sz w:val="18"/>
        <w:szCs w:val="18"/>
      </w:rPr>
    </w:pPr>
    <w:r>
      <w:rPr>
        <w:rStyle w:val="PageNumber"/>
      </w:rPr>
      <w:fldChar w:fldCharType="begin"/>
    </w:r>
    <w:r w:rsidR="0091746E">
      <w:rPr>
        <w:rStyle w:val="PageNumber"/>
      </w:rPr>
      <w:instrText xml:space="preserve"> PAGE </w:instrText>
    </w:r>
    <w:r>
      <w:rPr>
        <w:rStyle w:val="PageNumber"/>
      </w:rPr>
      <w:fldChar w:fldCharType="separate"/>
    </w:r>
    <w:r w:rsidR="00992B66">
      <w:rPr>
        <w:rStyle w:val="PageNumber"/>
        <w:noProof/>
      </w:rPr>
      <w:t>28</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E" w:rsidRDefault="006C7F18" w:rsidP="005027FD">
    <w:pPr>
      <w:pStyle w:val="Footer"/>
      <w:framePr w:wrap="around" w:vAnchor="text" w:hAnchor="margin" w:xAlign="center" w:y="1"/>
      <w:rPr>
        <w:rStyle w:val="PageNumber"/>
      </w:rPr>
    </w:pPr>
    <w:r>
      <w:rPr>
        <w:rStyle w:val="PageNumber"/>
      </w:rPr>
      <w:fldChar w:fldCharType="begin"/>
    </w:r>
    <w:r w:rsidR="0091746E">
      <w:rPr>
        <w:rStyle w:val="PageNumber"/>
      </w:rPr>
      <w:instrText xml:space="preserve">PAGE  </w:instrText>
    </w:r>
    <w:r>
      <w:rPr>
        <w:rStyle w:val="PageNumber"/>
      </w:rPr>
      <w:fldChar w:fldCharType="separate"/>
    </w:r>
    <w:r w:rsidR="00992B66">
      <w:rPr>
        <w:rStyle w:val="PageNumber"/>
        <w:noProof/>
      </w:rPr>
      <w:t>34</w:t>
    </w:r>
    <w:r>
      <w:rPr>
        <w:rStyle w:val="PageNumber"/>
      </w:rPr>
      <w:fldChar w:fldCharType="end"/>
    </w:r>
  </w:p>
  <w:p w:rsidR="0091746E" w:rsidRDefault="009174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46E" w:rsidRDefault="0091746E">
      <w:r>
        <w:separator/>
      </w:r>
    </w:p>
  </w:footnote>
  <w:footnote w:type="continuationSeparator" w:id="0">
    <w:p w:rsidR="0091746E" w:rsidRDefault="00917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E" w:rsidRDefault="006C7F18" w:rsidP="005027FD">
    <w:pPr>
      <w:pStyle w:val="Header"/>
      <w:framePr w:wrap="around" w:vAnchor="text" w:hAnchor="margin" w:xAlign="center" w:y="1"/>
      <w:rPr>
        <w:rStyle w:val="PageNumber"/>
      </w:rPr>
    </w:pPr>
    <w:r>
      <w:rPr>
        <w:rStyle w:val="PageNumber"/>
      </w:rPr>
      <w:fldChar w:fldCharType="begin"/>
    </w:r>
    <w:r w:rsidR="0091746E">
      <w:rPr>
        <w:rStyle w:val="PageNumber"/>
      </w:rPr>
      <w:instrText xml:space="preserve">PAGE  </w:instrText>
    </w:r>
    <w:r>
      <w:rPr>
        <w:rStyle w:val="PageNumber"/>
      </w:rPr>
      <w:fldChar w:fldCharType="separate"/>
    </w:r>
    <w:r w:rsidR="0091746E">
      <w:rPr>
        <w:rStyle w:val="PageNumber"/>
        <w:noProof/>
      </w:rPr>
      <w:t>123</w:t>
    </w:r>
    <w:r>
      <w:rPr>
        <w:rStyle w:val="PageNumber"/>
      </w:rPr>
      <w:fldChar w:fldCharType="end"/>
    </w:r>
    <w:r>
      <w:rPr>
        <w:rStyle w:val="PageNumber"/>
      </w:rPr>
      <w:fldChar w:fldCharType="begin"/>
    </w:r>
    <w:r w:rsidR="0091746E">
      <w:rPr>
        <w:rStyle w:val="PageNumber"/>
      </w:rPr>
      <w:instrText xml:space="preserve">PAGE  </w:instrText>
    </w:r>
    <w:r>
      <w:rPr>
        <w:rStyle w:val="PageNumber"/>
      </w:rPr>
      <w:fldChar w:fldCharType="end"/>
    </w:r>
  </w:p>
  <w:p w:rsidR="0091746E" w:rsidRDefault="009174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E" w:rsidRPr="00A163EA" w:rsidRDefault="0091746E" w:rsidP="005027FD">
    <w:pPr>
      <w:pStyle w:val="Header"/>
      <w:jc w:val="center"/>
      <w:rPr>
        <w:rFonts w:ascii="Times New Roman Bold" w:hAnsi="Times New Roman Bold"/>
        <w:b/>
        <w:color w:val="FF0000"/>
        <w:sz w:val="36"/>
        <w:szCs w:val="4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E" w:rsidRDefault="0091746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E" w:rsidRDefault="0091746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E" w:rsidRDefault="0091746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E" w:rsidRDefault="0091746E">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E" w:rsidRPr="00DA66B9" w:rsidRDefault="0091746E" w:rsidP="00DA66B9">
    <w:pPr>
      <w:pStyle w:val="Header"/>
      <w:rPr>
        <w:szCs w:val="28"/>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46E" w:rsidRDefault="009174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DC6"/>
    <w:multiLevelType w:val="hybridMultilevel"/>
    <w:tmpl w:val="738AD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107CB"/>
    <w:multiLevelType w:val="hybridMultilevel"/>
    <w:tmpl w:val="7062E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94AFA"/>
    <w:multiLevelType w:val="hybridMultilevel"/>
    <w:tmpl w:val="56F456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9C46E9"/>
    <w:multiLevelType w:val="hybridMultilevel"/>
    <w:tmpl w:val="5DA4C7AA"/>
    <w:lvl w:ilvl="0" w:tplc="729E7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933B2"/>
    <w:multiLevelType w:val="hybridMultilevel"/>
    <w:tmpl w:val="E7009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813706E"/>
    <w:multiLevelType w:val="hybridMultilevel"/>
    <w:tmpl w:val="32346CE6"/>
    <w:lvl w:ilvl="0" w:tplc="0409000F">
      <w:start w:val="1"/>
      <w:numFmt w:val="decimal"/>
      <w:lvlText w:val="%1."/>
      <w:lvlJc w:val="left"/>
      <w:pPr>
        <w:tabs>
          <w:tab w:val="num" w:pos="1080"/>
        </w:tabs>
        <w:ind w:left="1080" w:hanging="360"/>
      </w:pPr>
      <w:rPr>
        <w:rFonts w:cs="Times New Roman"/>
      </w:rPr>
    </w:lvl>
    <w:lvl w:ilvl="1" w:tplc="04090015">
      <w:start w:val="1"/>
      <w:numFmt w:val="upperLetter"/>
      <w:lvlText w:val="%2."/>
      <w:lvlJc w:val="left"/>
      <w:pPr>
        <w:tabs>
          <w:tab w:val="num" w:pos="630"/>
        </w:tabs>
        <w:ind w:left="630" w:hanging="360"/>
      </w:pPr>
      <w:rPr>
        <w:b w:val="0"/>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89D2E89"/>
    <w:multiLevelType w:val="hybridMultilevel"/>
    <w:tmpl w:val="45D8EB6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8D63B35"/>
    <w:multiLevelType w:val="hybridMultilevel"/>
    <w:tmpl w:val="52E0D2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90C54E9"/>
    <w:multiLevelType w:val="hybridMultilevel"/>
    <w:tmpl w:val="66F40D68"/>
    <w:lvl w:ilvl="0" w:tplc="5B30B2DA">
      <w:start w:val="1"/>
      <w:numFmt w:val="upp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1F0AAF"/>
    <w:multiLevelType w:val="hybridMultilevel"/>
    <w:tmpl w:val="1544488E"/>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12F737D8"/>
    <w:multiLevelType w:val="hybridMultilevel"/>
    <w:tmpl w:val="70504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709661A"/>
    <w:multiLevelType w:val="hybridMultilevel"/>
    <w:tmpl w:val="8FFAD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102C17"/>
    <w:multiLevelType w:val="hybridMultilevel"/>
    <w:tmpl w:val="A21480DC"/>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AFD1C8C"/>
    <w:multiLevelType w:val="hybridMultilevel"/>
    <w:tmpl w:val="20DE5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333F59"/>
    <w:multiLevelType w:val="hybridMultilevel"/>
    <w:tmpl w:val="DC4AA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6305D0"/>
    <w:multiLevelType w:val="hybridMultilevel"/>
    <w:tmpl w:val="6FCA14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A92535"/>
    <w:multiLevelType w:val="hybridMultilevel"/>
    <w:tmpl w:val="916C6EB6"/>
    <w:lvl w:ilvl="0" w:tplc="0409000F">
      <w:start w:val="1"/>
      <w:numFmt w:val="decimal"/>
      <w:lvlText w:val="%1."/>
      <w:lvlJc w:val="left"/>
      <w:pPr>
        <w:tabs>
          <w:tab w:val="num" w:pos="1080"/>
        </w:tabs>
        <w:ind w:left="1080" w:hanging="360"/>
      </w:pPr>
      <w:rPr>
        <w:rFonts w:cs="Times New Roman"/>
      </w:rPr>
    </w:lvl>
    <w:lvl w:ilvl="1" w:tplc="F6FE2D2E">
      <w:start w:val="4"/>
      <w:numFmt w:val="upperRoman"/>
      <w:lvlText w:val="%2."/>
      <w:lvlJc w:val="left"/>
      <w:pPr>
        <w:tabs>
          <w:tab w:val="num" w:pos="2160"/>
        </w:tabs>
        <w:ind w:left="2160" w:hanging="720"/>
      </w:pPr>
      <w:rPr>
        <w:rFonts w:cs="Times New Roman" w:hint="default"/>
      </w:rPr>
    </w:lvl>
    <w:lvl w:ilvl="2" w:tplc="CCF0B4F2">
      <w:start w:val="17"/>
      <w:numFmt w:val="upperLetter"/>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27505CC7"/>
    <w:multiLevelType w:val="hybridMultilevel"/>
    <w:tmpl w:val="ED7A0A94"/>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28864EE9"/>
    <w:multiLevelType w:val="hybridMultilevel"/>
    <w:tmpl w:val="1CF0A7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2BAC268E"/>
    <w:multiLevelType w:val="hybridMultilevel"/>
    <w:tmpl w:val="C8AC2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C9E6913"/>
    <w:multiLevelType w:val="hybridMultilevel"/>
    <w:tmpl w:val="0F2C496A"/>
    <w:lvl w:ilvl="0" w:tplc="D3A0313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2DA66C37"/>
    <w:multiLevelType w:val="hybridMultilevel"/>
    <w:tmpl w:val="8B106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DC04944"/>
    <w:multiLevelType w:val="hybridMultilevel"/>
    <w:tmpl w:val="8314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DD9285A"/>
    <w:multiLevelType w:val="hybridMultilevel"/>
    <w:tmpl w:val="6FE8A6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0126807"/>
    <w:multiLevelType w:val="hybridMultilevel"/>
    <w:tmpl w:val="2F52C0B0"/>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5">
    <w:nsid w:val="323D7A9D"/>
    <w:multiLevelType w:val="hybridMultilevel"/>
    <w:tmpl w:val="AE1049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nsid w:val="32A46A14"/>
    <w:multiLevelType w:val="hybridMultilevel"/>
    <w:tmpl w:val="8698F530"/>
    <w:lvl w:ilvl="0" w:tplc="729E7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B6EAC"/>
    <w:multiLevelType w:val="hybridMultilevel"/>
    <w:tmpl w:val="66D6A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4A30AB7"/>
    <w:multiLevelType w:val="hybridMultilevel"/>
    <w:tmpl w:val="1DFA534C"/>
    <w:lvl w:ilvl="0" w:tplc="04090001">
      <w:start w:val="1"/>
      <w:numFmt w:val="bullet"/>
      <w:lvlText w:val=""/>
      <w:lvlJc w:val="left"/>
      <w:pPr>
        <w:tabs>
          <w:tab w:val="num" w:pos="1080"/>
        </w:tabs>
        <w:ind w:left="1080" w:hanging="360"/>
      </w:pPr>
      <w:rPr>
        <w:rFonts w:ascii="Symbol" w:hAnsi="Symbol" w:hint="default"/>
      </w:rPr>
    </w:lvl>
    <w:lvl w:ilvl="1" w:tplc="F6A47FAC">
      <w:start w:val="1"/>
      <w:numFmt w:val="bullet"/>
      <w:lvlText w:val=""/>
      <w:lvlJc w:val="left"/>
      <w:pPr>
        <w:tabs>
          <w:tab w:val="num" w:pos="180"/>
        </w:tabs>
        <w:ind w:left="180" w:hanging="360"/>
      </w:pPr>
      <w:rPr>
        <w:rFonts w:ascii="Symbol" w:hAnsi="Symbol" w:hint="default"/>
      </w:rPr>
    </w:lvl>
    <w:lvl w:ilvl="2" w:tplc="04090005">
      <w:start w:val="1"/>
      <w:numFmt w:val="bullet"/>
      <w:lvlText w:val=""/>
      <w:lvlJc w:val="left"/>
      <w:pPr>
        <w:tabs>
          <w:tab w:val="num" w:pos="900"/>
        </w:tabs>
        <w:ind w:left="900" w:hanging="360"/>
      </w:pPr>
      <w:rPr>
        <w:rFonts w:ascii="Wingdings" w:hAnsi="Wingdings" w:hint="default"/>
      </w:rPr>
    </w:lvl>
    <w:lvl w:ilvl="3" w:tplc="04090003">
      <w:start w:val="1"/>
      <w:numFmt w:val="bullet"/>
      <w:lvlText w:val="o"/>
      <w:lvlJc w:val="left"/>
      <w:pPr>
        <w:tabs>
          <w:tab w:val="num" w:pos="1620"/>
        </w:tabs>
        <w:ind w:left="1620" w:hanging="360"/>
      </w:pPr>
      <w:rPr>
        <w:rFonts w:ascii="Courier New" w:hAnsi="Courier New" w:cs="Courier New"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29">
    <w:nsid w:val="34E61E26"/>
    <w:multiLevelType w:val="hybridMultilevel"/>
    <w:tmpl w:val="72AC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7882E54"/>
    <w:multiLevelType w:val="hybridMultilevel"/>
    <w:tmpl w:val="245E7E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7A20CB7"/>
    <w:multiLevelType w:val="hybridMultilevel"/>
    <w:tmpl w:val="154ECE04"/>
    <w:lvl w:ilvl="0" w:tplc="56A2E96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2">
    <w:nsid w:val="3B3404A3"/>
    <w:multiLevelType w:val="hybridMultilevel"/>
    <w:tmpl w:val="14E6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227600"/>
    <w:multiLevelType w:val="hybridMultilevel"/>
    <w:tmpl w:val="37EE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FF96E2E"/>
    <w:multiLevelType w:val="hybridMultilevel"/>
    <w:tmpl w:val="9770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744D28"/>
    <w:multiLevelType w:val="hybridMultilevel"/>
    <w:tmpl w:val="D3B8CB9E"/>
    <w:lvl w:ilvl="0" w:tplc="EFF63C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7601D5"/>
    <w:multiLevelType w:val="hybridMultilevel"/>
    <w:tmpl w:val="E536DCB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424E6456"/>
    <w:multiLevelType w:val="multilevel"/>
    <w:tmpl w:val="08563F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43ED1029"/>
    <w:multiLevelType w:val="hybridMultilevel"/>
    <w:tmpl w:val="5178D5E8"/>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nsid w:val="4482039B"/>
    <w:multiLevelType w:val="hybridMultilevel"/>
    <w:tmpl w:val="5CC2FB86"/>
    <w:lvl w:ilvl="0" w:tplc="04090019">
      <w:start w:val="1"/>
      <w:numFmt w:val="low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8A69B8">
      <w:start w:val="1"/>
      <w:numFmt w:val="decimal"/>
      <w:lvlText w:val="%3"/>
      <w:lvlJc w:val="left"/>
      <w:pPr>
        <w:tabs>
          <w:tab w:val="num" w:pos="1980"/>
        </w:tabs>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nsid w:val="458077CA"/>
    <w:multiLevelType w:val="hybridMultilevel"/>
    <w:tmpl w:val="0610D3F0"/>
    <w:lvl w:ilvl="0" w:tplc="4FE209D2">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466556BB"/>
    <w:multiLevelType w:val="hybridMultilevel"/>
    <w:tmpl w:val="2316569A"/>
    <w:lvl w:ilvl="0" w:tplc="5B30B2DA">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80501B"/>
    <w:multiLevelType w:val="hybridMultilevel"/>
    <w:tmpl w:val="C4DCD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70B38A7"/>
    <w:multiLevelType w:val="hybridMultilevel"/>
    <w:tmpl w:val="1F12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7DA3700"/>
    <w:multiLevelType w:val="hybridMultilevel"/>
    <w:tmpl w:val="A3E2919A"/>
    <w:lvl w:ilvl="0" w:tplc="729E7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A6B41B8"/>
    <w:multiLevelType w:val="hybridMultilevel"/>
    <w:tmpl w:val="47A86F24"/>
    <w:lvl w:ilvl="0" w:tplc="FA6227E8">
      <w:start w:val="1"/>
      <w:numFmt w:val="upperRoman"/>
      <w:pStyle w:val="BudgetHeading1"/>
      <w:lvlText w:val="%1."/>
      <w:lvlJc w:val="right"/>
      <w:pPr>
        <w:ind w:left="720" w:hanging="360"/>
      </w:pPr>
      <w:rPr>
        <w:rFonts w:hint="default"/>
      </w:rPr>
    </w:lvl>
    <w:lvl w:ilvl="1" w:tplc="A21A5F00">
      <w:start w:val="1"/>
      <w:numFmt w:val="upperLetter"/>
      <w:pStyle w:val="BudgetHeading2"/>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0300470"/>
    <w:multiLevelType w:val="hybridMultilevel"/>
    <w:tmpl w:val="E602A134"/>
    <w:lvl w:ilvl="0" w:tplc="729E75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142940"/>
    <w:multiLevelType w:val="hybridMultilevel"/>
    <w:tmpl w:val="7BFE30E0"/>
    <w:lvl w:ilvl="0" w:tplc="729E75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13B08F4"/>
    <w:multiLevelType w:val="hybridMultilevel"/>
    <w:tmpl w:val="45F8C826"/>
    <w:lvl w:ilvl="0" w:tplc="729E7548">
      <w:start w:val="1"/>
      <w:numFmt w:val="bullet"/>
      <w:lvlText w:val=""/>
      <w:lvlJc w:val="left"/>
      <w:pPr>
        <w:tabs>
          <w:tab w:val="num" w:pos="1080"/>
        </w:tabs>
        <w:ind w:left="1080" w:hanging="360"/>
      </w:pPr>
      <w:rPr>
        <w:rFonts w:ascii="Symbol" w:hAnsi="Symbol" w:hint="default"/>
      </w:rPr>
    </w:lvl>
    <w:lvl w:ilvl="1" w:tplc="729E7548">
      <w:start w:val="1"/>
      <w:numFmt w:val="bullet"/>
      <w:lvlText w:val=""/>
      <w:lvlJc w:val="left"/>
      <w:pPr>
        <w:tabs>
          <w:tab w:val="num" w:pos="2250"/>
        </w:tabs>
        <w:ind w:left="225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55835A7A"/>
    <w:multiLevelType w:val="hybridMultilevel"/>
    <w:tmpl w:val="9DD8FD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55E875D2"/>
    <w:multiLevelType w:val="hybridMultilevel"/>
    <w:tmpl w:val="9B8A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77574FD"/>
    <w:multiLevelType w:val="hybridMultilevel"/>
    <w:tmpl w:val="9954A0CE"/>
    <w:lvl w:ilvl="0" w:tplc="B9908136">
      <w:start w:val="1"/>
      <w:numFmt w:val="lowerLetter"/>
      <w:lvlText w:val="%1."/>
      <w:lvlJc w:val="left"/>
      <w:pPr>
        <w:tabs>
          <w:tab w:val="num" w:pos="420"/>
        </w:tabs>
        <w:ind w:left="420" w:hanging="360"/>
      </w:pPr>
      <w:rPr>
        <w:rFonts w:cs="Times New Roman" w:hint="default"/>
      </w:rPr>
    </w:lvl>
    <w:lvl w:ilvl="1" w:tplc="0F72C858">
      <w:start w:val="3"/>
      <w:numFmt w:val="upperRoman"/>
      <w:lvlText w:val="%2."/>
      <w:lvlJc w:val="right"/>
      <w:pPr>
        <w:tabs>
          <w:tab w:val="num" w:pos="960"/>
        </w:tabs>
        <w:ind w:left="960" w:hanging="180"/>
      </w:pPr>
      <w:rPr>
        <w:rFonts w:cs="Times New Roman" w:hint="default"/>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2">
    <w:nsid w:val="59E14583"/>
    <w:multiLevelType w:val="hybridMultilevel"/>
    <w:tmpl w:val="C7709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AF709B6"/>
    <w:multiLevelType w:val="hybridMultilevel"/>
    <w:tmpl w:val="8D2A1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B144DA2"/>
    <w:multiLevelType w:val="hybridMultilevel"/>
    <w:tmpl w:val="2AA68A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B2314C3"/>
    <w:multiLevelType w:val="hybridMultilevel"/>
    <w:tmpl w:val="461E6DCE"/>
    <w:lvl w:ilvl="0" w:tplc="D3A0313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DC755E8"/>
    <w:multiLevelType w:val="hybridMultilevel"/>
    <w:tmpl w:val="F41A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DD0FBA"/>
    <w:multiLevelType w:val="hybridMultilevel"/>
    <w:tmpl w:val="EA847CF4"/>
    <w:lvl w:ilvl="0" w:tplc="39AE555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58">
    <w:nsid w:val="60501DAB"/>
    <w:multiLevelType w:val="hybridMultilevel"/>
    <w:tmpl w:val="E3BEB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078252B"/>
    <w:multiLevelType w:val="hybridMultilevel"/>
    <w:tmpl w:val="3A402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1665F70"/>
    <w:multiLevelType w:val="hybridMultilevel"/>
    <w:tmpl w:val="1744D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5664CCD"/>
    <w:multiLevelType w:val="hybridMultilevel"/>
    <w:tmpl w:val="D058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79E6F37"/>
    <w:multiLevelType w:val="hybridMultilevel"/>
    <w:tmpl w:val="E5CA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A6E3C99"/>
    <w:multiLevelType w:val="hybridMultilevel"/>
    <w:tmpl w:val="1584C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C891C8F"/>
    <w:multiLevelType w:val="hybridMultilevel"/>
    <w:tmpl w:val="96C0E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6F1C5EEE"/>
    <w:multiLevelType w:val="hybridMultilevel"/>
    <w:tmpl w:val="A6B0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1AB7B79"/>
    <w:multiLevelType w:val="hybridMultilevel"/>
    <w:tmpl w:val="B790A2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nsid w:val="776F30DE"/>
    <w:multiLevelType w:val="hybridMultilevel"/>
    <w:tmpl w:val="BFEC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8581125"/>
    <w:multiLevelType w:val="hybridMultilevel"/>
    <w:tmpl w:val="C08C59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nsid w:val="79656882"/>
    <w:multiLevelType w:val="hybridMultilevel"/>
    <w:tmpl w:val="459E1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7C272E82"/>
    <w:multiLevelType w:val="hybridMultilevel"/>
    <w:tmpl w:val="EE747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C521BC4"/>
    <w:multiLevelType w:val="hybridMultilevel"/>
    <w:tmpl w:val="B1D6F0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nsid w:val="7E321E94"/>
    <w:multiLevelType w:val="hybridMultilevel"/>
    <w:tmpl w:val="4378D848"/>
    <w:lvl w:ilvl="0" w:tplc="0409000F">
      <w:start w:val="1"/>
      <w:numFmt w:val="decimal"/>
      <w:lvlText w:val="%1."/>
      <w:lvlJc w:val="left"/>
      <w:pPr>
        <w:tabs>
          <w:tab w:val="num" w:pos="1080"/>
        </w:tabs>
        <w:ind w:left="1080" w:hanging="360"/>
      </w:pPr>
      <w:rPr>
        <w:rFonts w:cs="Times New Roman"/>
      </w:rPr>
    </w:lvl>
    <w:lvl w:ilvl="1" w:tplc="E130875A">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72"/>
  </w:num>
  <w:num w:numId="2">
    <w:abstractNumId w:val="5"/>
  </w:num>
  <w:num w:numId="3">
    <w:abstractNumId w:val="16"/>
  </w:num>
  <w:num w:numId="4">
    <w:abstractNumId w:val="39"/>
  </w:num>
  <w:num w:numId="5">
    <w:abstractNumId w:val="51"/>
  </w:num>
  <w:num w:numId="6">
    <w:abstractNumId w:val="12"/>
  </w:num>
  <w:num w:numId="7">
    <w:abstractNumId w:val="36"/>
  </w:num>
  <w:num w:numId="8">
    <w:abstractNumId w:val="21"/>
  </w:num>
  <w:num w:numId="9">
    <w:abstractNumId w:val="23"/>
  </w:num>
  <w:num w:numId="10">
    <w:abstractNumId w:val="52"/>
  </w:num>
  <w:num w:numId="11">
    <w:abstractNumId w:val="0"/>
  </w:num>
  <w:num w:numId="12">
    <w:abstractNumId w:val="42"/>
  </w:num>
  <w:num w:numId="13">
    <w:abstractNumId w:val="58"/>
  </w:num>
  <w:num w:numId="14">
    <w:abstractNumId w:val="49"/>
  </w:num>
  <w:num w:numId="15">
    <w:abstractNumId w:val="54"/>
  </w:num>
  <w:num w:numId="16">
    <w:abstractNumId w:val="10"/>
  </w:num>
  <w:num w:numId="17">
    <w:abstractNumId w:val="63"/>
  </w:num>
  <w:num w:numId="18">
    <w:abstractNumId w:val="53"/>
  </w:num>
  <w:num w:numId="19">
    <w:abstractNumId w:val="27"/>
  </w:num>
  <w:num w:numId="20">
    <w:abstractNumId w:val="15"/>
  </w:num>
  <w:num w:numId="21">
    <w:abstractNumId w:val="70"/>
  </w:num>
  <w:num w:numId="22">
    <w:abstractNumId w:val="64"/>
  </w:num>
  <w:num w:numId="23">
    <w:abstractNumId w:val="2"/>
  </w:num>
  <w:num w:numId="24">
    <w:abstractNumId w:val="30"/>
  </w:num>
  <w:num w:numId="2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8"/>
  </w:num>
  <w:num w:numId="29">
    <w:abstractNumId w:val="59"/>
  </w:num>
  <w:num w:numId="30">
    <w:abstractNumId w:val="45"/>
  </w:num>
  <w:num w:numId="31">
    <w:abstractNumId w:val="48"/>
  </w:num>
  <w:num w:numId="32">
    <w:abstractNumId w:val="37"/>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50"/>
  </w:num>
  <w:num w:numId="41">
    <w:abstractNumId w:val="40"/>
  </w:num>
  <w:num w:numId="42">
    <w:abstractNumId w:val="57"/>
  </w:num>
  <w:num w:numId="43">
    <w:abstractNumId w:val="31"/>
  </w:num>
  <w:num w:numId="44">
    <w:abstractNumId w:val="28"/>
  </w:num>
  <w:num w:numId="45">
    <w:abstractNumId w:val="4"/>
  </w:num>
  <w:num w:numId="46">
    <w:abstractNumId w:val="71"/>
  </w:num>
  <w:num w:numId="47">
    <w:abstractNumId w:val="68"/>
  </w:num>
  <w:num w:numId="48">
    <w:abstractNumId w:val="7"/>
  </w:num>
  <w:num w:numId="49">
    <w:abstractNumId w:val="66"/>
  </w:num>
  <w:num w:numId="50">
    <w:abstractNumId w:val="41"/>
  </w:num>
  <w:num w:numId="51">
    <w:abstractNumId w:val="11"/>
  </w:num>
  <w:num w:numId="52">
    <w:abstractNumId w:val="43"/>
  </w:num>
  <w:num w:numId="53">
    <w:abstractNumId w:val="29"/>
  </w:num>
  <w:num w:numId="54">
    <w:abstractNumId w:val="35"/>
  </w:num>
  <w:num w:numId="55">
    <w:abstractNumId w:val="47"/>
  </w:num>
  <w:num w:numId="56">
    <w:abstractNumId w:val="3"/>
  </w:num>
  <w:num w:numId="57">
    <w:abstractNumId w:val="46"/>
  </w:num>
  <w:num w:numId="58">
    <w:abstractNumId w:val="44"/>
  </w:num>
  <w:num w:numId="59">
    <w:abstractNumId w:val="26"/>
  </w:num>
  <w:num w:numId="60">
    <w:abstractNumId w:val="67"/>
  </w:num>
  <w:num w:numId="61">
    <w:abstractNumId w:val="65"/>
  </w:num>
  <w:num w:numId="62">
    <w:abstractNumId w:val="32"/>
  </w:num>
  <w:num w:numId="63">
    <w:abstractNumId w:val="60"/>
  </w:num>
  <w:num w:numId="64">
    <w:abstractNumId w:val="61"/>
  </w:num>
  <w:num w:numId="65">
    <w:abstractNumId w:val="33"/>
  </w:num>
  <w:num w:numId="66">
    <w:abstractNumId w:val="13"/>
  </w:num>
  <w:num w:numId="67">
    <w:abstractNumId w:val="62"/>
  </w:num>
  <w:num w:numId="68">
    <w:abstractNumId w:val="24"/>
  </w:num>
  <w:num w:numId="69">
    <w:abstractNumId w:val="9"/>
  </w:num>
  <w:num w:numId="7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num>
  <w:num w:numId="72">
    <w:abstractNumId w:val="56"/>
  </w:num>
  <w:num w:numId="73">
    <w:abstractNumId w:val="19"/>
  </w:num>
  <w:num w:numId="74">
    <w:abstractNumId w:val="38"/>
  </w:num>
  <w:num w:numId="75">
    <w:abstractNumId w:val="17"/>
  </w:num>
  <w:num w:numId="76">
    <w:abstractNumId w:val="34"/>
  </w:num>
  <w:num w:numId="77">
    <w:abstractNumId w:val="20"/>
  </w:num>
  <w:num w:numId="78">
    <w:abstractNumId w:val="55"/>
  </w:num>
  <w:num w:numId="79">
    <w:abstractNumId w:val="1"/>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88769"/>
  </w:hdrShapeDefaults>
  <w:footnotePr>
    <w:numStart w:val="8"/>
    <w:footnote w:id="-1"/>
    <w:footnote w:id="0"/>
  </w:footnotePr>
  <w:endnotePr>
    <w:endnote w:id="-1"/>
    <w:endnote w:id="0"/>
  </w:endnotePr>
  <w:compat/>
  <w:rsids>
    <w:rsidRoot w:val="005027FD"/>
    <w:rsid w:val="00000622"/>
    <w:rsid w:val="00000D34"/>
    <w:rsid w:val="000012A4"/>
    <w:rsid w:val="000013B6"/>
    <w:rsid w:val="0000140E"/>
    <w:rsid w:val="00001D61"/>
    <w:rsid w:val="00001E61"/>
    <w:rsid w:val="00002658"/>
    <w:rsid w:val="00002ADE"/>
    <w:rsid w:val="00002AEC"/>
    <w:rsid w:val="00002C26"/>
    <w:rsid w:val="00002C4B"/>
    <w:rsid w:val="00002C85"/>
    <w:rsid w:val="00003C09"/>
    <w:rsid w:val="00003F45"/>
    <w:rsid w:val="00004332"/>
    <w:rsid w:val="0000434B"/>
    <w:rsid w:val="00004641"/>
    <w:rsid w:val="00004CF6"/>
    <w:rsid w:val="00005459"/>
    <w:rsid w:val="00005511"/>
    <w:rsid w:val="0000568C"/>
    <w:rsid w:val="00006257"/>
    <w:rsid w:val="00006356"/>
    <w:rsid w:val="00006CDB"/>
    <w:rsid w:val="00006DC5"/>
    <w:rsid w:val="000071DF"/>
    <w:rsid w:val="000071EE"/>
    <w:rsid w:val="0000720D"/>
    <w:rsid w:val="0000765D"/>
    <w:rsid w:val="00007700"/>
    <w:rsid w:val="00007900"/>
    <w:rsid w:val="00007F0A"/>
    <w:rsid w:val="00010144"/>
    <w:rsid w:val="00010455"/>
    <w:rsid w:val="00010641"/>
    <w:rsid w:val="000114F5"/>
    <w:rsid w:val="00011804"/>
    <w:rsid w:val="00012260"/>
    <w:rsid w:val="000123D3"/>
    <w:rsid w:val="00012433"/>
    <w:rsid w:val="000126CB"/>
    <w:rsid w:val="00012B97"/>
    <w:rsid w:val="0001307E"/>
    <w:rsid w:val="0001368F"/>
    <w:rsid w:val="00013874"/>
    <w:rsid w:val="00013C5C"/>
    <w:rsid w:val="00013D6B"/>
    <w:rsid w:val="00013E12"/>
    <w:rsid w:val="00014458"/>
    <w:rsid w:val="00014515"/>
    <w:rsid w:val="00014863"/>
    <w:rsid w:val="0001531E"/>
    <w:rsid w:val="00015453"/>
    <w:rsid w:val="00015CD3"/>
    <w:rsid w:val="0001684B"/>
    <w:rsid w:val="00016AE2"/>
    <w:rsid w:val="00017D89"/>
    <w:rsid w:val="00020C25"/>
    <w:rsid w:val="00020F8B"/>
    <w:rsid w:val="00021165"/>
    <w:rsid w:val="000212E7"/>
    <w:rsid w:val="0002351E"/>
    <w:rsid w:val="00023782"/>
    <w:rsid w:val="000237C4"/>
    <w:rsid w:val="00023FF8"/>
    <w:rsid w:val="00025585"/>
    <w:rsid w:val="00025E48"/>
    <w:rsid w:val="0002618F"/>
    <w:rsid w:val="00027DE2"/>
    <w:rsid w:val="00027FBC"/>
    <w:rsid w:val="0003010E"/>
    <w:rsid w:val="00030B46"/>
    <w:rsid w:val="00030F44"/>
    <w:rsid w:val="00031E74"/>
    <w:rsid w:val="00031F2E"/>
    <w:rsid w:val="00031FFC"/>
    <w:rsid w:val="00032557"/>
    <w:rsid w:val="00032787"/>
    <w:rsid w:val="000327AA"/>
    <w:rsid w:val="00033A51"/>
    <w:rsid w:val="00033ED7"/>
    <w:rsid w:val="00034CF3"/>
    <w:rsid w:val="00035597"/>
    <w:rsid w:val="00035A8F"/>
    <w:rsid w:val="00035B47"/>
    <w:rsid w:val="000366C5"/>
    <w:rsid w:val="00036A74"/>
    <w:rsid w:val="00037171"/>
    <w:rsid w:val="00037757"/>
    <w:rsid w:val="00037E6E"/>
    <w:rsid w:val="00040051"/>
    <w:rsid w:val="00040179"/>
    <w:rsid w:val="0004042D"/>
    <w:rsid w:val="0004085C"/>
    <w:rsid w:val="000408EA"/>
    <w:rsid w:val="000409EB"/>
    <w:rsid w:val="00040A89"/>
    <w:rsid w:val="000414DE"/>
    <w:rsid w:val="0004175E"/>
    <w:rsid w:val="00042BE3"/>
    <w:rsid w:val="00043547"/>
    <w:rsid w:val="000438B2"/>
    <w:rsid w:val="00043CDC"/>
    <w:rsid w:val="000445DF"/>
    <w:rsid w:val="00044B3F"/>
    <w:rsid w:val="00044D11"/>
    <w:rsid w:val="000450ED"/>
    <w:rsid w:val="000457A3"/>
    <w:rsid w:val="00045964"/>
    <w:rsid w:val="00046607"/>
    <w:rsid w:val="00046856"/>
    <w:rsid w:val="000474B0"/>
    <w:rsid w:val="000478CC"/>
    <w:rsid w:val="00047C51"/>
    <w:rsid w:val="00047D04"/>
    <w:rsid w:val="00050244"/>
    <w:rsid w:val="00050889"/>
    <w:rsid w:val="00050E93"/>
    <w:rsid w:val="00051247"/>
    <w:rsid w:val="00051394"/>
    <w:rsid w:val="000513F1"/>
    <w:rsid w:val="00051656"/>
    <w:rsid w:val="000516E3"/>
    <w:rsid w:val="00052286"/>
    <w:rsid w:val="0005249D"/>
    <w:rsid w:val="00052592"/>
    <w:rsid w:val="00053087"/>
    <w:rsid w:val="00053246"/>
    <w:rsid w:val="000532A5"/>
    <w:rsid w:val="000532CE"/>
    <w:rsid w:val="00053A54"/>
    <w:rsid w:val="000541BB"/>
    <w:rsid w:val="00054A97"/>
    <w:rsid w:val="00055392"/>
    <w:rsid w:val="000559A0"/>
    <w:rsid w:val="000559AF"/>
    <w:rsid w:val="00055B3A"/>
    <w:rsid w:val="00055D70"/>
    <w:rsid w:val="00056A4E"/>
    <w:rsid w:val="00056D3B"/>
    <w:rsid w:val="00057E93"/>
    <w:rsid w:val="000603C2"/>
    <w:rsid w:val="000604B7"/>
    <w:rsid w:val="000606E4"/>
    <w:rsid w:val="0006082A"/>
    <w:rsid w:val="0006084A"/>
    <w:rsid w:val="0006132B"/>
    <w:rsid w:val="00061721"/>
    <w:rsid w:val="00061BFF"/>
    <w:rsid w:val="00061CF1"/>
    <w:rsid w:val="00061E6D"/>
    <w:rsid w:val="00062274"/>
    <w:rsid w:val="000625C2"/>
    <w:rsid w:val="000629D9"/>
    <w:rsid w:val="00063DAF"/>
    <w:rsid w:val="00063F15"/>
    <w:rsid w:val="00064259"/>
    <w:rsid w:val="00064CC2"/>
    <w:rsid w:val="00064EDA"/>
    <w:rsid w:val="000655E4"/>
    <w:rsid w:val="00065726"/>
    <w:rsid w:val="000658F4"/>
    <w:rsid w:val="00065F1F"/>
    <w:rsid w:val="000663CF"/>
    <w:rsid w:val="00066449"/>
    <w:rsid w:val="000667C3"/>
    <w:rsid w:val="00066DF2"/>
    <w:rsid w:val="00066E5E"/>
    <w:rsid w:val="00066E69"/>
    <w:rsid w:val="0006795D"/>
    <w:rsid w:val="00067D7A"/>
    <w:rsid w:val="0007043E"/>
    <w:rsid w:val="00070C6F"/>
    <w:rsid w:val="000711D6"/>
    <w:rsid w:val="000713FE"/>
    <w:rsid w:val="000714C4"/>
    <w:rsid w:val="000716DD"/>
    <w:rsid w:val="00071FED"/>
    <w:rsid w:val="000723EB"/>
    <w:rsid w:val="0007298E"/>
    <w:rsid w:val="000729D9"/>
    <w:rsid w:val="00072E7E"/>
    <w:rsid w:val="0007357C"/>
    <w:rsid w:val="00073711"/>
    <w:rsid w:val="00074473"/>
    <w:rsid w:val="0007453E"/>
    <w:rsid w:val="000749A2"/>
    <w:rsid w:val="0007595C"/>
    <w:rsid w:val="0007663C"/>
    <w:rsid w:val="000766C9"/>
    <w:rsid w:val="00076881"/>
    <w:rsid w:val="00076B5E"/>
    <w:rsid w:val="00076BD9"/>
    <w:rsid w:val="00077033"/>
    <w:rsid w:val="00080EFA"/>
    <w:rsid w:val="00081053"/>
    <w:rsid w:val="000816FC"/>
    <w:rsid w:val="000817D2"/>
    <w:rsid w:val="00081B48"/>
    <w:rsid w:val="00081E30"/>
    <w:rsid w:val="00081EB2"/>
    <w:rsid w:val="0008296F"/>
    <w:rsid w:val="000831E3"/>
    <w:rsid w:val="0008373A"/>
    <w:rsid w:val="000838F8"/>
    <w:rsid w:val="00084127"/>
    <w:rsid w:val="000844B4"/>
    <w:rsid w:val="00084E3C"/>
    <w:rsid w:val="000851DD"/>
    <w:rsid w:val="00085DB1"/>
    <w:rsid w:val="00085FAE"/>
    <w:rsid w:val="00086196"/>
    <w:rsid w:val="000900E7"/>
    <w:rsid w:val="00090330"/>
    <w:rsid w:val="000912FC"/>
    <w:rsid w:val="000914D7"/>
    <w:rsid w:val="0009194F"/>
    <w:rsid w:val="00092041"/>
    <w:rsid w:val="000921E1"/>
    <w:rsid w:val="00092352"/>
    <w:rsid w:val="00092A3A"/>
    <w:rsid w:val="00092BDE"/>
    <w:rsid w:val="00093857"/>
    <w:rsid w:val="00094208"/>
    <w:rsid w:val="000948CB"/>
    <w:rsid w:val="00094A0A"/>
    <w:rsid w:val="00095311"/>
    <w:rsid w:val="00095B48"/>
    <w:rsid w:val="00095FE7"/>
    <w:rsid w:val="00096D74"/>
    <w:rsid w:val="0009706B"/>
    <w:rsid w:val="0009731C"/>
    <w:rsid w:val="00097574"/>
    <w:rsid w:val="000A0030"/>
    <w:rsid w:val="000A051C"/>
    <w:rsid w:val="000A05EC"/>
    <w:rsid w:val="000A062D"/>
    <w:rsid w:val="000A07B7"/>
    <w:rsid w:val="000A0808"/>
    <w:rsid w:val="000A0DF2"/>
    <w:rsid w:val="000A0FFE"/>
    <w:rsid w:val="000A23DF"/>
    <w:rsid w:val="000A28FC"/>
    <w:rsid w:val="000A2E1E"/>
    <w:rsid w:val="000A3ACB"/>
    <w:rsid w:val="000A3AE9"/>
    <w:rsid w:val="000A4ABF"/>
    <w:rsid w:val="000A4DE1"/>
    <w:rsid w:val="000A5375"/>
    <w:rsid w:val="000A6AFA"/>
    <w:rsid w:val="000A6D56"/>
    <w:rsid w:val="000A709B"/>
    <w:rsid w:val="000A7AC6"/>
    <w:rsid w:val="000A7FDC"/>
    <w:rsid w:val="000B00C6"/>
    <w:rsid w:val="000B0329"/>
    <w:rsid w:val="000B035C"/>
    <w:rsid w:val="000B0556"/>
    <w:rsid w:val="000B08AE"/>
    <w:rsid w:val="000B1154"/>
    <w:rsid w:val="000B1270"/>
    <w:rsid w:val="000B1B74"/>
    <w:rsid w:val="000B1E40"/>
    <w:rsid w:val="000B201B"/>
    <w:rsid w:val="000B38B9"/>
    <w:rsid w:val="000B47E9"/>
    <w:rsid w:val="000B5D83"/>
    <w:rsid w:val="000B61EB"/>
    <w:rsid w:val="000B6248"/>
    <w:rsid w:val="000B63CB"/>
    <w:rsid w:val="000B6DB3"/>
    <w:rsid w:val="000B6E2F"/>
    <w:rsid w:val="000C007B"/>
    <w:rsid w:val="000C0422"/>
    <w:rsid w:val="000C065D"/>
    <w:rsid w:val="000C0747"/>
    <w:rsid w:val="000C13CD"/>
    <w:rsid w:val="000C1B36"/>
    <w:rsid w:val="000C1BF9"/>
    <w:rsid w:val="000C1C2B"/>
    <w:rsid w:val="000C1D1C"/>
    <w:rsid w:val="000C1EAA"/>
    <w:rsid w:val="000C32BA"/>
    <w:rsid w:val="000C3307"/>
    <w:rsid w:val="000C4430"/>
    <w:rsid w:val="000C4AD3"/>
    <w:rsid w:val="000C4F8C"/>
    <w:rsid w:val="000C5140"/>
    <w:rsid w:val="000C5232"/>
    <w:rsid w:val="000C52A7"/>
    <w:rsid w:val="000C56F3"/>
    <w:rsid w:val="000C575F"/>
    <w:rsid w:val="000C5C93"/>
    <w:rsid w:val="000C6191"/>
    <w:rsid w:val="000C6824"/>
    <w:rsid w:val="000C6990"/>
    <w:rsid w:val="000C7CB3"/>
    <w:rsid w:val="000D090C"/>
    <w:rsid w:val="000D0CF6"/>
    <w:rsid w:val="000D111C"/>
    <w:rsid w:val="000D155F"/>
    <w:rsid w:val="000D2456"/>
    <w:rsid w:val="000D25E7"/>
    <w:rsid w:val="000D2E25"/>
    <w:rsid w:val="000D35D3"/>
    <w:rsid w:val="000D36EF"/>
    <w:rsid w:val="000D38FA"/>
    <w:rsid w:val="000D3D6B"/>
    <w:rsid w:val="000D3FE7"/>
    <w:rsid w:val="000D427D"/>
    <w:rsid w:val="000D48C2"/>
    <w:rsid w:val="000D4912"/>
    <w:rsid w:val="000D4D9F"/>
    <w:rsid w:val="000D583F"/>
    <w:rsid w:val="000D5CE1"/>
    <w:rsid w:val="000D5EA0"/>
    <w:rsid w:val="000D6B65"/>
    <w:rsid w:val="000D78D8"/>
    <w:rsid w:val="000E0DB5"/>
    <w:rsid w:val="000E2874"/>
    <w:rsid w:val="000E3293"/>
    <w:rsid w:val="000E3B2D"/>
    <w:rsid w:val="000E41AA"/>
    <w:rsid w:val="000E4234"/>
    <w:rsid w:val="000E4473"/>
    <w:rsid w:val="000E48E8"/>
    <w:rsid w:val="000E49FE"/>
    <w:rsid w:val="000E4E87"/>
    <w:rsid w:val="000E523C"/>
    <w:rsid w:val="000E54A1"/>
    <w:rsid w:val="000E54C7"/>
    <w:rsid w:val="000E5B09"/>
    <w:rsid w:val="000E5ED9"/>
    <w:rsid w:val="000E66F2"/>
    <w:rsid w:val="000E6F9D"/>
    <w:rsid w:val="000E7428"/>
    <w:rsid w:val="000E7649"/>
    <w:rsid w:val="000E76A4"/>
    <w:rsid w:val="000E7C82"/>
    <w:rsid w:val="000F00F5"/>
    <w:rsid w:val="000F03A1"/>
    <w:rsid w:val="000F0CAC"/>
    <w:rsid w:val="000F0CD1"/>
    <w:rsid w:val="000F1162"/>
    <w:rsid w:val="000F1187"/>
    <w:rsid w:val="000F120B"/>
    <w:rsid w:val="000F16BF"/>
    <w:rsid w:val="000F170E"/>
    <w:rsid w:val="000F1A1A"/>
    <w:rsid w:val="000F2045"/>
    <w:rsid w:val="000F22CD"/>
    <w:rsid w:val="000F24B2"/>
    <w:rsid w:val="000F2E8E"/>
    <w:rsid w:val="000F3AE3"/>
    <w:rsid w:val="000F3D38"/>
    <w:rsid w:val="000F3D8E"/>
    <w:rsid w:val="000F3DE9"/>
    <w:rsid w:val="000F43DB"/>
    <w:rsid w:val="000F48E8"/>
    <w:rsid w:val="000F4BAB"/>
    <w:rsid w:val="000F4FB0"/>
    <w:rsid w:val="000F50AA"/>
    <w:rsid w:val="000F5EDD"/>
    <w:rsid w:val="000F6815"/>
    <w:rsid w:val="000F70EE"/>
    <w:rsid w:val="000F7727"/>
    <w:rsid w:val="000F77C1"/>
    <w:rsid w:val="000F7814"/>
    <w:rsid w:val="000F7D14"/>
    <w:rsid w:val="000F7D73"/>
    <w:rsid w:val="0010017D"/>
    <w:rsid w:val="00100C0F"/>
    <w:rsid w:val="00100F7D"/>
    <w:rsid w:val="001019C8"/>
    <w:rsid w:val="0010210D"/>
    <w:rsid w:val="00102472"/>
    <w:rsid w:val="001025A5"/>
    <w:rsid w:val="001028B8"/>
    <w:rsid w:val="00103468"/>
    <w:rsid w:val="001037DE"/>
    <w:rsid w:val="0010410B"/>
    <w:rsid w:val="00104151"/>
    <w:rsid w:val="001046DB"/>
    <w:rsid w:val="00104A37"/>
    <w:rsid w:val="00104F29"/>
    <w:rsid w:val="00104F53"/>
    <w:rsid w:val="00105B46"/>
    <w:rsid w:val="00105EF8"/>
    <w:rsid w:val="001063BB"/>
    <w:rsid w:val="00106741"/>
    <w:rsid w:val="0010691C"/>
    <w:rsid w:val="00106C0B"/>
    <w:rsid w:val="00107205"/>
    <w:rsid w:val="001076DF"/>
    <w:rsid w:val="00107832"/>
    <w:rsid w:val="001103AB"/>
    <w:rsid w:val="00110B68"/>
    <w:rsid w:val="001115EC"/>
    <w:rsid w:val="00112064"/>
    <w:rsid w:val="00112546"/>
    <w:rsid w:val="001126E7"/>
    <w:rsid w:val="0011281D"/>
    <w:rsid w:val="00112B55"/>
    <w:rsid w:val="00112DCA"/>
    <w:rsid w:val="00112E79"/>
    <w:rsid w:val="00113334"/>
    <w:rsid w:val="001135C3"/>
    <w:rsid w:val="001145F2"/>
    <w:rsid w:val="0011478D"/>
    <w:rsid w:val="00115B7A"/>
    <w:rsid w:val="00115D7C"/>
    <w:rsid w:val="0011657D"/>
    <w:rsid w:val="00116BBF"/>
    <w:rsid w:val="00116FD5"/>
    <w:rsid w:val="001176C3"/>
    <w:rsid w:val="00117A54"/>
    <w:rsid w:val="00117E63"/>
    <w:rsid w:val="001204F8"/>
    <w:rsid w:val="00120D00"/>
    <w:rsid w:val="00121D2D"/>
    <w:rsid w:val="00122256"/>
    <w:rsid w:val="00122812"/>
    <w:rsid w:val="0012290C"/>
    <w:rsid w:val="00122AC6"/>
    <w:rsid w:val="00123E5B"/>
    <w:rsid w:val="001241FF"/>
    <w:rsid w:val="00124288"/>
    <w:rsid w:val="001248B2"/>
    <w:rsid w:val="00125BE8"/>
    <w:rsid w:val="00125E4F"/>
    <w:rsid w:val="00126060"/>
    <w:rsid w:val="001263A4"/>
    <w:rsid w:val="00126F07"/>
    <w:rsid w:val="001271F8"/>
    <w:rsid w:val="00127253"/>
    <w:rsid w:val="00130218"/>
    <w:rsid w:val="0013044F"/>
    <w:rsid w:val="00130541"/>
    <w:rsid w:val="00130B44"/>
    <w:rsid w:val="00130D87"/>
    <w:rsid w:val="001312B4"/>
    <w:rsid w:val="0013136D"/>
    <w:rsid w:val="001318AA"/>
    <w:rsid w:val="001318B4"/>
    <w:rsid w:val="001319DF"/>
    <w:rsid w:val="001333DE"/>
    <w:rsid w:val="0013355D"/>
    <w:rsid w:val="00133B1A"/>
    <w:rsid w:val="0013459C"/>
    <w:rsid w:val="001346E0"/>
    <w:rsid w:val="00134A2A"/>
    <w:rsid w:val="00134ACE"/>
    <w:rsid w:val="001352A6"/>
    <w:rsid w:val="00135476"/>
    <w:rsid w:val="0013620B"/>
    <w:rsid w:val="001370B5"/>
    <w:rsid w:val="0013719B"/>
    <w:rsid w:val="00137423"/>
    <w:rsid w:val="001375EB"/>
    <w:rsid w:val="0013784C"/>
    <w:rsid w:val="00137B25"/>
    <w:rsid w:val="001404BA"/>
    <w:rsid w:val="00141127"/>
    <w:rsid w:val="001411FC"/>
    <w:rsid w:val="00142993"/>
    <w:rsid w:val="00143009"/>
    <w:rsid w:val="0014323B"/>
    <w:rsid w:val="001437CA"/>
    <w:rsid w:val="00143E20"/>
    <w:rsid w:val="00143E46"/>
    <w:rsid w:val="00144086"/>
    <w:rsid w:val="001446DD"/>
    <w:rsid w:val="001449AF"/>
    <w:rsid w:val="00144F80"/>
    <w:rsid w:val="00144F94"/>
    <w:rsid w:val="001450D9"/>
    <w:rsid w:val="0014533E"/>
    <w:rsid w:val="0014571D"/>
    <w:rsid w:val="00145EF4"/>
    <w:rsid w:val="001462C3"/>
    <w:rsid w:val="001462F4"/>
    <w:rsid w:val="00146AEF"/>
    <w:rsid w:val="00146C17"/>
    <w:rsid w:val="00146CA4"/>
    <w:rsid w:val="00147C21"/>
    <w:rsid w:val="00147E6C"/>
    <w:rsid w:val="0015021A"/>
    <w:rsid w:val="00150B2F"/>
    <w:rsid w:val="0015180C"/>
    <w:rsid w:val="00151B07"/>
    <w:rsid w:val="00151FCE"/>
    <w:rsid w:val="0015283B"/>
    <w:rsid w:val="00152E42"/>
    <w:rsid w:val="00152EF2"/>
    <w:rsid w:val="00153167"/>
    <w:rsid w:val="00153EAD"/>
    <w:rsid w:val="00153F90"/>
    <w:rsid w:val="00154293"/>
    <w:rsid w:val="00154ED8"/>
    <w:rsid w:val="001550CC"/>
    <w:rsid w:val="00157FD9"/>
    <w:rsid w:val="001608E8"/>
    <w:rsid w:val="001610D9"/>
    <w:rsid w:val="00161301"/>
    <w:rsid w:val="00161588"/>
    <w:rsid w:val="00161E4A"/>
    <w:rsid w:val="0016245C"/>
    <w:rsid w:val="00162740"/>
    <w:rsid w:val="00162D70"/>
    <w:rsid w:val="001639BA"/>
    <w:rsid w:val="00163C5F"/>
    <w:rsid w:val="0016431F"/>
    <w:rsid w:val="001644D2"/>
    <w:rsid w:val="00165B3A"/>
    <w:rsid w:val="00165DCF"/>
    <w:rsid w:val="001667AC"/>
    <w:rsid w:val="00166DEB"/>
    <w:rsid w:val="00166E53"/>
    <w:rsid w:val="00166FFC"/>
    <w:rsid w:val="001679CE"/>
    <w:rsid w:val="001714AA"/>
    <w:rsid w:val="00171567"/>
    <w:rsid w:val="001716A4"/>
    <w:rsid w:val="00172D12"/>
    <w:rsid w:val="00173331"/>
    <w:rsid w:val="00173E25"/>
    <w:rsid w:val="00174069"/>
    <w:rsid w:val="001743B1"/>
    <w:rsid w:val="00175423"/>
    <w:rsid w:val="001754BC"/>
    <w:rsid w:val="001757C0"/>
    <w:rsid w:val="00175A25"/>
    <w:rsid w:val="00175C56"/>
    <w:rsid w:val="00175D6E"/>
    <w:rsid w:val="00175F9A"/>
    <w:rsid w:val="0017615F"/>
    <w:rsid w:val="001767CF"/>
    <w:rsid w:val="00176864"/>
    <w:rsid w:val="00176A85"/>
    <w:rsid w:val="00176AE6"/>
    <w:rsid w:val="0017794C"/>
    <w:rsid w:val="0018003B"/>
    <w:rsid w:val="001800C3"/>
    <w:rsid w:val="00180B67"/>
    <w:rsid w:val="00180DE5"/>
    <w:rsid w:val="00181582"/>
    <w:rsid w:val="0018158A"/>
    <w:rsid w:val="00182A22"/>
    <w:rsid w:val="00183A9F"/>
    <w:rsid w:val="00183CF8"/>
    <w:rsid w:val="0018410E"/>
    <w:rsid w:val="00184A55"/>
    <w:rsid w:val="00184F26"/>
    <w:rsid w:val="00184F2F"/>
    <w:rsid w:val="00185211"/>
    <w:rsid w:val="001854CA"/>
    <w:rsid w:val="00185BAF"/>
    <w:rsid w:val="00186049"/>
    <w:rsid w:val="001860C0"/>
    <w:rsid w:val="00186E18"/>
    <w:rsid w:val="001877D0"/>
    <w:rsid w:val="00187AF4"/>
    <w:rsid w:val="00187F18"/>
    <w:rsid w:val="00187FCF"/>
    <w:rsid w:val="001903BD"/>
    <w:rsid w:val="0019073E"/>
    <w:rsid w:val="00190A7E"/>
    <w:rsid w:val="001911F1"/>
    <w:rsid w:val="00191510"/>
    <w:rsid w:val="00192342"/>
    <w:rsid w:val="00192504"/>
    <w:rsid w:val="001928B5"/>
    <w:rsid w:val="00192BA3"/>
    <w:rsid w:val="0019306B"/>
    <w:rsid w:val="0019306E"/>
    <w:rsid w:val="00193712"/>
    <w:rsid w:val="00193A5C"/>
    <w:rsid w:val="00193CE6"/>
    <w:rsid w:val="00194336"/>
    <w:rsid w:val="001944D8"/>
    <w:rsid w:val="001945B7"/>
    <w:rsid w:val="00194AD8"/>
    <w:rsid w:val="00195942"/>
    <w:rsid w:val="00195DF5"/>
    <w:rsid w:val="001960D9"/>
    <w:rsid w:val="0019746F"/>
    <w:rsid w:val="0019748E"/>
    <w:rsid w:val="00197DC7"/>
    <w:rsid w:val="001A007F"/>
    <w:rsid w:val="001A08EB"/>
    <w:rsid w:val="001A09DA"/>
    <w:rsid w:val="001A0B1D"/>
    <w:rsid w:val="001A0FCD"/>
    <w:rsid w:val="001A10BD"/>
    <w:rsid w:val="001A22D4"/>
    <w:rsid w:val="001A29A3"/>
    <w:rsid w:val="001A2C75"/>
    <w:rsid w:val="001A2D16"/>
    <w:rsid w:val="001A2DA2"/>
    <w:rsid w:val="001A2EE8"/>
    <w:rsid w:val="001A4266"/>
    <w:rsid w:val="001A455D"/>
    <w:rsid w:val="001A48F7"/>
    <w:rsid w:val="001A4CF5"/>
    <w:rsid w:val="001A4DCB"/>
    <w:rsid w:val="001A6223"/>
    <w:rsid w:val="001A68DC"/>
    <w:rsid w:val="001A6E16"/>
    <w:rsid w:val="001A7027"/>
    <w:rsid w:val="001B0C27"/>
    <w:rsid w:val="001B185A"/>
    <w:rsid w:val="001B1BB0"/>
    <w:rsid w:val="001B1CC0"/>
    <w:rsid w:val="001B3341"/>
    <w:rsid w:val="001B35A1"/>
    <w:rsid w:val="001B3B26"/>
    <w:rsid w:val="001B4050"/>
    <w:rsid w:val="001B41CC"/>
    <w:rsid w:val="001B49BA"/>
    <w:rsid w:val="001B50EE"/>
    <w:rsid w:val="001B514B"/>
    <w:rsid w:val="001B53AF"/>
    <w:rsid w:val="001B5E22"/>
    <w:rsid w:val="001B67A1"/>
    <w:rsid w:val="001B6DFC"/>
    <w:rsid w:val="001B73A6"/>
    <w:rsid w:val="001B746B"/>
    <w:rsid w:val="001B7A72"/>
    <w:rsid w:val="001B7D6A"/>
    <w:rsid w:val="001C120D"/>
    <w:rsid w:val="001C1436"/>
    <w:rsid w:val="001C183E"/>
    <w:rsid w:val="001C18BE"/>
    <w:rsid w:val="001C1D60"/>
    <w:rsid w:val="001C297D"/>
    <w:rsid w:val="001C2ADC"/>
    <w:rsid w:val="001C2B9A"/>
    <w:rsid w:val="001C2BEE"/>
    <w:rsid w:val="001C30A9"/>
    <w:rsid w:val="001C3487"/>
    <w:rsid w:val="001C4463"/>
    <w:rsid w:val="001C49E4"/>
    <w:rsid w:val="001C4E3E"/>
    <w:rsid w:val="001C5C93"/>
    <w:rsid w:val="001C5FBF"/>
    <w:rsid w:val="001C60DC"/>
    <w:rsid w:val="001C61D7"/>
    <w:rsid w:val="001C63D0"/>
    <w:rsid w:val="001C6439"/>
    <w:rsid w:val="001C6640"/>
    <w:rsid w:val="001C6AB6"/>
    <w:rsid w:val="001C6D16"/>
    <w:rsid w:val="001C7256"/>
    <w:rsid w:val="001C769E"/>
    <w:rsid w:val="001C775F"/>
    <w:rsid w:val="001C7C26"/>
    <w:rsid w:val="001D0098"/>
    <w:rsid w:val="001D00A0"/>
    <w:rsid w:val="001D0F24"/>
    <w:rsid w:val="001D10C5"/>
    <w:rsid w:val="001D127A"/>
    <w:rsid w:val="001D13CF"/>
    <w:rsid w:val="001D1C39"/>
    <w:rsid w:val="001D22C0"/>
    <w:rsid w:val="001D25AF"/>
    <w:rsid w:val="001D27FC"/>
    <w:rsid w:val="001D2924"/>
    <w:rsid w:val="001D3ADF"/>
    <w:rsid w:val="001D42BF"/>
    <w:rsid w:val="001D45E9"/>
    <w:rsid w:val="001D5117"/>
    <w:rsid w:val="001D5875"/>
    <w:rsid w:val="001D591E"/>
    <w:rsid w:val="001D5BA6"/>
    <w:rsid w:val="001D6B17"/>
    <w:rsid w:val="001D6D8B"/>
    <w:rsid w:val="001D72D2"/>
    <w:rsid w:val="001D78B0"/>
    <w:rsid w:val="001E002F"/>
    <w:rsid w:val="001E0254"/>
    <w:rsid w:val="001E04C1"/>
    <w:rsid w:val="001E052A"/>
    <w:rsid w:val="001E0E28"/>
    <w:rsid w:val="001E1BF4"/>
    <w:rsid w:val="001E1CC3"/>
    <w:rsid w:val="001E2927"/>
    <w:rsid w:val="001E2C28"/>
    <w:rsid w:val="001E3747"/>
    <w:rsid w:val="001E3B68"/>
    <w:rsid w:val="001E3DF4"/>
    <w:rsid w:val="001E4F28"/>
    <w:rsid w:val="001E531D"/>
    <w:rsid w:val="001E5D34"/>
    <w:rsid w:val="001E6149"/>
    <w:rsid w:val="001E61E6"/>
    <w:rsid w:val="001E6484"/>
    <w:rsid w:val="001E7347"/>
    <w:rsid w:val="001E76EB"/>
    <w:rsid w:val="001F00B0"/>
    <w:rsid w:val="001F0BDD"/>
    <w:rsid w:val="001F16DA"/>
    <w:rsid w:val="001F18DE"/>
    <w:rsid w:val="001F204B"/>
    <w:rsid w:val="001F21D7"/>
    <w:rsid w:val="001F29E9"/>
    <w:rsid w:val="001F2F4B"/>
    <w:rsid w:val="001F317E"/>
    <w:rsid w:val="001F3224"/>
    <w:rsid w:val="001F3494"/>
    <w:rsid w:val="001F3533"/>
    <w:rsid w:val="001F39DC"/>
    <w:rsid w:val="001F4720"/>
    <w:rsid w:val="001F49BD"/>
    <w:rsid w:val="001F4DEE"/>
    <w:rsid w:val="001F53C4"/>
    <w:rsid w:val="001F5E5B"/>
    <w:rsid w:val="001F5EA4"/>
    <w:rsid w:val="001F630E"/>
    <w:rsid w:val="001F69D8"/>
    <w:rsid w:val="001F6BE5"/>
    <w:rsid w:val="001F6CE9"/>
    <w:rsid w:val="001F6E0C"/>
    <w:rsid w:val="001F71A9"/>
    <w:rsid w:val="001F72DE"/>
    <w:rsid w:val="001F748D"/>
    <w:rsid w:val="001F7C91"/>
    <w:rsid w:val="001F7D2C"/>
    <w:rsid w:val="001F7F5E"/>
    <w:rsid w:val="00200195"/>
    <w:rsid w:val="002001EF"/>
    <w:rsid w:val="00201FFB"/>
    <w:rsid w:val="00202F05"/>
    <w:rsid w:val="00203EF0"/>
    <w:rsid w:val="00204A06"/>
    <w:rsid w:val="00204E96"/>
    <w:rsid w:val="00205900"/>
    <w:rsid w:val="00205DE7"/>
    <w:rsid w:val="00206402"/>
    <w:rsid w:val="002064AE"/>
    <w:rsid w:val="00206A84"/>
    <w:rsid w:val="0020766B"/>
    <w:rsid w:val="00207AFF"/>
    <w:rsid w:val="00207D8F"/>
    <w:rsid w:val="00207DA9"/>
    <w:rsid w:val="00212E5A"/>
    <w:rsid w:val="00212F78"/>
    <w:rsid w:val="0021393C"/>
    <w:rsid w:val="002144F3"/>
    <w:rsid w:val="0021491A"/>
    <w:rsid w:val="0021623B"/>
    <w:rsid w:val="00216352"/>
    <w:rsid w:val="002170E2"/>
    <w:rsid w:val="0021717E"/>
    <w:rsid w:val="002174F0"/>
    <w:rsid w:val="0021776B"/>
    <w:rsid w:val="00217B89"/>
    <w:rsid w:val="00217BFE"/>
    <w:rsid w:val="002202BF"/>
    <w:rsid w:val="00220A55"/>
    <w:rsid w:val="00221230"/>
    <w:rsid w:val="002212A2"/>
    <w:rsid w:val="00221501"/>
    <w:rsid w:val="00221682"/>
    <w:rsid w:val="002219D0"/>
    <w:rsid w:val="002221CB"/>
    <w:rsid w:val="002236AF"/>
    <w:rsid w:val="00223700"/>
    <w:rsid w:val="00223703"/>
    <w:rsid w:val="00223AA2"/>
    <w:rsid w:val="00223F32"/>
    <w:rsid w:val="00224133"/>
    <w:rsid w:val="0022457A"/>
    <w:rsid w:val="002250F4"/>
    <w:rsid w:val="00225126"/>
    <w:rsid w:val="002252AC"/>
    <w:rsid w:val="0022554A"/>
    <w:rsid w:val="002255FB"/>
    <w:rsid w:val="002257AC"/>
    <w:rsid w:val="00225C19"/>
    <w:rsid w:val="00226724"/>
    <w:rsid w:val="002267B1"/>
    <w:rsid w:val="00227B00"/>
    <w:rsid w:val="00227E46"/>
    <w:rsid w:val="00230589"/>
    <w:rsid w:val="00230E51"/>
    <w:rsid w:val="0023151E"/>
    <w:rsid w:val="00232655"/>
    <w:rsid w:val="00232C05"/>
    <w:rsid w:val="0023332C"/>
    <w:rsid w:val="002338EB"/>
    <w:rsid w:val="00233BD4"/>
    <w:rsid w:val="002344CE"/>
    <w:rsid w:val="002355A2"/>
    <w:rsid w:val="0023574A"/>
    <w:rsid w:val="002357BA"/>
    <w:rsid w:val="00235930"/>
    <w:rsid w:val="0023644C"/>
    <w:rsid w:val="00236AA5"/>
    <w:rsid w:val="00237537"/>
    <w:rsid w:val="00237766"/>
    <w:rsid w:val="00237ABC"/>
    <w:rsid w:val="00237CA0"/>
    <w:rsid w:val="00237FBB"/>
    <w:rsid w:val="00240BCA"/>
    <w:rsid w:val="00240FCD"/>
    <w:rsid w:val="00240FEA"/>
    <w:rsid w:val="002410C1"/>
    <w:rsid w:val="00241724"/>
    <w:rsid w:val="00241B10"/>
    <w:rsid w:val="00242E62"/>
    <w:rsid w:val="00242EA9"/>
    <w:rsid w:val="002433BE"/>
    <w:rsid w:val="002442F2"/>
    <w:rsid w:val="00244AFA"/>
    <w:rsid w:val="00244C84"/>
    <w:rsid w:val="00245735"/>
    <w:rsid w:val="00245A61"/>
    <w:rsid w:val="00245B1A"/>
    <w:rsid w:val="00245DA2"/>
    <w:rsid w:val="00246E16"/>
    <w:rsid w:val="00247775"/>
    <w:rsid w:val="0025015F"/>
    <w:rsid w:val="00251A61"/>
    <w:rsid w:val="00252148"/>
    <w:rsid w:val="002524D0"/>
    <w:rsid w:val="002526F9"/>
    <w:rsid w:val="0025295F"/>
    <w:rsid w:val="00252DE7"/>
    <w:rsid w:val="00252EE3"/>
    <w:rsid w:val="00253077"/>
    <w:rsid w:val="00253A49"/>
    <w:rsid w:val="00254724"/>
    <w:rsid w:val="00254BE8"/>
    <w:rsid w:val="00254D2D"/>
    <w:rsid w:val="0025572F"/>
    <w:rsid w:val="00255AB5"/>
    <w:rsid w:val="002566A6"/>
    <w:rsid w:val="0025739B"/>
    <w:rsid w:val="0025774A"/>
    <w:rsid w:val="002578CD"/>
    <w:rsid w:val="00260207"/>
    <w:rsid w:val="00260930"/>
    <w:rsid w:val="00260A63"/>
    <w:rsid w:val="00260AD4"/>
    <w:rsid w:val="00260CBD"/>
    <w:rsid w:val="00260CD2"/>
    <w:rsid w:val="00260E63"/>
    <w:rsid w:val="00261102"/>
    <w:rsid w:val="00261633"/>
    <w:rsid w:val="0026199A"/>
    <w:rsid w:val="00261BFE"/>
    <w:rsid w:val="00262362"/>
    <w:rsid w:val="002627B1"/>
    <w:rsid w:val="002628B1"/>
    <w:rsid w:val="00262BEA"/>
    <w:rsid w:val="002637D1"/>
    <w:rsid w:val="002642ED"/>
    <w:rsid w:val="00264392"/>
    <w:rsid w:val="00264465"/>
    <w:rsid w:val="002644AC"/>
    <w:rsid w:val="002648AE"/>
    <w:rsid w:val="00264E55"/>
    <w:rsid w:val="002651D5"/>
    <w:rsid w:val="002652E3"/>
    <w:rsid w:val="002653BB"/>
    <w:rsid w:val="002656A9"/>
    <w:rsid w:val="002657B4"/>
    <w:rsid w:val="00265E3F"/>
    <w:rsid w:val="00265EC1"/>
    <w:rsid w:val="002669B4"/>
    <w:rsid w:val="00266E5D"/>
    <w:rsid w:val="00266E73"/>
    <w:rsid w:val="002708A1"/>
    <w:rsid w:val="00270E1B"/>
    <w:rsid w:val="0027121A"/>
    <w:rsid w:val="00271280"/>
    <w:rsid w:val="00272640"/>
    <w:rsid w:val="00272767"/>
    <w:rsid w:val="00272FFA"/>
    <w:rsid w:val="0027342E"/>
    <w:rsid w:val="00273836"/>
    <w:rsid w:val="00273E46"/>
    <w:rsid w:val="0027468F"/>
    <w:rsid w:val="00274A00"/>
    <w:rsid w:val="00274A78"/>
    <w:rsid w:val="00275093"/>
    <w:rsid w:val="0027527D"/>
    <w:rsid w:val="0027529A"/>
    <w:rsid w:val="00275555"/>
    <w:rsid w:val="00275D2C"/>
    <w:rsid w:val="00275FAE"/>
    <w:rsid w:val="002761D0"/>
    <w:rsid w:val="00276413"/>
    <w:rsid w:val="002765AD"/>
    <w:rsid w:val="00276E70"/>
    <w:rsid w:val="00276F60"/>
    <w:rsid w:val="00277AB5"/>
    <w:rsid w:val="00280544"/>
    <w:rsid w:val="002805F3"/>
    <w:rsid w:val="0028088E"/>
    <w:rsid w:val="00280ADE"/>
    <w:rsid w:val="00280D98"/>
    <w:rsid w:val="00281517"/>
    <w:rsid w:val="0028154E"/>
    <w:rsid w:val="002815FB"/>
    <w:rsid w:val="00281841"/>
    <w:rsid w:val="0028192A"/>
    <w:rsid w:val="00281E14"/>
    <w:rsid w:val="00281F1E"/>
    <w:rsid w:val="00282384"/>
    <w:rsid w:val="002827B6"/>
    <w:rsid w:val="0028284C"/>
    <w:rsid w:val="00282C36"/>
    <w:rsid w:val="002847A6"/>
    <w:rsid w:val="002852F2"/>
    <w:rsid w:val="00285D6B"/>
    <w:rsid w:val="00285F51"/>
    <w:rsid w:val="00286049"/>
    <w:rsid w:val="002860A8"/>
    <w:rsid w:val="00286383"/>
    <w:rsid w:val="0028642E"/>
    <w:rsid w:val="00286F7F"/>
    <w:rsid w:val="00287324"/>
    <w:rsid w:val="002875C7"/>
    <w:rsid w:val="00287AA1"/>
    <w:rsid w:val="00287E27"/>
    <w:rsid w:val="0029183C"/>
    <w:rsid w:val="00291AD6"/>
    <w:rsid w:val="00292400"/>
    <w:rsid w:val="00292A63"/>
    <w:rsid w:val="00292DDB"/>
    <w:rsid w:val="00293198"/>
    <w:rsid w:val="00293226"/>
    <w:rsid w:val="0029373C"/>
    <w:rsid w:val="002941A2"/>
    <w:rsid w:val="0029440E"/>
    <w:rsid w:val="00294490"/>
    <w:rsid w:val="00294AB0"/>
    <w:rsid w:val="00294C40"/>
    <w:rsid w:val="002959A8"/>
    <w:rsid w:val="00295DA3"/>
    <w:rsid w:val="002970B4"/>
    <w:rsid w:val="00297285"/>
    <w:rsid w:val="0029795A"/>
    <w:rsid w:val="002A039F"/>
    <w:rsid w:val="002A057E"/>
    <w:rsid w:val="002A0663"/>
    <w:rsid w:val="002A081A"/>
    <w:rsid w:val="002A0B96"/>
    <w:rsid w:val="002A0C7F"/>
    <w:rsid w:val="002A0D5D"/>
    <w:rsid w:val="002A0D69"/>
    <w:rsid w:val="002A15FF"/>
    <w:rsid w:val="002A1F6A"/>
    <w:rsid w:val="002A20D5"/>
    <w:rsid w:val="002A21C3"/>
    <w:rsid w:val="002A26B3"/>
    <w:rsid w:val="002A288F"/>
    <w:rsid w:val="002A2F31"/>
    <w:rsid w:val="002A2F45"/>
    <w:rsid w:val="002A2F95"/>
    <w:rsid w:val="002A3039"/>
    <w:rsid w:val="002A3A2B"/>
    <w:rsid w:val="002A3AF7"/>
    <w:rsid w:val="002A3D11"/>
    <w:rsid w:val="002A44E4"/>
    <w:rsid w:val="002A4B1E"/>
    <w:rsid w:val="002A5010"/>
    <w:rsid w:val="002A5160"/>
    <w:rsid w:val="002A51C1"/>
    <w:rsid w:val="002A5328"/>
    <w:rsid w:val="002A5418"/>
    <w:rsid w:val="002A55A3"/>
    <w:rsid w:val="002A5BA0"/>
    <w:rsid w:val="002A6112"/>
    <w:rsid w:val="002A6CA3"/>
    <w:rsid w:val="002A73F3"/>
    <w:rsid w:val="002A740A"/>
    <w:rsid w:val="002A75AA"/>
    <w:rsid w:val="002A7812"/>
    <w:rsid w:val="002B0334"/>
    <w:rsid w:val="002B106E"/>
    <w:rsid w:val="002B10D2"/>
    <w:rsid w:val="002B1564"/>
    <w:rsid w:val="002B1626"/>
    <w:rsid w:val="002B179C"/>
    <w:rsid w:val="002B1985"/>
    <w:rsid w:val="002B21A2"/>
    <w:rsid w:val="002B2599"/>
    <w:rsid w:val="002B263C"/>
    <w:rsid w:val="002B2802"/>
    <w:rsid w:val="002B2A7B"/>
    <w:rsid w:val="002B3B4B"/>
    <w:rsid w:val="002B3F14"/>
    <w:rsid w:val="002B414E"/>
    <w:rsid w:val="002B4384"/>
    <w:rsid w:val="002B43D3"/>
    <w:rsid w:val="002B4BC3"/>
    <w:rsid w:val="002B4E7E"/>
    <w:rsid w:val="002B5156"/>
    <w:rsid w:val="002B531F"/>
    <w:rsid w:val="002B5AEC"/>
    <w:rsid w:val="002B5DD6"/>
    <w:rsid w:val="002B6CF4"/>
    <w:rsid w:val="002B6EEE"/>
    <w:rsid w:val="002B7FF6"/>
    <w:rsid w:val="002C0052"/>
    <w:rsid w:val="002C0093"/>
    <w:rsid w:val="002C0301"/>
    <w:rsid w:val="002C0C0F"/>
    <w:rsid w:val="002C0C83"/>
    <w:rsid w:val="002C15C6"/>
    <w:rsid w:val="002C1E85"/>
    <w:rsid w:val="002C2E7E"/>
    <w:rsid w:val="002C3C72"/>
    <w:rsid w:val="002C3E86"/>
    <w:rsid w:val="002C45AD"/>
    <w:rsid w:val="002C46FE"/>
    <w:rsid w:val="002C47CF"/>
    <w:rsid w:val="002C4DCA"/>
    <w:rsid w:val="002C5C38"/>
    <w:rsid w:val="002C5C9D"/>
    <w:rsid w:val="002C674D"/>
    <w:rsid w:val="002C73C3"/>
    <w:rsid w:val="002D012D"/>
    <w:rsid w:val="002D09FC"/>
    <w:rsid w:val="002D115E"/>
    <w:rsid w:val="002D146B"/>
    <w:rsid w:val="002D1D76"/>
    <w:rsid w:val="002D1DE0"/>
    <w:rsid w:val="002D1EB3"/>
    <w:rsid w:val="002D1F18"/>
    <w:rsid w:val="002D24BC"/>
    <w:rsid w:val="002D25FE"/>
    <w:rsid w:val="002D27BA"/>
    <w:rsid w:val="002D2AA6"/>
    <w:rsid w:val="002D3BB9"/>
    <w:rsid w:val="002D3BDA"/>
    <w:rsid w:val="002D3C12"/>
    <w:rsid w:val="002D3C9E"/>
    <w:rsid w:val="002D477C"/>
    <w:rsid w:val="002D4832"/>
    <w:rsid w:val="002D4A86"/>
    <w:rsid w:val="002D4CDF"/>
    <w:rsid w:val="002D55D4"/>
    <w:rsid w:val="002D5EC0"/>
    <w:rsid w:val="002D68C4"/>
    <w:rsid w:val="002D69EE"/>
    <w:rsid w:val="002D6B59"/>
    <w:rsid w:val="002D7B47"/>
    <w:rsid w:val="002E008D"/>
    <w:rsid w:val="002E022F"/>
    <w:rsid w:val="002E02BB"/>
    <w:rsid w:val="002E064F"/>
    <w:rsid w:val="002E07B6"/>
    <w:rsid w:val="002E0981"/>
    <w:rsid w:val="002E0ACF"/>
    <w:rsid w:val="002E0C11"/>
    <w:rsid w:val="002E10D9"/>
    <w:rsid w:val="002E1902"/>
    <w:rsid w:val="002E2287"/>
    <w:rsid w:val="002E33B8"/>
    <w:rsid w:val="002E35B0"/>
    <w:rsid w:val="002E39B5"/>
    <w:rsid w:val="002E3E7E"/>
    <w:rsid w:val="002E4341"/>
    <w:rsid w:val="002E4778"/>
    <w:rsid w:val="002E4F94"/>
    <w:rsid w:val="002E5F94"/>
    <w:rsid w:val="002E63A2"/>
    <w:rsid w:val="002E77EE"/>
    <w:rsid w:val="002E7E5E"/>
    <w:rsid w:val="002E7F0A"/>
    <w:rsid w:val="002E7FAF"/>
    <w:rsid w:val="002F0E6A"/>
    <w:rsid w:val="002F0E82"/>
    <w:rsid w:val="002F11E6"/>
    <w:rsid w:val="002F1702"/>
    <w:rsid w:val="002F23B1"/>
    <w:rsid w:val="002F3467"/>
    <w:rsid w:val="002F3905"/>
    <w:rsid w:val="002F39AE"/>
    <w:rsid w:val="002F3C8C"/>
    <w:rsid w:val="002F3CFE"/>
    <w:rsid w:val="002F4614"/>
    <w:rsid w:val="002F482F"/>
    <w:rsid w:val="002F493D"/>
    <w:rsid w:val="002F517D"/>
    <w:rsid w:val="002F550B"/>
    <w:rsid w:val="002F5AC3"/>
    <w:rsid w:val="002F5B2A"/>
    <w:rsid w:val="002F5C21"/>
    <w:rsid w:val="002F62C8"/>
    <w:rsid w:val="002F6AAE"/>
    <w:rsid w:val="002F6FDA"/>
    <w:rsid w:val="002F71E9"/>
    <w:rsid w:val="00300684"/>
    <w:rsid w:val="003019AD"/>
    <w:rsid w:val="00301DE5"/>
    <w:rsid w:val="0030232B"/>
    <w:rsid w:val="0030275B"/>
    <w:rsid w:val="00302A97"/>
    <w:rsid w:val="00302B50"/>
    <w:rsid w:val="00303223"/>
    <w:rsid w:val="003037BB"/>
    <w:rsid w:val="00304602"/>
    <w:rsid w:val="003047A2"/>
    <w:rsid w:val="00304835"/>
    <w:rsid w:val="003048EF"/>
    <w:rsid w:val="00305074"/>
    <w:rsid w:val="00305841"/>
    <w:rsid w:val="0030590E"/>
    <w:rsid w:val="00305B31"/>
    <w:rsid w:val="00305BA6"/>
    <w:rsid w:val="00305D7B"/>
    <w:rsid w:val="003067B0"/>
    <w:rsid w:val="0030692D"/>
    <w:rsid w:val="00306B8F"/>
    <w:rsid w:val="0030748B"/>
    <w:rsid w:val="003075DA"/>
    <w:rsid w:val="00310116"/>
    <w:rsid w:val="003106D5"/>
    <w:rsid w:val="0031095C"/>
    <w:rsid w:val="00310CB7"/>
    <w:rsid w:val="00310DCB"/>
    <w:rsid w:val="00310FD7"/>
    <w:rsid w:val="003114A9"/>
    <w:rsid w:val="003119F9"/>
    <w:rsid w:val="00311A47"/>
    <w:rsid w:val="00311C9A"/>
    <w:rsid w:val="00311FE0"/>
    <w:rsid w:val="00312198"/>
    <w:rsid w:val="003123D2"/>
    <w:rsid w:val="003128CB"/>
    <w:rsid w:val="0031306B"/>
    <w:rsid w:val="00313988"/>
    <w:rsid w:val="00313F6A"/>
    <w:rsid w:val="0031426C"/>
    <w:rsid w:val="003146D7"/>
    <w:rsid w:val="0031497B"/>
    <w:rsid w:val="00314A23"/>
    <w:rsid w:val="00314A74"/>
    <w:rsid w:val="00315AD1"/>
    <w:rsid w:val="0031621C"/>
    <w:rsid w:val="00316410"/>
    <w:rsid w:val="0031685A"/>
    <w:rsid w:val="003169AD"/>
    <w:rsid w:val="003169D2"/>
    <w:rsid w:val="003170AC"/>
    <w:rsid w:val="003172CD"/>
    <w:rsid w:val="0031732D"/>
    <w:rsid w:val="003176A6"/>
    <w:rsid w:val="0032011B"/>
    <w:rsid w:val="00320FC1"/>
    <w:rsid w:val="0032128C"/>
    <w:rsid w:val="00321596"/>
    <w:rsid w:val="0032161D"/>
    <w:rsid w:val="00321867"/>
    <w:rsid w:val="00321BB7"/>
    <w:rsid w:val="003223F4"/>
    <w:rsid w:val="0032361C"/>
    <w:rsid w:val="00323737"/>
    <w:rsid w:val="00323868"/>
    <w:rsid w:val="00323A28"/>
    <w:rsid w:val="00323B48"/>
    <w:rsid w:val="00323BB3"/>
    <w:rsid w:val="00323E9D"/>
    <w:rsid w:val="00323F42"/>
    <w:rsid w:val="003241BF"/>
    <w:rsid w:val="003251EF"/>
    <w:rsid w:val="003255AF"/>
    <w:rsid w:val="00327018"/>
    <w:rsid w:val="003277E9"/>
    <w:rsid w:val="00330166"/>
    <w:rsid w:val="0033046B"/>
    <w:rsid w:val="003305A8"/>
    <w:rsid w:val="0033071B"/>
    <w:rsid w:val="003307E1"/>
    <w:rsid w:val="00330814"/>
    <w:rsid w:val="00330F2C"/>
    <w:rsid w:val="003337F7"/>
    <w:rsid w:val="00333BD9"/>
    <w:rsid w:val="00333CA6"/>
    <w:rsid w:val="00334058"/>
    <w:rsid w:val="00334142"/>
    <w:rsid w:val="00334875"/>
    <w:rsid w:val="0033494C"/>
    <w:rsid w:val="00335007"/>
    <w:rsid w:val="0033516E"/>
    <w:rsid w:val="0033521B"/>
    <w:rsid w:val="00335570"/>
    <w:rsid w:val="003356D5"/>
    <w:rsid w:val="003357C3"/>
    <w:rsid w:val="00335ABD"/>
    <w:rsid w:val="00335B6C"/>
    <w:rsid w:val="00335C41"/>
    <w:rsid w:val="00335C79"/>
    <w:rsid w:val="00335C88"/>
    <w:rsid w:val="00335FFE"/>
    <w:rsid w:val="003366ED"/>
    <w:rsid w:val="00336A7A"/>
    <w:rsid w:val="00337AAD"/>
    <w:rsid w:val="00340949"/>
    <w:rsid w:val="00341FD7"/>
    <w:rsid w:val="00342418"/>
    <w:rsid w:val="00342594"/>
    <w:rsid w:val="00342AF0"/>
    <w:rsid w:val="00343396"/>
    <w:rsid w:val="00343437"/>
    <w:rsid w:val="0034360E"/>
    <w:rsid w:val="00344CFD"/>
    <w:rsid w:val="00344E26"/>
    <w:rsid w:val="0034530A"/>
    <w:rsid w:val="00345918"/>
    <w:rsid w:val="00345F6D"/>
    <w:rsid w:val="003460A2"/>
    <w:rsid w:val="003462D8"/>
    <w:rsid w:val="00346B93"/>
    <w:rsid w:val="00346E5C"/>
    <w:rsid w:val="003477DE"/>
    <w:rsid w:val="0034784C"/>
    <w:rsid w:val="00347BB9"/>
    <w:rsid w:val="00347F5C"/>
    <w:rsid w:val="00350437"/>
    <w:rsid w:val="003505EF"/>
    <w:rsid w:val="0035143D"/>
    <w:rsid w:val="003514CB"/>
    <w:rsid w:val="003516D6"/>
    <w:rsid w:val="00351975"/>
    <w:rsid w:val="00352A6E"/>
    <w:rsid w:val="00352C8D"/>
    <w:rsid w:val="00352CA4"/>
    <w:rsid w:val="003532EA"/>
    <w:rsid w:val="00353D9A"/>
    <w:rsid w:val="00353FD8"/>
    <w:rsid w:val="00354450"/>
    <w:rsid w:val="00354617"/>
    <w:rsid w:val="0035483E"/>
    <w:rsid w:val="00355047"/>
    <w:rsid w:val="00355450"/>
    <w:rsid w:val="00355E2D"/>
    <w:rsid w:val="00356013"/>
    <w:rsid w:val="00356238"/>
    <w:rsid w:val="00356942"/>
    <w:rsid w:val="00360963"/>
    <w:rsid w:val="00360A7E"/>
    <w:rsid w:val="00360F67"/>
    <w:rsid w:val="00361664"/>
    <w:rsid w:val="003617A0"/>
    <w:rsid w:val="00361A06"/>
    <w:rsid w:val="003620D0"/>
    <w:rsid w:val="00362DFF"/>
    <w:rsid w:val="00362E8D"/>
    <w:rsid w:val="003636E7"/>
    <w:rsid w:val="00363CAB"/>
    <w:rsid w:val="003661EE"/>
    <w:rsid w:val="00366280"/>
    <w:rsid w:val="003662B1"/>
    <w:rsid w:val="00366A78"/>
    <w:rsid w:val="00366C4A"/>
    <w:rsid w:val="00366E63"/>
    <w:rsid w:val="00367005"/>
    <w:rsid w:val="003671A1"/>
    <w:rsid w:val="00367384"/>
    <w:rsid w:val="00367B31"/>
    <w:rsid w:val="00370174"/>
    <w:rsid w:val="0037050A"/>
    <w:rsid w:val="003706AC"/>
    <w:rsid w:val="00370C94"/>
    <w:rsid w:val="00370DD5"/>
    <w:rsid w:val="00370E03"/>
    <w:rsid w:val="0037180C"/>
    <w:rsid w:val="003719A8"/>
    <w:rsid w:val="00371EB8"/>
    <w:rsid w:val="00372870"/>
    <w:rsid w:val="00372DBA"/>
    <w:rsid w:val="00372EC4"/>
    <w:rsid w:val="00372F5F"/>
    <w:rsid w:val="0037332B"/>
    <w:rsid w:val="003733AF"/>
    <w:rsid w:val="00373C70"/>
    <w:rsid w:val="00373CF2"/>
    <w:rsid w:val="00373DD1"/>
    <w:rsid w:val="003744E6"/>
    <w:rsid w:val="00374616"/>
    <w:rsid w:val="00374AF6"/>
    <w:rsid w:val="00374B81"/>
    <w:rsid w:val="00374D84"/>
    <w:rsid w:val="0037584E"/>
    <w:rsid w:val="0037595C"/>
    <w:rsid w:val="00375E50"/>
    <w:rsid w:val="00377217"/>
    <w:rsid w:val="00377656"/>
    <w:rsid w:val="00380097"/>
    <w:rsid w:val="003802DD"/>
    <w:rsid w:val="00380672"/>
    <w:rsid w:val="00380736"/>
    <w:rsid w:val="0038080D"/>
    <w:rsid w:val="00380A1F"/>
    <w:rsid w:val="00380C6E"/>
    <w:rsid w:val="00380E62"/>
    <w:rsid w:val="00380EF0"/>
    <w:rsid w:val="00381903"/>
    <w:rsid w:val="00381C4E"/>
    <w:rsid w:val="0038250C"/>
    <w:rsid w:val="00382C7E"/>
    <w:rsid w:val="00382D78"/>
    <w:rsid w:val="003840CB"/>
    <w:rsid w:val="003846F3"/>
    <w:rsid w:val="00384947"/>
    <w:rsid w:val="00384C61"/>
    <w:rsid w:val="00384D88"/>
    <w:rsid w:val="00384EA6"/>
    <w:rsid w:val="0038624E"/>
    <w:rsid w:val="0038661E"/>
    <w:rsid w:val="003866EF"/>
    <w:rsid w:val="003867CD"/>
    <w:rsid w:val="00386875"/>
    <w:rsid w:val="00386C13"/>
    <w:rsid w:val="00386D09"/>
    <w:rsid w:val="00387505"/>
    <w:rsid w:val="00387FA7"/>
    <w:rsid w:val="00391939"/>
    <w:rsid w:val="00391AC8"/>
    <w:rsid w:val="003927C0"/>
    <w:rsid w:val="00393E0B"/>
    <w:rsid w:val="00393E52"/>
    <w:rsid w:val="00394287"/>
    <w:rsid w:val="00394315"/>
    <w:rsid w:val="0039458C"/>
    <w:rsid w:val="00394666"/>
    <w:rsid w:val="003947F1"/>
    <w:rsid w:val="00394EDD"/>
    <w:rsid w:val="00395168"/>
    <w:rsid w:val="003951BD"/>
    <w:rsid w:val="00395C48"/>
    <w:rsid w:val="00395FB8"/>
    <w:rsid w:val="00396DE1"/>
    <w:rsid w:val="00396E5F"/>
    <w:rsid w:val="0039719E"/>
    <w:rsid w:val="003976CB"/>
    <w:rsid w:val="003976D4"/>
    <w:rsid w:val="003A01C9"/>
    <w:rsid w:val="003A05FE"/>
    <w:rsid w:val="003A0D3A"/>
    <w:rsid w:val="003A0E3F"/>
    <w:rsid w:val="003A0EDA"/>
    <w:rsid w:val="003A127D"/>
    <w:rsid w:val="003A14A5"/>
    <w:rsid w:val="003A14F6"/>
    <w:rsid w:val="003A1DEB"/>
    <w:rsid w:val="003A2007"/>
    <w:rsid w:val="003A2131"/>
    <w:rsid w:val="003A2FA2"/>
    <w:rsid w:val="003A31C5"/>
    <w:rsid w:val="003A39C6"/>
    <w:rsid w:val="003A3EE3"/>
    <w:rsid w:val="003A4395"/>
    <w:rsid w:val="003A4422"/>
    <w:rsid w:val="003A4C87"/>
    <w:rsid w:val="003A4D99"/>
    <w:rsid w:val="003A55B2"/>
    <w:rsid w:val="003A5938"/>
    <w:rsid w:val="003A6E33"/>
    <w:rsid w:val="003A6FE7"/>
    <w:rsid w:val="003A79A0"/>
    <w:rsid w:val="003A79D3"/>
    <w:rsid w:val="003A7EBA"/>
    <w:rsid w:val="003B059A"/>
    <w:rsid w:val="003B1349"/>
    <w:rsid w:val="003B137B"/>
    <w:rsid w:val="003B1411"/>
    <w:rsid w:val="003B1DC2"/>
    <w:rsid w:val="003B2543"/>
    <w:rsid w:val="003B267C"/>
    <w:rsid w:val="003B2920"/>
    <w:rsid w:val="003B2D7D"/>
    <w:rsid w:val="003B39BB"/>
    <w:rsid w:val="003B3A40"/>
    <w:rsid w:val="003B3BE9"/>
    <w:rsid w:val="003B4CA7"/>
    <w:rsid w:val="003B5197"/>
    <w:rsid w:val="003B52C9"/>
    <w:rsid w:val="003B5D60"/>
    <w:rsid w:val="003B5D72"/>
    <w:rsid w:val="003B684D"/>
    <w:rsid w:val="003B7070"/>
    <w:rsid w:val="003B7695"/>
    <w:rsid w:val="003B7E5E"/>
    <w:rsid w:val="003C0C93"/>
    <w:rsid w:val="003C0EB1"/>
    <w:rsid w:val="003C0FB6"/>
    <w:rsid w:val="003C13BF"/>
    <w:rsid w:val="003C1CD7"/>
    <w:rsid w:val="003C1F37"/>
    <w:rsid w:val="003C20BD"/>
    <w:rsid w:val="003C2685"/>
    <w:rsid w:val="003C2856"/>
    <w:rsid w:val="003C2B91"/>
    <w:rsid w:val="003C34A1"/>
    <w:rsid w:val="003C35D4"/>
    <w:rsid w:val="003C4553"/>
    <w:rsid w:val="003C46BE"/>
    <w:rsid w:val="003C4F1F"/>
    <w:rsid w:val="003C5F3C"/>
    <w:rsid w:val="003C6024"/>
    <w:rsid w:val="003C6CBF"/>
    <w:rsid w:val="003C71CA"/>
    <w:rsid w:val="003C71F4"/>
    <w:rsid w:val="003D00D8"/>
    <w:rsid w:val="003D01EB"/>
    <w:rsid w:val="003D04B2"/>
    <w:rsid w:val="003D0CF4"/>
    <w:rsid w:val="003D0F57"/>
    <w:rsid w:val="003D10D0"/>
    <w:rsid w:val="003D13A8"/>
    <w:rsid w:val="003D1488"/>
    <w:rsid w:val="003D16D4"/>
    <w:rsid w:val="003D2239"/>
    <w:rsid w:val="003D226B"/>
    <w:rsid w:val="003D251A"/>
    <w:rsid w:val="003D2F2D"/>
    <w:rsid w:val="003D321F"/>
    <w:rsid w:val="003D38FC"/>
    <w:rsid w:val="003D3D35"/>
    <w:rsid w:val="003D3E51"/>
    <w:rsid w:val="003D4458"/>
    <w:rsid w:val="003D496E"/>
    <w:rsid w:val="003D585B"/>
    <w:rsid w:val="003D58F4"/>
    <w:rsid w:val="003D5932"/>
    <w:rsid w:val="003D68BF"/>
    <w:rsid w:val="003D7044"/>
    <w:rsid w:val="003D7692"/>
    <w:rsid w:val="003D7CB2"/>
    <w:rsid w:val="003E0019"/>
    <w:rsid w:val="003E040E"/>
    <w:rsid w:val="003E0699"/>
    <w:rsid w:val="003E14B1"/>
    <w:rsid w:val="003E1594"/>
    <w:rsid w:val="003E1B41"/>
    <w:rsid w:val="003E1C64"/>
    <w:rsid w:val="003E2094"/>
    <w:rsid w:val="003E265D"/>
    <w:rsid w:val="003E2E8F"/>
    <w:rsid w:val="003E2F33"/>
    <w:rsid w:val="003E2F44"/>
    <w:rsid w:val="003E3435"/>
    <w:rsid w:val="003E354B"/>
    <w:rsid w:val="003E36C4"/>
    <w:rsid w:val="003E4275"/>
    <w:rsid w:val="003E42DB"/>
    <w:rsid w:val="003E518B"/>
    <w:rsid w:val="003E68B9"/>
    <w:rsid w:val="003E6A5C"/>
    <w:rsid w:val="003E6E66"/>
    <w:rsid w:val="003E6F02"/>
    <w:rsid w:val="003E7289"/>
    <w:rsid w:val="003E76E6"/>
    <w:rsid w:val="003E7910"/>
    <w:rsid w:val="003E7993"/>
    <w:rsid w:val="003E7EF6"/>
    <w:rsid w:val="003E7F90"/>
    <w:rsid w:val="003F0CF6"/>
    <w:rsid w:val="003F13EC"/>
    <w:rsid w:val="003F17DB"/>
    <w:rsid w:val="003F20A1"/>
    <w:rsid w:val="003F2CDB"/>
    <w:rsid w:val="003F2F20"/>
    <w:rsid w:val="003F2F66"/>
    <w:rsid w:val="003F362B"/>
    <w:rsid w:val="003F3BA8"/>
    <w:rsid w:val="003F3BCC"/>
    <w:rsid w:val="003F4B00"/>
    <w:rsid w:val="003F5533"/>
    <w:rsid w:val="003F597D"/>
    <w:rsid w:val="003F7022"/>
    <w:rsid w:val="003F7630"/>
    <w:rsid w:val="003F7BFF"/>
    <w:rsid w:val="00400034"/>
    <w:rsid w:val="00400962"/>
    <w:rsid w:val="00401306"/>
    <w:rsid w:val="00401564"/>
    <w:rsid w:val="00401A7C"/>
    <w:rsid w:val="00402091"/>
    <w:rsid w:val="00402172"/>
    <w:rsid w:val="004026C4"/>
    <w:rsid w:val="00402DEF"/>
    <w:rsid w:val="00402E95"/>
    <w:rsid w:val="00403891"/>
    <w:rsid w:val="004043D4"/>
    <w:rsid w:val="00404BD4"/>
    <w:rsid w:val="00404F39"/>
    <w:rsid w:val="00405204"/>
    <w:rsid w:val="0040602C"/>
    <w:rsid w:val="00406334"/>
    <w:rsid w:val="00406366"/>
    <w:rsid w:val="00407775"/>
    <w:rsid w:val="00407AA6"/>
    <w:rsid w:val="004107B1"/>
    <w:rsid w:val="00410A8C"/>
    <w:rsid w:val="00410F98"/>
    <w:rsid w:val="004117FD"/>
    <w:rsid w:val="00411B7E"/>
    <w:rsid w:val="00412315"/>
    <w:rsid w:val="00412B77"/>
    <w:rsid w:val="00412F45"/>
    <w:rsid w:val="00413406"/>
    <w:rsid w:val="00413AF0"/>
    <w:rsid w:val="004144D7"/>
    <w:rsid w:val="004146EB"/>
    <w:rsid w:val="004156D9"/>
    <w:rsid w:val="00415BB9"/>
    <w:rsid w:val="00417E8B"/>
    <w:rsid w:val="00420EC4"/>
    <w:rsid w:val="00421B00"/>
    <w:rsid w:val="004227C6"/>
    <w:rsid w:val="00422EDD"/>
    <w:rsid w:val="00422F4B"/>
    <w:rsid w:val="004230B9"/>
    <w:rsid w:val="0042357D"/>
    <w:rsid w:val="00423CBF"/>
    <w:rsid w:val="0042417E"/>
    <w:rsid w:val="00424751"/>
    <w:rsid w:val="0042479F"/>
    <w:rsid w:val="00424C7D"/>
    <w:rsid w:val="00425BA8"/>
    <w:rsid w:val="00425FB6"/>
    <w:rsid w:val="004267A1"/>
    <w:rsid w:val="00426BDA"/>
    <w:rsid w:val="00426C49"/>
    <w:rsid w:val="00426F00"/>
    <w:rsid w:val="0042770C"/>
    <w:rsid w:val="00427CC2"/>
    <w:rsid w:val="00427E43"/>
    <w:rsid w:val="004305F9"/>
    <w:rsid w:val="00430775"/>
    <w:rsid w:val="004307CD"/>
    <w:rsid w:val="004309D3"/>
    <w:rsid w:val="00430A35"/>
    <w:rsid w:val="00430BDC"/>
    <w:rsid w:val="00430CE4"/>
    <w:rsid w:val="0043185B"/>
    <w:rsid w:val="00431CE3"/>
    <w:rsid w:val="004323C5"/>
    <w:rsid w:val="004328E4"/>
    <w:rsid w:val="00432B8D"/>
    <w:rsid w:val="00433183"/>
    <w:rsid w:val="0043365D"/>
    <w:rsid w:val="00433D70"/>
    <w:rsid w:val="00433F25"/>
    <w:rsid w:val="004340A8"/>
    <w:rsid w:val="004340CB"/>
    <w:rsid w:val="00434215"/>
    <w:rsid w:val="004351C2"/>
    <w:rsid w:val="004358B9"/>
    <w:rsid w:val="00435B88"/>
    <w:rsid w:val="00435E2E"/>
    <w:rsid w:val="00436075"/>
    <w:rsid w:val="00436A31"/>
    <w:rsid w:val="00436BBB"/>
    <w:rsid w:val="00437E32"/>
    <w:rsid w:val="00437ECA"/>
    <w:rsid w:val="004409BC"/>
    <w:rsid w:val="004409E9"/>
    <w:rsid w:val="00440E5A"/>
    <w:rsid w:val="004414EA"/>
    <w:rsid w:val="00441A5A"/>
    <w:rsid w:val="00441ADB"/>
    <w:rsid w:val="00442103"/>
    <w:rsid w:val="004429A1"/>
    <w:rsid w:val="00443784"/>
    <w:rsid w:val="00443D56"/>
    <w:rsid w:val="0044468A"/>
    <w:rsid w:val="004446E3"/>
    <w:rsid w:val="00444929"/>
    <w:rsid w:val="00444BC9"/>
    <w:rsid w:val="004456C3"/>
    <w:rsid w:val="00445788"/>
    <w:rsid w:val="0044581B"/>
    <w:rsid w:val="004459BE"/>
    <w:rsid w:val="00445B54"/>
    <w:rsid w:val="00445C99"/>
    <w:rsid w:val="00446796"/>
    <w:rsid w:val="00446A1D"/>
    <w:rsid w:val="004475B7"/>
    <w:rsid w:val="004477F4"/>
    <w:rsid w:val="004479CD"/>
    <w:rsid w:val="00447BC8"/>
    <w:rsid w:val="00447CB6"/>
    <w:rsid w:val="00447D1A"/>
    <w:rsid w:val="00447F46"/>
    <w:rsid w:val="0045004F"/>
    <w:rsid w:val="00450374"/>
    <w:rsid w:val="0045061A"/>
    <w:rsid w:val="004508E5"/>
    <w:rsid w:val="00450975"/>
    <w:rsid w:val="00450F96"/>
    <w:rsid w:val="00451B38"/>
    <w:rsid w:val="0045227E"/>
    <w:rsid w:val="0045307F"/>
    <w:rsid w:val="004533BE"/>
    <w:rsid w:val="00453871"/>
    <w:rsid w:val="004548CB"/>
    <w:rsid w:val="00454932"/>
    <w:rsid w:val="004552D0"/>
    <w:rsid w:val="00455383"/>
    <w:rsid w:val="004554A3"/>
    <w:rsid w:val="0045566A"/>
    <w:rsid w:val="00455925"/>
    <w:rsid w:val="00455B94"/>
    <w:rsid w:val="00456322"/>
    <w:rsid w:val="00456426"/>
    <w:rsid w:val="00456704"/>
    <w:rsid w:val="00456F87"/>
    <w:rsid w:val="00456FB5"/>
    <w:rsid w:val="00457247"/>
    <w:rsid w:val="00457E37"/>
    <w:rsid w:val="00457F37"/>
    <w:rsid w:val="004604A8"/>
    <w:rsid w:val="0046065C"/>
    <w:rsid w:val="004607A9"/>
    <w:rsid w:val="00460929"/>
    <w:rsid w:val="0046094C"/>
    <w:rsid w:val="00460A61"/>
    <w:rsid w:val="00460AB0"/>
    <w:rsid w:val="00460F15"/>
    <w:rsid w:val="00460F38"/>
    <w:rsid w:val="00461002"/>
    <w:rsid w:val="00461261"/>
    <w:rsid w:val="004612A4"/>
    <w:rsid w:val="004619E6"/>
    <w:rsid w:val="00461D8C"/>
    <w:rsid w:val="00461E99"/>
    <w:rsid w:val="00462980"/>
    <w:rsid w:val="00462BB9"/>
    <w:rsid w:val="004634AC"/>
    <w:rsid w:val="004637CC"/>
    <w:rsid w:val="00463DAF"/>
    <w:rsid w:val="00463DC3"/>
    <w:rsid w:val="004643E9"/>
    <w:rsid w:val="0046448F"/>
    <w:rsid w:val="00465648"/>
    <w:rsid w:val="00465E02"/>
    <w:rsid w:val="00465EC5"/>
    <w:rsid w:val="0046632C"/>
    <w:rsid w:val="00466468"/>
    <w:rsid w:val="00467163"/>
    <w:rsid w:val="004671E3"/>
    <w:rsid w:val="0046745F"/>
    <w:rsid w:val="004676E6"/>
    <w:rsid w:val="00467BD3"/>
    <w:rsid w:val="00467F42"/>
    <w:rsid w:val="00467F4E"/>
    <w:rsid w:val="00470009"/>
    <w:rsid w:val="0047045E"/>
    <w:rsid w:val="00470858"/>
    <w:rsid w:val="00471021"/>
    <w:rsid w:val="0047118C"/>
    <w:rsid w:val="004713CA"/>
    <w:rsid w:val="00471D0A"/>
    <w:rsid w:val="00472037"/>
    <w:rsid w:val="00472EA7"/>
    <w:rsid w:val="00473146"/>
    <w:rsid w:val="0047355D"/>
    <w:rsid w:val="004739A5"/>
    <w:rsid w:val="004746CD"/>
    <w:rsid w:val="0047481A"/>
    <w:rsid w:val="00474E77"/>
    <w:rsid w:val="00474F82"/>
    <w:rsid w:val="0047515E"/>
    <w:rsid w:val="00475F12"/>
    <w:rsid w:val="004769FC"/>
    <w:rsid w:val="00476BC7"/>
    <w:rsid w:val="00477008"/>
    <w:rsid w:val="00477033"/>
    <w:rsid w:val="00477590"/>
    <w:rsid w:val="00477A23"/>
    <w:rsid w:val="004802B3"/>
    <w:rsid w:val="0048034D"/>
    <w:rsid w:val="004807C4"/>
    <w:rsid w:val="00480929"/>
    <w:rsid w:val="004809CE"/>
    <w:rsid w:val="0048114E"/>
    <w:rsid w:val="0048154B"/>
    <w:rsid w:val="004817DB"/>
    <w:rsid w:val="004818B5"/>
    <w:rsid w:val="00481CB1"/>
    <w:rsid w:val="00481D69"/>
    <w:rsid w:val="004821D0"/>
    <w:rsid w:val="00482D19"/>
    <w:rsid w:val="00482DCA"/>
    <w:rsid w:val="0048323C"/>
    <w:rsid w:val="004832FE"/>
    <w:rsid w:val="004836A9"/>
    <w:rsid w:val="00483A22"/>
    <w:rsid w:val="0048420D"/>
    <w:rsid w:val="00484359"/>
    <w:rsid w:val="00484A35"/>
    <w:rsid w:val="00484B92"/>
    <w:rsid w:val="0048501E"/>
    <w:rsid w:val="004852D5"/>
    <w:rsid w:val="004856C4"/>
    <w:rsid w:val="0048571E"/>
    <w:rsid w:val="00486199"/>
    <w:rsid w:val="00486364"/>
    <w:rsid w:val="0048668D"/>
    <w:rsid w:val="00486793"/>
    <w:rsid w:val="00487288"/>
    <w:rsid w:val="00487941"/>
    <w:rsid w:val="004879B3"/>
    <w:rsid w:val="00487FA1"/>
    <w:rsid w:val="00490416"/>
    <w:rsid w:val="00490467"/>
    <w:rsid w:val="00491DE0"/>
    <w:rsid w:val="0049307A"/>
    <w:rsid w:val="00493F15"/>
    <w:rsid w:val="004943F3"/>
    <w:rsid w:val="00494920"/>
    <w:rsid w:val="004950EF"/>
    <w:rsid w:val="0049579A"/>
    <w:rsid w:val="004958BE"/>
    <w:rsid w:val="00496513"/>
    <w:rsid w:val="0049653A"/>
    <w:rsid w:val="00496EAC"/>
    <w:rsid w:val="00497276"/>
    <w:rsid w:val="004978CF"/>
    <w:rsid w:val="004A04AF"/>
    <w:rsid w:val="004A0B15"/>
    <w:rsid w:val="004A1275"/>
    <w:rsid w:val="004A1B71"/>
    <w:rsid w:val="004A1FEE"/>
    <w:rsid w:val="004A21F4"/>
    <w:rsid w:val="004A271E"/>
    <w:rsid w:val="004A2766"/>
    <w:rsid w:val="004A2794"/>
    <w:rsid w:val="004A2C96"/>
    <w:rsid w:val="004A2F6D"/>
    <w:rsid w:val="004A34DF"/>
    <w:rsid w:val="004A355A"/>
    <w:rsid w:val="004A42AA"/>
    <w:rsid w:val="004A44F9"/>
    <w:rsid w:val="004A4BD1"/>
    <w:rsid w:val="004A527A"/>
    <w:rsid w:val="004A5911"/>
    <w:rsid w:val="004A6389"/>
    <w:rsid w:val="004A64B5"/>
    <w:rsid w:val="004A69B2"/>
    <w:rsid w:val="004A70B5"/>
    <w:rsid w:val="004A71AF"/>
    <w:rsid w:val="004A73A5"/>
    <w:rsid w:val="004A74FF"/>
    <w:rsid w:val="004A7D98"/>
    <w:rsid w:val="004B00CB"/>
    <w:rsid w:val="004B03E1"/>
    <w:rsid w:val="004B0550"/>
    <w:rsid w:val="004B0807"/>
    <w:rsid w:val="004B09F8"/>
    <w:rsid w:val="004B0B95"/>
    <w:rsid w:val="004B0C00"/>
    <w:rsid w:val="004B1735"/>
    <w:rsid w:val="004B197C"/>
    <w:rsid w:val="004B1A13"/>
    <w:rsid w:val="004B2327"/>
    <w:rsid w:val="004B2A0A"/>
    <w:rsid w:val="004B30CD"/>
    <w:rsid w:val="004B3468"/>
    <w:rsid w:val="004B363C"/>
    <w:rsid w:val="004B3D75"/>
    <w:rsid w:val="004B491B"/>
    <w:rsid w:val="004B4EFB"/>
    <w:rsid w:val="004B659F"/>
    <w:rsid w:val="004B6623"/>
    <w:rsid w:val="004B714F"/>
    <w:rsid w:val="004B73D4"/>
    <w:rsid w:val="004B79AA"/>
    <w:rsid w:val="004B7A61"/>
    <w:rsid w:val="004C03A6"/>
    <w:rsid w:val="004C0760"/>
    <w:rsid w:val="004C118D"/>
    <w:rsid w:val="004C125B"/>
    <w:rsid w:val="004C237E"/>
    <w:rsid w:val="004C27E7"/>
    <w:rsid w:val="004C28C8"/>
    <w:rsid w:val="004C3523"/>
    <w:rsid w:val="004C3A2A"/>
    <w:rsid w:val="004C4AB2"/>
    <w:rsid w:val="004C5E97"/>
    <w:rsid w:val="004C629C"/>
    <w:rsid w:val="004C662E"/>
    <w:rsid w:val="004C66FB"/>
    <w:rsid w:val="004C71AB"/>
    <w:rsid w:val="004C72D2"/>
    <w:rsid w:val="004C7E24"/>
    <w:rsid w:val="004D04D1"/>
    <w:rsid w:val="004D0C81"/>
    <w:rsid w:val="004D162C"/>
    <w:rsid w:val="004D1B52"/>
    <w:rsid w:val="004D1BB4"/>
    <w:rsid w:val="004D247F"/>
    <w:rsid w:val="004D268D"/>
    <w:rsid w:val="004D2E3C"/>
    <w:rsid w:val="004D3046"/>
    <w:rsid w:val="004D37BB"/>
    <w:rsid w:val="004D3B74"/>
    <w:rsid w:val="004D3C57"/>
    <w:rsid w:val="004D4BB5"/>
    <w:rsid w:val="004D515B"/>
    <w:rsid w:val="004D5A33"/>
    <w:rsid w:val="004D6B01"/>
    <w:rsid w:val="004E002D"/>
    <w:rsid w:val="004E00A2"/>
    <w:rsid w:val="004E0AC7"/>
    <w:rsid w:val="004E0BA2"/>
    <w:rsid w:val="004E0F39"/>
    <w:rsid w:val="004E1020"/>
    <w:rsid w:val="004E2E1E"/>
    <w:rsid w:val="004E32F2"/>
    <w:rsid w:val="004E45F7"/>
    <w:rsid w:val="004E48B6"/>
    <w:rsid w:val="004E4BAF"/>
    <w:rsid w:val="004E4E89"/>
    <w:rsid w:val="004E5107"/>
    <w:rsid w:val="004E5C6E"/>
    <w:rsid w:val="004E61C4"/>
    <w:rsid w:val="004E6F0E"/>
    <w:rsid w:val="004E6F27"/>
    <w:rsid w:val="004E6F59"/>
    <w:rsid w:val="004E7DC9"/>
    <w:rsid w:val="004F0644"/>
    <w:rsid w:val="004F0905"/>
    <w:rsid w:val="004F10A1"/>
    <w:rsid w:val="004F217A"/>
    <w:rsid w:val="004F2718"/>
    <w:rsid w:val="004F3643"/>
    <w:rsid w:val="004F3E58"/>
    <w:rsid w:val="004F4028"/>
    <w:rsid w:val="004F414C"/>
    <w:rsid w:val="004F434D"/>
    <w:rsid w:val="004F4AEF"/>
    <w:rsid w:val="004F4B76"/>
    <w:rsid w:val="004F54AE"/>
    <w:rsid w:val="004F58FB"/>
    <w:rsid w:val="004F5C6D"/>
    <w:rsid w:val="004F6D9A"/>
    <w:rsid w:val="004F6FD7"/>
    <w:rsid w:val="004F78C3"/>
    <w:rsid w:val="004F7B62"/>
    <w:rsid w:val="004F7B6E"/>
    <w:rsid w:val="005009F3"/>
    <w:rsid w:val="00500B0B"/>
    <w:rsid w:val="00500D34"/>
    <w:rsid w:val="00500D81"/>
    <w:rsid w:val="0050129F"/>
    <w:rsid w:val="005017D9"/>
    <w:rsid w:val="00502196"/>
    <w:rsid w:val="0050225D"/>
    <w:rsid w:val="005027FD"/>
    <w:rsid w:val="0050306F"/>
    <w:rsid w:val="005037DF"/>
    <w:rsid w:val="00503873"/>
    <w:rsid w:val="00503CAE"/>
    <w:rsid w:val="00503F01"/>
    <w:rsid w:val="00504E52"/>
    <w:rsid w:val="00505089"/>
    <w:rsid w:val="005052F2"/>
    <w:rsid w:val="00505532"/>
    <w:rsid w:val="00505C06"/>
    <w:rsid w:val="0050663D"/>
    <w:rsid w:val="0050677D"/>
    <w:rsid w:val="005067EF"/>
    <w:rsid w:val="00506D89"/>
    <w:rsid w:val="00507293"/>
    <w:rsid w:val="00507554"/>
    <w:rsid w:val="005075CE"/>
    <w:rsid w:val="00507FF5"/>
    <w:rsid w:val="00507FFE"/>
    <w:rsid w:val="00510156"/>
    <w:rsid w:val="00511390"/>
    <w:rsid w:val="005115FC"/>
    <w:rsid w:val="00511CFF"/>
    <w:rsid w:val="005122DA"/>
    <w:rsid w:val="005128E1"/>
    <w:rsid w:val="00512FBF"/>
    <w:rsid w:val="0051314A"/>
    <w:rsid w:val="00513156"/>
    <w:rsid w:val="005134C3"/>
    <w:rsid w:val="00513BDA"/>
    <w:rsid w:val="005141CF"/>
    <w:rsid w:val="005143EA"/>
    <w:rsid w:val="00514DB2"/>
    <w:rsid w:val="00514FCA"/>
    <w:rsid w:val="005152E7"/>
    <w:rsid w:val="00516021"/>
    <w:rsid w:val="00516025"/>
    <w:rsid w:val="005163D2"/>
    <w:rsid w:val="00516673"/>
    <w:rsid w:val="0051703A"/>
    <w:rsid w:val="005170B0"/>
    <w:rsid w:val="00517209"/>
    <w:rsid w:val="005173B1"/>
    <w:rsid w:val="00517417"/>
    <w:rsid w:val="0051749C"/>
    <w:rsid w:val="00517542"/>
    <w:rsid w:val="00517772"/>
    <w:rsid w:val="0051787E"/>
    <w:rsid w:val="0051793D"/>
    <w:rsid w:val="00517953"/>
    <w:rsid w:val="00517D6D"/>
    <w:rsid w:val="00517DB9"/>
    <w:rsid w:val="0052051A"/>
    <w:rsid w:val="005206C1"/>
    <w:rsid w:val="00520B8A"/>
    <w:rsid w:val="00520D43"/>
    <w:rsid w:val="00520D6D"/>
    <w:rsid w:val="00521134"/>
    <w:rsid w:val="005214AE"/>
    <w:rsid w:val="00521924"/>
    <w:rsid w:val="00521F91"/>
    <w:rsid w:val="00522274"/>
    <w:rsid w:val="0052227E"/>
    <w:rsid w:val="00522B34"/>
    <w:rsid w:val="00522D1E"/>
    <w:rsid w:val="00523605"/>
    <w:rsid w:val="00523E66"/>
    <w:rsid w:val="00523EBB"/>
    <w:rsid w:val="00524BDC"/>
    <w:rsid w:val="00524F65"/>
    <w:rsid w:val="005258E7"/>
    <w:rsid w:val="005258E9"/>
    <w:rsid w:val="00525997"/>
    <w:rsid w:val="00525F29"/>
    <w:rsid w:val="00526B45"/>
    <w:rsid w:val="00526F10"/>
    <w:rsid w:val="005276C9"/>
    <w:rsid w:val="00527A38"/>
    <w:rsid w:val="00527E84"/>
    <w:rsid w:val="00527E98"/>
    <w:rsid w:val="0053065D"/>
    <w:rsid w:val="00530719"/>
    <w:rsid w:val="00530B67"/>
    <w:rsid w:val="00531927"/>
    <w:rsid w:val="00531E71"/>
    <w:rsid w:val="00532095"/>
    <w:rsid w:val="0053220E"/>
    <w:rsid w:val="00532845"/>
    <w:rsid w:val="00532888"/>
    <w:rsid w:val="00532BDA"/>
    <w:rsid w:val="00532E0A"/>
    <w:rsid w:val="005331B0"/>
    <w:rsid w:val="0053386C"/>
    <w:rsid w:val="00533906"/>
    <w:rsid w:val="00533D18"/>
    <w:rsid w:val="0053402D"/>
    <w:rsid w:val="00534679"/>
    <w:rsid w:val="0053476E"/>
    <w:rsid w:val="005348E9"/>
    <w:rsid w:val="00535031"/>
    <w:rsid w:val="005354C2"/>
    <w:rsid w:val="0053568F"/>
    <w:rsid w:val="00535BDF"/>
    <w:rsid w:val="00535BFC"/>
    <w:rsid w:val="00535EE2"/>
    <w:rsid w:val="00535F22"/>
    <w:rsid w:val="00536151"/>
    <w:rsid w:val="005363C2"/>
    <w:rsid w:val="00536623"/>
    <w:rsid w:val="00536A21"/>
    <w:rsid w:val="00536C6B"/>
    <w:rsid w:val="0053751B"/>
    <w:rsid w:val="00537C6D"/>
    <w:rsid w:val="00537ED2"/>
    <w:rsid w:val="0054024D"/>
    <w:rsid w:val="0054085F"/>
    <w:rsid w:val="00541634"/>
    <w:rsid w:val="00541FA4"/>
    <w:rsid w:val="00542A63"/>
    <w:rsid w:val="00542ED4"/>
    <w:rsid w:val="00543327"/>
    <w:rsid w:val="0054359D"/>
    <w:rsid w:val="0054373C"/>
    <w:rsid w:val="00543AF2"/>
    <w:rsid w:val="0054465F"/>
    <w:rsid w:val="005446F3"/>
    <w:rsid w:val="00544900"/>
    <w:rsid w:val="00545127"/>
    <w:rsid w:val="005458D5"/>
    <w:rsid w:val="00545E1B"/>
    <w:rsid w:val="0054691F"/>
    <w:rsid w:val="00546D87"/>
    <w:rsid w:val="00547718"/>
    <w:rsid w:val="00547BD4"/>
    <w:rsid w:val="00547D03"/>
    <w:rsid w:val="005501B3"/>
    <w:rsid w:val="005505ED"/>
    <w:rsid w:val="00550E9D"/>
    <w:rsid w:val="00551F89"/>
    <w:rsid w:val="00552184"/>
    <w:rsid w:val="005529CC"/>
    <w:rsid w:val="00552F16"/>
    <w:rsid w:val="00553ACF"/>
    <w:rsid w:val="00553AE9"/>
    <w:rsid w:val="0055452E"/>
    <w:rsid w:val="005547FE"/>
    <w:rsid w:val="0055491C"/>
    <w:rsid w:val="00554C6C"/>
    <w:rsid w:val="00554E16"/>
    <w:rsid w:val="00555048"/>
    <w:rsid w:val="0055510A"/>
    <w:rsid w:val="005552CF"/>
    <w:rsid w:val="005563BB"/>
    <w:rsid w:val="0055647B"/>
    <w:rsid w:val="0055654A"/>
    <w:rsid w:val="0055727B"/>
    <w:rsid w:val="00557E34"/>
    <w:rsid w:val="005617B7"/>
    <w:rsid w:val="00562285"/>
    <w:rsid w:val="00562FBF"/>
    <w:rsid w:val="00563617"/>
    <w:rsid w:val="00563746"/>
    <w:rsid w:val="00563D27"/>
    <w:rsid w:val="005645D4"/>
    <w:rsid w:val="00564A6B"/>
    <w:rsid w:val="00564D59"/>
    <w:rsid w:val="00564F52"/>
    <w:rsid w:val="0056512F"/>
    <w:rsid w:val="00565538"/>
    <w:rsid w:val="00565A16"/>
    <w:rsid w:val="00565F2E"/>
    <w:rsid w:val="005662C4"/>
    <w:rsid w:val="0056632D"/>
    <w:rsid w:val="00566434"/>
    <w:rsid w:val="00566591"/>
    <w:rsid w:val="0056660B"/>
    <w:rsid w:val="00566A91"/>
    <w:rsid w:val="005672BB"/>
    <w:rsid w:val="0056764E"/>
    <w:rsid w:val="00567969"/>
    <w:rsid w:val="0056798F"/>
    <w:rsid w:val="00567D45"/>
    <w:rsid w:val="00567DBC"/>
    <w:rsid w:val="00571228"/>
    <w:rsid w:val="00571AF4"/>
    <w:rsid w:val="005723A2"/>
    <w:rsid w:val="00572BA5"/>
    <w:rsid w:val="00572C11"/>
    <w:rsid w:val="00572F38"/>
    <w:rsid w:val="00573018"/>
    <w:rsid w:val="00573480"/>
    <w:rsid w:val="005738AB"/>
    <w:rsid w:val="00573B42"/>
    <w:rsid w:val="00573BA5"/>
    <w:rsid w:val="00573DF5"/>
    <w:rsid w:val="00573FA4"/>
    <w:rsid w:val="005749E2"/>
    <w:rsid w:val="00574DEA"/>
    <w:rsid w:val="00575239"/>
    <w:rsid w:val="00575644"/>
    <w:rsid w:val="0057698C"/>
    <w:rsid w:val="00576B3D"/>
    <w:rsid w:val="00577038"/>
    <w:rsid w:val="005770C4"/>
    <w:rsid w:val="00577AD5"/>
    <w:rsid w:val="00577BA4"/>
    <w:rsid w:val="0058011F"/>
    <w:rsid w:val="005802C3"/>
    <w:rsid w:val="005804DE"/>
    <w:rsid w:val="005804E9"/>
    <w:rsid w:val="00581887"/>
    <w:rsid w:val="00581902"/>
    <w:rsid w:val="005819AE"/>
    <w:rsid w:val="0058297A"/>
    <w:rsid w:val="005829C5"/>
    <w:rsid w:val="005834F0"/>
    <w:rsid w:val="00583634"/>
    <w:rsid w:val="005838EC"/>
    <w:rsid w:val="00583BE7"/>
    <w:rsid w:val="00583DAC"/>
    <w:rsid w:val="00584317"/>
    <w:rsid w:val="00584BB2"/>
    <w:rsid w:val="00584D04"/>
    <w:rsid w:val="00585135"/>
    <w:rsid w:val="005851DA"/>
    <w:rsid w:val="00585232"/>
    <w:rsid w:val="00585825"/>
    <w:rsid w:val="00585DB2"/>
    <w:rsid w:val="00586008"/>
    <w:rsid w:val="0058649F"/>
    <w:rsid w:val="00586588"/>
    <w:rsid w:val="00586A5A"/>
    <w:rsid w:val="0058790F"/>
    <w:rsid w:val="005879C3"/>
    <w:rsid w:val="00590217"/>
    <w:rsid w:val="00590542"/>
    <w:rsid w:val="0059067A"/>
    <w:rsid w:val="0059082E"/>
    <w:rsid w:val="00590B73"/>
    <w:rsid w:val="00590BA6"/>
    <w:rsid w:val="00590C6F"/>
    <w:rsid w:val="00590CAC"/>
    <w:rsid w:val="00591613"/>
    <w:rsid w:val="0059209E"/>
    <w:rsid w:val="0059295A"/>
    <w:rsid w:val="00592E38"/>
    <w:rsid w:val="00593FBE"/>
    <w:rsid w:val="005941A6"/>
    <w:rsid w:val="00594479"/>
    <w:rsid w:val="00594A5C"/>
    <w:rsid w:val="00595B91"/>
    <w:rsid w:val="005964B6"/>
    <w:rsid w:val="00596BFE"/>
    <w:rsid w:val="00597006"/>
    <w:rsid w:val="00597120"/>
    <w:rsid w:val="00597330"/>
    <w:rsid w:val="005A0094"/>
    <w:rsid w:val="005A047F"/>
    <w:rsid w:val="005A0885"/>
    <w:rsid w:val="005A0A0D"/>
    <w:rsid w:val="005A0B4E"/>
    <w:rsid w:val="005A0CD2"/>
    <w:rsid w:val="005A2512"/>
    <w:rsid w:val="005A2C38"/>
    <w:rsid w:val="005A3884"/>
    <w:rsid w:val="005A4216"/>
    <w:rsid w:val="005A49CC"/>
    <w:rsid w:val="005A4B08"/>
    <w:rsid w:val="005A4B5F"/>
    <w:rsid w:val="005A4C26"/>
    <w:rsid w:val="005A518F"/>
    <w:rsid w:val="005A5302"/>
    <w:rsid w:val="005A5342"/>
    <w:rsid w:val="005A5AD2"/>
    <w:rsid w:val="005A5C1C"/>
    <w:rsid w:val="005A5D0E"/>
    <w:rsid w:val="005A617A"/>
    <w:rsid w:val="005A6858"/>
    <w:rsid w:val="005A6A83"/>
    <w:rsid w:val="005A6FC0"/>
    <w:rsid w:val="005A72BC"/>
    <w:rsid w:val="005A788E"/>
    <w:rsid w:val="005B0210"/>
    <w:rsid w:val="005B0396"/>
    <w:rsid w:val="005B12D5"/>
    <w:rsid w:val="005B1689"/>
    <w:rsid w:val="005B19A1"/>
    <w:rsid w:val="005B1BEC"/>
    <w:rsid w:val="005B23FB"/>
    <w:rsid w:val="005B3360"/>
    <w:rsid w:val="005B3882"/>
    <w:rsid w:val="005B3F26"/>
    <w:rsid w:val="005B474F"/>
    <w:rsid w:val="005B4CDD"/>
    <w:rsid w:val="005B4D66"/>
    <w:rsid w:val="005B4F34"/>
    <w:rsid w:val="005B57BD"/>
    <w:rsid w:val="005B5EB6"/>
    <w:rsid w:val="005B66BB"/>
    <w:rsid w:val="005B708E"/>
    <w:rsid w:val="005B74ED"/>
    <w:rsid w:val="005B76DE"/>
    <w:rsid w:val="005B7717"/>
    <w:rsid w:val="005C08BA"/>
    <w:rsid w:val="005C0CF5"/>
    <w:rsid w:val="005C0DE0"/>
    <w:rsid w:val="005C0EA6"/>
    <w:rsid w:val="005C0F6A"/>
    <w:rsid w:val="005C1126"/>
    <w:rsid w:val="005C1640"/>
    <w:rsid w:val="005C206D"/>
    <w:rsid w:val="005C2799"/>
    <w:rsid w:val="005C2CD3"/>
    <w:rsid w:val="005C3005"/>
    <w:rsid w:val="005C3152"/>
    <w:rsid w:val="005C34E1"/>
    <w:rsid w:val="005C3540"/>
    <w:rsid w:val="005C3544"/>
    <w:rsid w:val="005C3795"/>
    <w:rsid w:val="005C3A74"/>
    <w:rsid w:val="005C3E84"/>
    <w:rsid w:val="005C3EDC"/>
    <w:rsid w:val="005C41A8"/>
    <w:rsid w:val="005C43EF"/>
    <w:rsid w:val="005C497D"/>
    <w:rsid w:val="005C5405"/>
    <w:rsid w:val="005C570C"/>
    <w:rsid w:val="005C5C17"/>
    <w:rsid w:val="005C5C9E"/>
    <w:rsid w:val="005C6609"/>
    <w:rsid w:val="005C6E3D"/>
    <w:rsid w:val="005C707D"/>
    <w:rsid w:val="005C7997"/>
    <w:rsid w:val="005C7D1C"/>
    <w:rsid w:val="005D0C9D"/>
    <w:rsid w:val="005D0FB1"/>
    <w:rsid w:val="005D18D9"/>
    <w:rsid w:val="005D1F55"/>
    <w:rsid w:val="005D27E4"/>
    <w:rsid w:val="005D2AE1"/>
    <w:rsid w:val="005D2D0D"/>
    <w:rsid w:val="005D2E68"/>
    <w:rsid w:val="005D2FB2"/>
    <w:rsid w:val="005D301A"/>
    <w:rsid w:val="005D3488"/>
    <w:rsid w:val="005D3974"/>
    <w:rsid w:val="005D39AE"/>
    <w:rsid w:val="005D3A24"/>
    <w:rsid w:val="005D3A6C"/>
    <w:rsid w:val="005D3E82"/>
    <w:rsid w:val="005D4ABD"/>
    <w:rsid w:val="005D4D00"/>
    <w:rsid w:val="005D5492"/>
    <w:rsid w:val="005D5531"/>
    <w:rsid w:val="005D5FAE"/>
    <w:rsid w:val="005D667A"/>
    <w:rsid w:val="005D6BBA"/>
    <w:rsid w:val="005D7457"/>
    <w:rsid w:val="005D7847"/>
    <w:rsid w:val="005D7B51"/>
    <w:rsid w:val="005E0BE9"/>
    <w:rsid w:val="005E0BEB"/>
    <w:rsid w:val="005E0F48"/>
    <w:rsid w:val="005E1BCC"/>
    <w:rsid w:val="005E2154"/>
    <w:rsid w:val="005E23B9"/>
    <w:rsid w:val="005E245E"/>
    <w:rsid w:val="005E2A4F"/>
    <w:rsid w:val="005E3337"/>
    <w:rsid w:val="005E33F0"/>
    <w:rsid w:val="005E3885"/>
    <w:rsid w:val="005E3E89"/>
    <w:rsid w:val="005E3F9B"/>
    <w:rsid w:val="005E4759"/>
    <w:rsid w:val="005E53FB"/>
    <w:rsid w:val="005E5E93"/>
    <w:rsid w:val="005E5FFE"/>
    <w:rsid w:val="005E671B"/>
    <w:rsid w:val="005E6B33"/>
    <w:rsid w:val="005E6F21"/>
    <w:rsid w:val="005E6FDF"/>
    <w:rsid w:val="005E724C"/>
    <w:rsid w:val="005E746B"/>
    <w:rsid w:val="005E74DA"/>
    <w:rsid w:val="005E7548"/>
    <w:rsid w:val="005E7E5E"/>
    <w:rsid w:val="005E7E7F"/>
    <w:rsid w:val="005E7EB7"/>
    <w:rsid w:val="005F0958"/>
    <w:rsid w:val="005F0A38"/>
    <w:rsid w:val="005F169C"/>
    <w:rsid w:val="005F23D1"/>
    <w:rsid w:val="005F25FD"/>
    <w:rsid w:val="005F30E3"/>
    <w:rsid w:val="005F32E2"/>
    <w:rsid w:val="005F36F3"/>
    <w:rsid w:val="005F3C14"/>
    <w:rsid w:val="005F3F4A"/>
    <w:rsid w:val="005F3FED"/>
    <w:rsid w:val="005F43BC"/>
    <w:rsid w:val="005F4643"/>
    <w:rsid w:val="005F5031"/>
    <w:rsid w:val="005F50ED"/>
    <w:rsid w:val="005F5442"/>
    <w:rsid w:val="005F5907"/>
    <w:rsid w:val="005F5C71"/>
    <w:rsid w:val="005F5E26"/>
    <w:rsid w:val="005F5FD0"/>
    <w:rsid w:val="005F60EA"/>
    <w:rsid w:val="005F6145"/>
    <w:rsid w:val="005F63AF"/>
    <w:rsid w:val="005F66E9"/>
    <w:rsid w:val="005F6A0E"/>
    <w:rsid w:val="005F6B7E"/>
    <w:rsid w:val="005F768E"/>
    <w:rsid w:val="005F797E"/>
    <w:rsid w:val="005F7BA6"/>
    <w:rsid w:val="005F7E3D"/>
    <w:rsid w:val="00600484"/>
    <w:rsid w:val="006012F8"/>
    <w:rsid w:val="006013E2"/>
    <w:rsid w:val="00601472"/>
    <w:rsid w:val="0060149E"/>
    <w:rsid w:val="00601E01"/>
    <w:rsid w:val="006020ED"/>
    <w:rsid w:val="00602B73"/>
    <w:rsid w:val="00602E92"/>
    <w:rsid w:val="006030E3"/>
    <w:rsid w:val="006045E7"/>
    <w:rsid w:val="00604605"/>
    <w:rsid w:val="00604A53"/>
    <w:rsid w:val="00605444"/>
    <w:rsid w:val="0060589B"/>
    <w:rsid w:val="00605A23"/>
    <w:rsid w:val="00605C80"/>
    <w:rsid w:val="006064E7"/>
    <w:rsid w:val="0060777E"/>
    <w:rsid w:val="00607E1B"/>
    <w:rsid w:val="0061027C"/>
    <w:rsid w:val="00610CCB"/>
    <w:rsid w:val="006110A6"/>
    <w:rsid w:val="0061164B"/>
    <w:rsid w:val="006119CB"/>
    <w:rsid w:val="00611C0C"/>
    <w:rsid w:val="006129E8"/>
    <w:rsid w:val="00612A04"/>
    <w:rsid w:val="00612A95"/>
    <w:rsid w:val="00612B83"/>
    <w:rsid w:val="00613352"/>
    <w:rsid w:val="006133D5"/>
    <w:rsid w:val="006134E6"/>
    <w:rsid w:val="0061353C"/>
    <w:rsid w:val="006144A7"/>
    <w:rsid w:val="006145F6"/>
    <w:rsid w:val="00614C80"/>
    <w:rsid w:val="00614E2B"/>
    <w:rsid w:val="00615100"/>
    <w:rsid w:val="006152E9"/>
    <w:rsid w:val="00616817"/>
    <w:rsid w:val="006168AD"/>
    <w:rsid w:val="00617030"/>
    <w:rsid w:val="0061757F"/>
    <w:rsid w:val="006176FD"/>
    <w:rsid w:val="00617F44"/>
    <w:rsid w:val="006201A6"/>
    <w:rsid w:val="00620E89"/>
    <w:rsid w:val="00620EE8"/>
    <w:rsid w:val="006215FE"/>
    <w:rsid w:val="00621714"/>
    <w:rsid w:val="006226F5"/>
    <w:rsid w:val="00622936"/>
    <w:rsid w:val="00622CE6"/>
    <w:rsid w:val="00623299"/>
    <w:rsid w:val="0062349C"/>
    <w:rsid w:val="006235BA"/>
    <w:rsid w:val="00623E69"/>
    <w:rsid w:val="006247F0"/>
    <w:rsid w:val="00625457"/>
    <w:rsid w:val="006254AD"/>
    <w:rsid w:val="0062627D"/>
    <w:rsid w:val="00626725"/>
    <w:rsid w:val="0062684B"/>
    <w:rsid w:val="00626C54"/>
    <w:rsid w:val="00626D76"/>
    <w:rsid w:val="00626DDC"/>
    <w:rsid w:val="00627CAA"/>
    <w:rsid w:val="00630315"/>
    <w:rsid w:val="0063036C"/>
    <w:rsid w:val="00631FEB"/>
    <w:rsid w:val="006321FC"/>
    <w:rsid w:val="0063335A"/>
    <w:rsid w:val="006335FE"/>
    <w:rsid w:val="00633A6C"/>
    <w:rsid w:val="00633BD0"/>
    <w:rsid w:val="00634209"/>
    <w:rsid w:val="006343F2"/>
    <w:rsid w:val="00634B09"/>
    <w:rsid w:val="00635503"/>
    <w:rsid w:val="00635953"/>
    <w:rsid w:val="00635A78"/>
    <w:rsid w:val="00636480"/>
    <w:rsid w:val="006365B3"/>
    <w:rsid w:val="00636B4F"/>
    <w:rsid w:val="0063730F"/>
    <w:rsid w:val="00637887"/>
    <w:rsid w:val="00637B38"/>
    <w:rsid w:val="00637C1F"/>
    <w:rsid w:val="006406EF"/>
    <w:rsid w:val="00640820"/>
    <w:rsid w:val="00640E6A"/>
    <w:rsid w:val="006416A2"/>
    <w:rsid w:val="00641C6F"/>
    <w:rsid w:val="0064331A"/>
    <w:rsid w:val="00643BC4"/>
    <w:rsid w:val="0064462A"/>
    <w:rsid w:val="0064481D"/>
    <w:rsid w:val="00645EA0"/>
    <w:rsid w:val="0064616B"/>
    <w:rsid w:val="006462C5"/>
    <w:rsid w:val="00646769"/>
    <w:rsid w:val="00646A13"/>
    <w:rsid w:val="00647DCF"/>
    <w:rsid w:val="00650838"/>
    <w:rsid w:val="00650E16"/>
    <w:rsid w:val="00650F0D"/>
    <w:rsid w:val="00651890"/>
    <w:rsid w:val="00651FC4"/>
    <w:rsid w:val="006527EF"/>
    <w:rsid w:val="0065298F"/>
    <w:rsid w:val="00652FF6"/>
    <w:rsid w:val="00653244"/>
    <w:rsid w:val="00653E7A"/>
    <w:rsid w:val="00654269"/>
    <w:rsid w:val="0065499D"/>
    <w:rsid w:val="00654ACD"/>
    <w:rsid w:val="00654C83"/>
    <w:rsid w:val="00654DE3"/>
    <w:rsid w:val="006553CF"/>
    <w:rsid w:val="006554F6"/>
    <w:rsid w:val="00655650"/>
    <w:rsid w:val="006558B9"/>
    <w:rsid w:val="00655F6B"/>
    <w:rsid w:val="0065620E"/>
    <w:rsid w:val="0065644C"/>
    <w:rsid w:val="00656A77"/>
    <w:rsid w:val="00656ADE"/>
    <w:rsid w:val="006571BE"/>
    <w:rsid w:val="0065756D"/>
    <w:rsid w:val="00657B8E"/>
    <w:rsid w:val="00660BE8"/>
    <w:rsid w:val="00660C60"/>
    <w:rsid w:val="00661C60"/>
    <w:rsid w:val="006633C1"/>
    <w:rsid w:val="00664145"/>
    <w:rsid w:val="00664ACD"/>
    <w:rsid w:val="00664E3A"/>
    <w:rsid w:val="0066588C"/>
    <w:rsid w:val="00666313"/>
    <w:rsid w:val="00666C26"/>
    <w:rsid w:val="00667AFE"/>
    <w:rsid w:val="006701AE"/>
    <w:rsid w:val="00670681"/>
    <w:rsid w:val="006706C2"/>
    <w:rsid w:val="00670828"/>
    <w:rsid w:val="006713C1"/>
    <w:rsid w:val="00671758"/>
    <w:rsid w:val="00671829"/>
    <w:rsid w:val="00671852"/>
    <w:rsid w:val="00671967"/>
    <w:rsid w:val="00671C9C"/>
    <w:rsid w:val="00672581"/>
    <w:rsid w:val="00672888"/>
    <w:rsid w:val="00672B39"/>
    <w:rsid w:val="00672DC0"/>
    <w:rsid w:val="00673062"/>
    <w:rsid w:val="00673EF3"/>
    <w:rsid w:val="0067428B"/>
    <w:rsid w:val="0067496F"/>
    <w:rsid w:val="00675C35"/>
    <w:rsid w:val="00676091"/>
    <w:rsid w:val="00676B81"/>
    <w:rsid w:val="00676C34"/>
    <w:rsid w:val="00676C3F"/>
    <w:rsid w:val="00676C5D"/>
    <w:rsid w:val="00676F32"/>
    <w:rsid w:val="0067707F"/>
    <w:rsid w:val="006773DE"/>
    <w:rsid w:val="0067754E"/>
    <w:rsid w:val="006775E2"/>
    <w:rsid w:val="00677E93"/>
    <w:rsid w:val="006802EC"/>
    <w:rsid w:val="00680573"/>
    <w:rsid w:val="00680605"/>
    <w:rsid w:val="00680CBD"/>
    <w:rsid w:val="0068198B"/>
    <w:rsid w:val="006827E6"/>
    <w:rsid w:val="00682B3B"/>
    <w:rsid w:val="006832CF"/>
    <w:rsid w:val="00683400"/>
    <w:rsid w:val="00683604"/>
    <w:rsid w:val="00683887"/>
    <w:rsid w:val="00683A6A"/>
    <w:rsid w:val="006846C4"/>
    <w:rsid w:val="00684825"/>
    <w:rsid w:val="006857E4"/>
    <w:rsid w:val="0068604E"/>
    <w:rsid w:val="00686324"/>
    <w:rsid w:val="00686B32"/>
    <w:rsid w:val="0068738A"/>
    <w:rsid w:val="00687D02"/>
    <w:rsid w:val="00687D3D"/>
    <w:rsid w:val="00690DFF"/>
    <w:rsid w:val="006910F6"/>
    <w:rsid w:val="00691280"/>
    <w:rsid w:val="0069153D"/>
    <w:rsid w:val="006916EA"/>
    <w:rsid w:val="0069267A"/>
    <w:rsid w:val="006927F2"/>
    <w:rsid w:val="006929CC"/>
    <w:rsid w:val="00692A6E"/>
    <w:rsid w:val="00692A7B"/>
    <w:rsid w:val="00692AAD"/>
    <w:rsid w:val="00692C1F"/>
    <w:rsid w:val="00692C3D"/>
    <w:rsid w:val="00692C90"/>
    <w:rsid w:val="00692CAA"/>
    <w:rsid w:val="00692DED"/>
    <w:rsid w:val="0069335F"/>
    <w:rsid w:val="006933ED"/>
    <w:rsid w:val="006937CF"/>
    <w:rsid w:val="006941F9"/>
    <w:rsid w:val="006942ED"/>
    <w:rsid w:val="006943AF"/>
    <w:rsid w:val="006943D0"/>
    <w:rsid w:val="00694707"/>
    <w:rsid w:val="00694C7B"/>
    <w:rsid w:val="00695145"/>
    <w:rsid w:val="0069547C"/>
    <w:rsid w:val="00695544"/>
    <w:rsid w:val="006957A3"/>
    <w:rsid w:val="006961D8"/>
    <w:rsid w:val="00696251"/>
    <w:rsid w:val="00696CC5"/>
    <w:rsid w:val="00697316"/>
    <w:rsid w:val="00697440"/>
    <w:rsid w:val="0069752B"/>
    <w:rsid w:val="006976B2"/>
    <w:rsid w:val="00697742"/>
    <w:rsid w:val="00697FDA"/>
    <w:rsid w:val="006A0546"/>
    <w:rsid w:val="006A057B"/>
    <w:rsid w:val="006A098C"/>
    <w:rsid w:val="006A1126"/>
    <w:rsid w:val="006A115F"/>
    <w:rsid w:val="006A14A4"/>
    <w:rsid w:val="006A156D"/>
    <w:rsid w:val="006A1E6E"/>
    <w:rsid w:val="006A2303"/>
    <w:rsid w:val="006A2582"/>
    <w:rsid w:val="006A266D"/>
    <w:rsid w:val="006A2770"/>
    <w:rsid w:val="006A30E2"/>
    <w:rsid w:val="006A4CF0"/>
    <w:rsid w:val="006A53DF"/>
    <w:rsid w:val="006A561A"/>
    <w:rsid w:val="006A5CF9"/>
    <w:rsid w:val="006A6DED"/>
    <w:rsid w:val="006A74F5"/>
    <w:rsid w:val="006A77FB"/>
    <w:rsid w:val="006B00F7"/>
    <w:rsid w:val="006B08D3"/>
    <w:rsid w:val="006B0B47"/>
    <w:rsid w:val="006B0B7D"/>
    <w:rsid w:val="006B0E7F"/>
    <w:rsid w:val="006B10EB"/>
    <w:rsid w:val="006B1557"/>
    <w:rsid w:val="006B15A3"/>
    <w:rsid w:val="006B1A34"/>
    <w:rsid w:val="006B1E04"/>
    <w:rsid w:val="006B2174"/>
    <w:rsid w:val="006B2596"/>
    <w:rsid w:val="006B2607"/>
    <w:rsid w:val="006B2B2C"/>
    <w:rsid w:val="006B2EFD"/>
    <w:rsid w:val="006B362A"/>
    <w:rsid w:val="006B3A94"/>
    <w:rsid w:val="006B3A9D"/>
    <w:rsid w:val="006B3ACA"/>
    <w:rsid w:val="006B45E7"/>
    <w:rsid w:val="006B478D"/>
    <w:rsid w:val="006B4895"/>
    <w:rsid w:val="006B4BC5"/>
    <w:rsid w:val="006B51D3"/>
    <w:rsid w:val="006B523F"/>
    <w:rsid w:val="006B5BCB"/>
    <w:rsid w:val="006B5E1C"/>
    <w:rsid w:val="006B5E6B"/>
    <w:rsid w:val="006B6508"/>
    <w:rsid w:val="006B652E"/>
    <w:rsid w:val="006B6CB0"/>
    <w:rsid w:val="006B7185"/>
    <w:rsid w:val="006B7396"/>
    <w:rsid w:val="006B73B6"/>
    <w:rsid w:val="006B753A"/>
    <w:rsid w:val="006C038F"/>
    <w:rsid w:val="006C03FE"/>
    <w:rsid w:val="006C0435"/>
    <w:rsid w:val="006C0768"/>
    <w:rsid w:val="006C0D4A"/>
    <w:rsid w:val="006C143F"/>
    <w:rsid w:val="006C2E3E"/>
    <w:rsid w:val="006C32A0"/>
    <w:rsid w:val="006C34FB"/>
    <w:rsid w:val="006C5146"/>
    <w:rsid w:val="006C52F5"/>
    <w:rsid w:val="006C5859"/>
    <w:rsid w:val="006C59FC"/>
    <w:rsid w:val="006C5B9B"/>
    <w:rsid w:val="006C634C"/>
    <w:rsid w:val="006C63F1"/>
    <w:rsid w:val="006C683A"/>
    <w:rsid w:val="006C6E19"/>
    <w:rsid w:val="006C71BE"/>
    <w:rsid w:val="006C723C"/>
    <w:rsid w:val="006C7B95"/>
    <w:rsid w:val="006C7C88"/>
    <w:rsid w:val="006C7DF9"/>
    <w:rsid w:val="006C7F18"/>
    <w:rsid w:val="006D0A87"/>
    <w:rsid w:val="006D0D3E"/>
    <w:rsid w:val="006D13D0"/>
    <w:rsid w:val="006D1B6A"/>
    <w:rsid w:val="006D233E"/>
    <w:rsid w:val="006D2904"/>
    <w:rsid w:val="006D2CB5"/>
    <w:rsid w:val="006D2E49"/>
    <w:rsid w:val="006D3156"/>
    <w:rsid w:val="006D3C10"/>
    <w:rsid w:val="006D3E1F"/>
    <w:rsid w:val="006D3ED7"/>
    <w:rsid w:val="006D40E1"/>
    <w:rsid w:val="006D4223"/>
    <w:rsid w:val="006D4994"/>
    <w:rsid w:val="006D5618"/>
    <w:rsid w:val="006D63ED"/>
    <w:rsid w:val="006D67E6"/>
    <w:rsid w:val="006D794C"/>
    <w:rsid w:val="006D7B0B"/>
    <w:rsid w:val="006D7B0E"/>
    <w:rsid w:val="006D7B2F"/>
    <w:rsid w:val="006D7F10"/>
    <w:rsid w:val="006E0110"/>
    <w:rsid w:val="006E0362"/>
    <w:rsid w:val="006E0EF1"/>
    <w:rsid w:val="006E1E5A"/>
    <w:rsid w:val="006E232F"/>
    <w:rsid w:val="006E3223"/>
    <w:rsid w:val="006E33E0"/>
    <w:rsid w:val="006E3614"/>
    <w:rsid w:val="006E38F2"/>
    <w:rsid w:val="006E3A76"/>
    <w:rsid w:val="006E4ABE"/>
    <w:rsid w:val="006E5DCE"/>
    <w:rsid w:val="006E5EF1"/>
    <w:rsid w:val="006E6B37"/>
    <w:rsid w:val="006E764E"/>
    <w:rsid w:val="006E79E2"/>
    <w:rsid w:val="006E7CA2"/>
    <w:rsid w:val="006E7DBE"/>
    <w:rsid w:val="006F0F61"/>
    <w:rsid w:val="006F1020"/>
    <w:rsid w:val="006F108C"/>
    <w:rsid w:val="006F123D"/>
    <w:rsid w:val="006F1267"/>
    <w:rsid w:val="006F1A8F"/>
    <w:rsid w:val="006F1C94"/>
    <w:rsid w:val="006F1F5A"/>
    <w:rsid w:val="006F27BC"/>
    <w:rsid w:val="006F2CCA"/>
    <w:rsid w:val="006F462D"/>
    <w:rsid w:val="006F487A"/>
    <w:rsid w:val="006F487E"/>
    <w:rsid w:val="006F4A36"/>
    <w:rsid w:val="006F4E0E"/>
    <w:rsid w:val="006F5277"/>
    <w:rsid w:val="006F57E1"/>
    <w:rsid w:val="006F5CBA"/>
    <w:rsid w:val="006F5FDF"/>
    <w:rsid w:val="006F601D"/>
    <w:rsid w:val="006F650D"/>
    <w:rsid w:val="006F729E"/>
    <w:rsid w:val="006F733A"/>
    <w:rsid w:val="006F747D"/>
    <w:rsid w:val="006F7771"/>
    <w:rsid w:val="006F7D78"/>
    <w:rsid w:val="006F7F4E"/>
    <w:rsid w:val="007008EC"/>
    <w:rsid w:val="007012DB"/>
    <w:rsid w:val="00703930"/>
    <w:rsid w:val="00703AE0"/>
    <w:rsid w:val="00703CD0"/>
    <w:rsid w:val="00703DA2"/>
    <w:rsid w:val="00703F6F"/>
    <w:rsid w:val="007041E7"/>
    <w:rsid w:val="00704318"/>
    <w:rsid w:val="00704EC9"/>
    <w:rsid w:val="00705006"/>
    <w:rsid w:val="00705475"/>
    <w:rsid w:val="00705BD0"/>
    <w:rsid w:val="00705BE2"/>
    <w:rsid w:val="00705DC0"/>
    <w:rsid w:val="007062BF"/>
    <w:rsid w:val="007062E3"/>
    <w:rsid w:val="00706438"/>
    <w:rsid w:val="007068E5"/>
    <w:rsid w:val="00707739"/>
    <w:rsid w:val="00710436"/>
    <w:rsid w:val="00710ED6"/>
    <w:rsid w:val="007110A9"/>
    <w:rsid w:val="007112FF"/>
    <w:rsid w:val="00711656"/>
    <w:rsid w:val="00711811"/>
    <w:rsid w:val="00711D28"/>
    <w:rsid w:val="00712026"/>
    <w:rsid w:val="00712031"/>
    <w:rsid w:val="00712074"/>
    <w:rsid w:val="007127AC"/>
    <w:rsid w:val="0071293D"/>
    <w:rsid w:val="00712A6C"/>
    <w:rsid w:val="00712E63"/>
    <w:rsid w:val="007130CF"/>
    <w:rsid w:val="00713321"/>
    <w:rsid w:val="00713560"/>
    <w:rsid w:val="007136D0"/>
    <w:rsid w:val="00713C02"/>
    <w:rsid w:val="007141E1"/>
    <w:rsid w:val="007148F1"/>
    <w:rsid w:val="00714B34"/>
    <w:rsid w:val="00715158"/>
    <w:rsid w:val="00715A57"/>
    <w:rsid w:val="00715EDA"/>
    <w:rsid w:val="00716AF8"/>
    <w:rsid w:val="00716CBB"/>
    <w:rsid w:val="0071720D"/>
    <w:rsid w:val="00717977"/>
    <w:rsid w:val="00717B89"/>
    <w:rsid w:val="00717CF7"/>
    <w:rsid w:val="007208D1"/>
    <w:rsid w:val="007208FD"/>
    <w:rsid w:val="007209F7"/>
    <w:rsid w:val="00723439"/>
    <w:rsid w:val="0072387D"/>
    <w:rsid w:val="00723A3F"/>
    <w:rsid w:val="007244C6"/>
    <w:rsid w:val="0072455E"/>
    <w:rsid w:val="00724B05"/>
    <w:rsid w:val="007250D8"/>
    <w:rsid w:val="007253A2"/>
    <w:rsid w:val="00726890"/>
    <w:rsid w:val="00726EE1"/>
    <w:rsid w:val="00727129"/>
    <w:rsid w:val="0073029C"/>
    <w:rsid w:val="0073069A"/>
    <w:rsid w:val="007309EA"/>
    <w:rsid w:val="00730A46"/>
    <w:rsid w:val="00730A63"/>
    <w:rsid w:val="00730FE6"/>
    <w:rsid w:val="0073223C"/>
    <w:rsid w:val="00732B8F"/>
    <w:rsid w:val="00733485"/>
    <w:rsid w:val="0073467D"/>
    <w:rsid w:val="0073475D"/>
    <w:rsid w:val="007347C4"/>
    <w:rsid w:val="00734DD7"/>
    <w:rsid w:val="00735716"/>
    <w:rsid w:val="00735773"/>
    <w:rsid w:val="007357BD"/>
    <w:rsid w:val="00735879"/>
    <w:rsid w:val="00735B97"/>
    <w:rsid w:val="00736635"/>
    <w:rsid w:val="00737321"/>
    <w:rsid w:val="0073770A"/>
    <w:rsid w:val="007377A4"/>
    <w:rsid w:val="007378E2"/>
    <w:rsid w:val="00737B25"/>
    <w:rsid w:val="00740167"/>
    <w:rsid w:val="007407BD"/>
    <w:rsid w:val="00740BAC"/>
    <w:rsid w:val="00740C9C"/>
    <w:rsid w:val="00740EF0"/>
    <w:rsid w:val="007410D8"/>
    <w:rsid w:val="007415D1"/>
    <w:rsid w:val="007416B8"/>
    <w:rsid w:val="0074195F"/>
    <w:rsid w:val="00741994"/>
    <w:rsid w:val="00741FF2"/>
    <w:rsid w:val="0074227D"/>
    <w:rsid w:val="00742412"/>
    <w:rsid w:val="00742941"/>
    <w:rsid w:val="00742A8B"/>
    <w:rsid w:val="00742DEA"/>
    <w:rsid w:val="007436CB"/>
    <w:rsid w:val="00743B24"/>
    <w:rsid w:val="00743E6E"/>
    <w:rsid w:val="007442BB"/>
    <w:rsid w:val="0074577F"/>
    <w:rsid w:val="00746B17"/>
    <w:rsid w:val="007470FD"/>
    <w:rsid w:val="00747115"/>
    <w:rsid w:val="007473F5"/>
    <w:rsid w:val="00747ADB"/>
    <w:rsid w:val="0075072D"/>
    <w:rsid w:val="00750E43"/>
    <w:rsid w:val="007515A1"/>
    <w:rsid w:val="00751BEE"/>
    <w:rsid w:val="00752054"/>
    <w:rsid w:val="007524F7"/>
    <w:rsid w:val="00752643"/>
    <w:rsid w:val="00752DD1"/>
    <w:rsid w:val="007532EF"/>
    <w:rsid w:val="007537AB"/>
    <w:rsid w:val="00753A86"/>
    <w:rsid w:val="00753FB5"/>
    <w:rsid w:val="00754444"/>
    <w:rsid w:val="00754DA4"/>
    <w:rsid w:val="00754EF3"/>
    <w:rsid w:val="00755287"/>
    <w:rsid w:val="0075539B"/>
    <w:rsid w:val="00756129"/>
    <w:rsid w:val="00756AB9"/>
    <w:rsid w:val="00756AD1"/>
    <w:rsid w:val="00756DD0"/>
    <w:rsid w:val="007616C3"/>
    <w:rsid w:val="00761CE6"/>
    <w:rsid w:val="00761D07"/>
    <w:rsid w:val="0076229E"/>
    <w:rsid w:val="007622C7"/>
    <w:rsid w:val="0076230D"/>
    <w:rsid w:val="0076238D"/>
    <w:rsid w:val="00762998"/>
    <w:rsid w:val="00762E8C"/>
    <w:rsid w:val="00762F09"/>
    <w:rsid w:val="0076396D"/>
    <w:rsid w:val="00763FF1"/>
    <w:rsid w:val="0076413D"/>
    <w:rsid w:val="00764472"/>
    <w:rsid w:val="007647B0"/>
    <w:rsid w:val="0076482C"/>
    <w:rsid w:val="00764F7D"/>
    <w:rsid w:val="00765B43"/>
    <w:rsid w:val="00765B5A"/>
    <w:rsid w:val="00765FCB"/>
    <w:rsid w:val="00766508"/>
    <w:rsid w:val="00766833"/>
    <w:rsid w:val="00766FF2"/>
    <w:rsid w:val="0076752F"/>
    <w:rsid w:val="007675DB"/>
    <w:rsid w:val="0077011B"/>
    <w:rsid w:val="0077080C"/>
    <w:rsid w:val="007718B6"/>
    <w:rsid w:val="00771C31"/>
    <w:rsid w:val="00772432"/>
    <w:rsid w:val="007725A2"/>
    <w:rsid w:val="00772A05"/>
    <w:rsid w:val="00772B66"/>
    <w:rsid w:val="007737CF"/>
    <w:rsid w:val="00773E86"/>
    <w:rsid w:val="00773FD1"/>
    <w:rsid w:val="00774A3F"/>
    <w:rsid w:val="00774D95"/>
    <w:rsid w:val="0077530C"/>
    <w:rsid w:val="00776289"/>
    <w:rsid w:val="007764A4"/>
    <w:rsid w:val="00776B7D"/>
    <w:rsid w:val="0077751C"/>
    <w:rsid w:val="00777A09"/>
    <w:rsid w:val="0078023D"/>
    <w:rsid w:val="007805BB"/>
    <w:rsid w:val="007808F3"/>
    <w:rsid w:val="0078178B"/>
    <w:rsid w:val="00781D49"/>
    <w:rsid w:val="007821FD"/>
    <w:rsid w:val="00782632"/>
    <w:rsid w:val="0078271E"/>
    <w:rsid w:val="007827D9"/>
    <w:rsid w:val="00782959"/>
    <w:rsid w:val="007831F9"/>
    <w:rsid w:val="00783250"/>
    <w:rsid w:val="007833CD"/>
    <w:rsid w:val="007838BA"/>
    <w:rsid w:val="007840ED"/>
    <w:rsid w:val="007841C1"/>
    <w:rsid w:val="00785639"/>
    <w:rsid w:val="0078569B"/>
    <w:rsid w:val="007869BE"/>
    <w:rsid w:val="00786FBB"/>
    <w:rsid w:val="0078730A"/>
    <w:rsid w:val="00787806"/>
    <w:rsid w:val="00787823"/>
    <w:rsid w:val="00787DD2"/>
    <w:rsid w:val="00790184"/>
    <w:rsid w:val="007908C5"/>
    <w:rsid w:val="007914B2"/>
    <w:rsid w:val="00791892"/>
    <w:rsid w:val="007919B1"/>
    <w:rsid w:val="00792AD1"/>
    <w:rsid w:val="007934A5"/>
    <w:rsid w:val="007937DE"/>
    <w:rsid w:val="0079477D"/>
    <w:rsid w:val="007947E4"/>
    <w:rsid w:val="0079512E"/>
    <w:rsid w:val="007954D8"/>
    <w:rsid w:val="00795D3F"/>
    <w:rsid w:val="007966AF"/>
    <w:rsid w:val="0079673B"/>
    <w:rsid w:val="00796807"/>
    <w:rsid w:val="007968D6"/>
    <w:rsid w:val="00797594"/>
    <w:rsid w:val="0079781D"/>
    <w:rsid w:val="00797DDF"/>
    <w:rsid w:val="00797FD4"/>
    <w:rsid w:val="007A0000"/>
    <w:rsid w:val="007A027D"/>
    <w:rsid w:val="007A08F0"/>
    <w:rsid w:val="007A0D2A"/>
    <w:rsid w:val="007A0D68"/>
    <w:rsid w:val="007A0F7F"/>
    <w:rsid w:val="007A115C"/>
    <w:rsid w:val="007A128C"/>
    <w:rsid w:val="007A1FE9"/>
    <w:rsid w:val="007A20AD"/>
    <w:rsid w:val="007A339C"/>
    <w:rsid w:val="007A3536"/>
    <w:rsid w:val="007A3788"/>
    <w:rsid w:val="007A413F"/>
    <w:rsid w:val="007A4796"/>
    <w:rsid w:val="007A47E4"/>
    <w:rsid w:val="007A47E5"/>
    <w:rsid w:val="007A4820"/>
    <w:rsid w:val="007A4AAD"/>
    <w:rsid w:val="007A52C1"/>
    <w:rsid w:val="007A5578"/>
    <w:rsid w:val="007A5885"/>
    <w:rsid w:val="007A5B75"/>
    <w:rsid w:val="007A6623"/>
    <w:rsid w:val="007A7923"/>
    <w:rsid w:val="007A79E5"/>
    <w:rsid w:val="007A7D76"/>
    <w:rsid w:val="007B032C"/>
    <w:rsid w:val="007B0AFC"/>
    <w:rsid w:val="007B0DBE"/>
    <w:rsid w:val="007B0DFC"/>
    <w:rsid w:val="007B1587"/>
    <w:rsid w:val="007B178C"/>
    <w:rsid w:val="007B1B0D"/>
    <w:rsid w:val="007B21C2"/>
    <w:rsid w:val="007B23C4"/>
    <w:rsid w:val="007B2C53"/>
    <w:rsid w:val="007B2EBA"/>
    <w:rsid w:val="007B31AE"/>
    <w:rsid w:val="007B341A"/>
    <w:rsid w:val="007B3526"/>
    <w:rsid w:val="007B4032"/>
    <w:rsid w:val="007B4241"/>
    <w:rsid w:val="007B4320"/>
    <w:rsid w:val="007B4419"/>
    <w:rsid w:val="007B53BC"/>
    <w:rsid w:val="007B5FDF"/>
    <w:rsid w:val="007B698C"/>
    <w:rsid w:val="007B6CA5"/>
    <w:rsid w:val="007B76B3"/>
    <w:rsid w:val="007C0026"/>
    <w:rsid w:val="007C01BC"/>
    <w:rsid w:val="007C091E"/>
    <w:rsid w:val="007C0BB8"/>
    <w:rsid w:val="007C0C78"/>
    <w:rsid w:val="007C0CC1"/>
    <w:rsid w:val="007C0DAC"/>
    <w:rsid w:val="007C0EB5"/>
    <w:rsid w:val="007C1BB9"/>
    <w:rsid w:val="007C269F"/>
    <w:rsid w:val="007C2C3B"/>
    <w:rsid w:val="007C349A"/>
    <w:rsid w:val="007C39E1"/>
    <w:rsid w:val="007C3DAD"/>
    <w:rsid w:val="007C42D9"/>
    <w:rsid w:val="007C4846"/>
    <w:rsid w:val="007C4C44"/>
    <w:rsid w:val="007C4E3D"/>
    <w:rsid w:val="007C505E"/>
    <w:rsid w:val="007C5345"/>
    <w:rsid w:val="007C5712"/>
    <w:rsid w:val="007C5E78"/>
    <w:rsid w:val="007C60E0"/>
    <w:rsid w:val="007C65EF"/>
    <w:rsid w:val="007C77F2"/>
    <w:rsid w:val="007C7A10"/>
    <w:rsid w:val="007D0897"/>
    <w:rsid w:val="007D0ABD"/>
    <w:rsid w:val="007D0C8C"/>
    <w:rsid w:val="007D1530"/>
    <w:rsid w:val="007D155E"/>
    <w:rsid w:val="007D1C62"/>
    <w:rsid w:val="007D22EC"/>
    <w:rsid w:val="007D2A9F"/>
    <w:rsid w:val="007D2F1D"/>
    <w:rsid w:val="007D3AA0"/>
    <w:rsid w:val="007D4237"/>
    <w:rsid w:val="007D43D0"/>
    <w:rsid w:val="007D4A8C"/>
    <w:rsid w:val="007D4AA7"/>
    <w:rsid w:val="007D4B70"/>
    <w:rsid w:val="007D4E6D"/>
    <w:rsid w:val="007D4EE4"/>
    <w:rsid w:val="007D542E"/>
    <w:rsid w:val="007D61AF"/>
    <w:rsid w:val="007D649E"/>
    <w:rsid w:val="007D68A7"/>
    <w:rsid w:val="007D690B"/>
    <w:rsid w:val="007D6A17"/>
    <w:rsid w:val="007D6E53"/>
    <w:rsid w:val="007D711E"/>
    <w:rsid w:val="007E05FE"/>
    <w:rsid w:val="007E07B8"/>
    <w:rsid w:val="007E0AD7"/>
    <w:rsid w:val="007E12D8"/>
    <w:rsid w:val="007E1B8D"/>
    <w:rsid w:val="007E1D02"/>
    <w:rsid w:val="007E1DDB"/>
    <w:rsid w:val="007E2704"/>
    <w:rsid w:val="007E2E7B"/>
    <w:rsid w:val="007E2F93"/>
    <w:rsid w:val="007E3366"/>
    <w:rsid w:val="007E4490"/>
    <w:rsid w:val="007E5FBE"/>
    <w:rsid w:val="007E7337"/>
    <w:rsid w:val="007F055D"/>
    <w:rsid w:val="007F0D9D"/>
    <w:rsid w:val="007F0E1A"/>
    <w:rsid w:val="007F10C4"/>
    <w:rsid w:val="007F1440"/>
    <w:rsid w:val="007F190D"/>
    <w:rsid w:val="007F1CF8"/>
    <w:rsid w:val="007F1E8F"/>
    <w:rsid w:val="007F1FA3"/>
    <w:rsid w:val="007F248C"/>
    <w:rsid w:val="007F2654"/>
    <w:rsid w:val="007F2DAC"/>
    <w:rsid w:val="007F2F7B"/>
    <w:rsid w:val="007F3FCA"/>
    <w:rsid w:val="007F406C"/>
    <w:rsid w:val="007F4225"/>
    <w:rsid w:val="007F4FEE"/>
    <w:rsid w:val="007F6A6C"/>
    <w:rsid w:val="007F7592"/>
    <w:rsid w:val="007F7A9B"/>
    <w:rsid w:val="008002C8"/>
    <w:rsid w:val="00800535"/>
    <w:rsid w:val="008006D2"/>
    <w:rsid w:val="00802178"/>
    <w:rsid w:val="0080245C"/>
    <w:rsid w:val="008024DB"/>
    <w:rsid w:val="0080287D"/>
    <w:rsid w:val="00802C33"/>
    <w:rsid w:val="00802FA1"/>
    <w:rsid w:val="00803290"/>
    <w:rsid w:val="0080366F"/>
    <w:rsid w:val="00803B49"/>
    <w:rsid w:val="00803B58"/>
    <w:rsid w:val="00803C49"/>
    <w:rsid w:val="00804052"/>
    <w:rsid w:val="008043EE"/>
    <w:rsid w:val="00804A02"/>
    <w:rsid w:val="0080500A"/>
    <w:rsid w:val="00805656"/>
    <w:rsid w:val="00805E1C"/>
    <w:rsid w:val="00806097"/>
    <w:rsid w:val="008061A9"/>
    <w:rsid w:val="008062BD"/>
    <w:rsid w:val="00806668"/>
    <w:rsid w:val="00806BCA"/>
    <w:rsid w:val="00806D48"/>
    <w:rsid w:val="00807C22"/>
    <w:rsid w:val="00810FB1"/>
    <w:rsid w:val="00811FBD"/>
    <w:rsid w:val="00812ED7"/>
    <w:rsid w:val="0081319F"/>
    <w:rsid w:val="00814031"/>
    <w:rsid w:val="00814872"/>
    <w:rsid w:val="008151EA"/>
    <w:rsid w:val="008156DD"/>
    <w:rsid w:val="0081635D"/>
    <w:rsid w:val="00816CFD"/>
    <w:rsid w:val="0081705E"/>
    <w:rsid w:val="00817186"/>
    <w:rsid w:val="00820160"/>
    <w:rsid w:val="00820378"/>
    <w:rsid w:val="0082068B"/>
    <w:rsid w:val="008216C3"/>
    <w:rsid w:val="00822059"/>
    <w:rsid w:val="00822DCE"/>
    <w:rsid w:val="00823582"/>
    <w:rsid w:val="0082437F"/>
    <w:rsid w:val="0082466A"/>
    <w:rsid w:val="008253A1"/>
    <w:rsid w:val="00825792"/>
    <w:rsid w:val="00825B2D"/>
    <w:rsid w:val="008262E5"/>
    <w:rsid w:val="0082689F"/>
    <w:rsid w:val="00826FA9"/>
    <w:rsid w:val="008271F6"/>
    <w:rsid w:val="00827671"/>
    <w:rsid w:val="0082782A"/>
    <w:rsid w:val="00830062"/>
    <w:rsid w:val="008300C7"/>
    <w:rsid w:val="00830315"/>
    <w:rsid w:val="00830322"/>
    <w:rsid w:val="00830AD4"/>
    <w:rsid w:val="00830B25"/>
    <w:rsid w:val="0083164F"/>
    <w:rsid w:val="0083211D"/>
    <w:rsid w:val="0083244B"/>
    <w:rsid w:val="008324A8"/>
    <w:rsid w:val="008326F7"/>
    <w:rsid w:val="0083300E"/>
    <w:rsid w:val="0083346E"/>
    <w:rsid w:val="008335DE"/>
    <w:rsid w:val="00833888"/>
    <w:rsid w:val="00833B91"/>
    <w:rsid w:val="00833C26"/>
    <w:rsid w:val="00833DF3"/>
    <w:rsid w:val="0083494E"/>
    <w:rsid w:val="008355D1"/>
    <w:rsid w:val="00835934"/>
    <w:rsid w:val="00836128"/>
    <w:rsid w:val="0083683E"/>
    <w:rsid w:val="00837CF0"/>
    <w:rsid w:val="00840407"/>
    <w:rsid w:val="00840934"/>
    <w:rsid w:val="00840EA3"/>
    <w:rsid w:val="008413AB"/>
    <w:rsid w:val="008422AC"/>
    <w:rsid w:val="00842BD4"/>
    <w:rsid w:val="00843A49"/>
    <w:rsid w:val="00843CF4"/>
    <w:rsid w:val="00843D01"/>
    <w:rsid w:val="00844313"/>
    <w:rsid w:val="008444E3"/>
    <w:rsid w:val="008445B7"/>
    <w:rsid w:val="0084480B"/>
    <w:rsid w:val="00844916"/>
    <w:rsid w:val="00844AB5"/>
    <w:rsid w:val="00844CBC"/>
    <w:rsid w:val="0084576A"/>
    <w:rsid w:val="008457DC"/>
    <w:rsid w:val="00845961"/>
    <w:rsid w:val="00846114"/>
    <w:rsid w:val="008464EA"/>
    <w:rsid w:val="00847255"/>
    <w:rsid w:val="0084730D"/>
    <w:rsid w:val="0084738E"/>
    <w:rsid w:val="00847394"/>
    <w:rsid w:val="00847846"/>
    <w:rsid w:val="008479C4"/>
    <w:rsid w:val="0085074C"/>
    <w:rsid w:val="0085172B"/>
    <w:rsid w:val="00852450"/>
    <w:rsid w:val="008527FC"/>
    <w:rsid w:val="00852B50"/>
    <w:rsid w:val="00852C5D"/>
    <w:rsid w:val="00852DE5"/>
    <w:rsid w:val="00853672"/>
    <w:rsid w:val="00854076"/>
    <w:rsid w:val="00854183"/>
    <w:rsid w:val="008542AC"/>
    <w:rsid w:val="008542E5"/>
    <w:rsid w:val="0085435B"/>
    <w:rsid w:val="00855391"/>
    <w:rsid w:val="0085594B"/>
    <w:rsid w:val="00855BF1"/>
    <w:rsid w:val="008560C0"/>
    <w:rsid w:val="00856559"/>
    <w:rsid w:val="008565F4"/>
    <w:rsid w:val="00856A4D"/>
    <w:rsid w:val="008572A8"/>
    <w:rsid w:val="008574D3"/>
    <w:rsid w:val="008574E9"/>
    <w:rsid w:val="00857B92"/>
    <w:rsid w:val="00857D02"/>
    <w:rsid w:val="00857DA4"/>
    <w:rsid w:val="00857F3A"/>
    <w:rsid w:val="00860318"/>
    <w:rsid w:val="00860A0D"/>
    <w:rsid w:val="00860F48"/>
    <w:rsid w:val="0086122E"/>
    <w:rsid w:val="0086139D"/>
    <w:rsid w:val="00863158"/>
    <w:rsid w:val="0086342E"/>
    <w:rsid w:val="00863498"/>
    <w:rsid w:val="00863A9F"/>
    <w:rsid w:val="00863B2D"/>
    <w:rsid w:val="00864473"/>
    <w:rsid w:val="008653F7"/>
    <w:rsid w:val="00865B9E"/>
    <w:rsid w:val="00866D96"/>
    <w:rsid w:val="00867131"/>
    <w:rsid w:val="00867B49"/>
    <w:rsid w:val="0087072B"/>
    <w:rsid w:val="00872B22"/>
    <w:rsid w:val="00872DB8"/>
    <w:rsid w:val="00872FB8"/>
    <w:rsid w:val="008739D2"/>
    <w:rsid w:val="00873E51"/>
    <w:rsid w:val="008742E1"/>
    <w:rsid w:val="00874A4E"/>
    <w:rsid w:val="00875813"/>
    <w:rsid w:val="00875D5D"/>
    <w:rsid w:val="00875E17"/>
    <w:rsid w:val="00876A42"/>
    <w:rsid w:val="008772A5"/>
    <w:rsid w:val="0087761B"/>
    <w:rsid w:val="0087763B"/>
    <w:rsid w:val="00877AAA"/>
    <w:rsid w:val="00877BE9"/>
    <w:rsid w:val="00880072"/>
    <w:rsid w:val="00880396"/>
    <w:rsid w:val="00880707"/>
    <w:rsid w:val="0088085A"/>
    <w:rsid w:val="00880BA7"/>
    <w:rsid w:val="00880EB3"/>
    <w:rsid w:val="008819B2"/>
    <w:rsid w:val="00881F7C"/>
    <w:rsid w:val="00881FEA"/>
    <w:rsid w:val="0088268F"/>
    <w:rsid w:val="00882E63"/>
    <w:rsid w:val="008835E3"/>
    <w:rsid w:val="008836A1"/>
    <w:rsid w:val="00883BC3"/>
    <w:rsid w:val="00883E91"/>
    <w:rsid w:val="00884378"/>
    <w:rsid w:val="008848BF"/>
    <w:rsid w:val="00884CE7"/>
    <w:rsid w:val="00885F4B"/>
    <w:rsid w:val="0088614E"/>
    <w:rsid w:val="008870FE"/>
    <w:rsid w:val="008902C5"/>
    <w:rsid w:val="0089034D"/>
    <w:rsid w:val="008907EF"/>
    <w:rsid w:val="00891305"/>
    <w:rsid w:val="008915CE"/>
    <w:rsid w:val="008917EB"/>
    <w:rsid w:val="00891A64"/>
    <w:rsid w:val="0089202E"/>
    <w:rsid w:val="008925B9"/>
    <w:rsid w:val="00892672"/>
    <w:rsid w:val="00892B21"/>
    <w:rsid w:val="0089312D"/>
    <w:rsid w:val="008931A7"/>
    <w:rsid w:val="00893391"/>
    <w:rsid w:val="00893494"/>
    <w:rsid w:val="00893A14"/>
    <w:rsid w:val="00894925"/>
    <w:rsid w:val="00894F38"/>
    <w:rsid w:val="00895522"/>
    <w:rsid w:val="00895A31"/>
    <w:rsid w:val="00895E9D"/>
    <w:rsid w:val="00896338"/>
    <w:rsid w:val="00896366"/>
    <w:rsid w:val="00897339"/>
    <w:rsid w:val="00897D32"/>
    <w:rsid w:val="00897F8C"/>
    <w:rsid w:val="008A0210"/>
    <w:rsid w:val="008A0397"/>
    <w:rsid w:val="008A0C6A"/>
    <w:rsid w:val="008A1849"/>
    <w:rsid w:val="008A1E37"/>
    <w:rsid w:val="008A1F63"/>
    <w:rsid w:val="008A2184"/>
    <w:rsid w:val="008A2876"/>
    <w:rsid w:val="008A2B82"/>
    <w:rsid w:val="008A347B"/>
    <w:rsid w:val="008A3AFF"/>
    <w:rsid w:val="008A4011"/>
    <w:rsid w:val="008A4072"/>
    <w:rsid w:val="008A41A1"/>
    <w:rsid w:val="008A54BB"/>
    <w:rsid w:val="008A562A"/>
    <w:rsid w:val="008A5852"/>
    <w:rsid w:val="008A5F67"/>
    <w:rsid w:val="008A642C"/>
    <w:rsid w:val="008A6D46"/>
    <w:rsid w:val="008A702C"/>
    <w:rsid w:val="008A7A8A"/>
    <w:rsid w:val="008A7A92"/>
    <w:rsid w:val="008B08E3"/>
    <w:rsid w:val="008B09CF"/>
    <w:rsid w:val="008B0B9A"/>
    <w:rsid w:val="008B0D2E"/>
    <w:rsid w:val="008B1143"/>
    <w:rsid w:val="008B13FF"/>
    <w:rsid w:val="008B1A5F"/>
    <w:rsid w:val="008B20F0"/>
    <w:rsid w:val="008B2739"/>
    <w:rsid w:val="008B28F8"/>
    <w:rsid w:val="008B29B6"/>
    <w:rsid w:val="008B2BF2"/>
    <w:rsid w:val="008B2C1B"/>
    <w:rsid w:val="008B302C"/>
    <w:rsid w:val="008B34C3"/>
    <w:rsid w:val="008B3B7F"/>
    <w:rsid w:val="008B3E8C"/>
    <w:rsid w:val="008B4417"/>
    <w:rsid w:val="008B45E9"/>
    <w:rsid w:val="008B4D50"/>
    <w:rsid w:val="008B5209"/>
    <w:rsid w:val="008B54B9"/>
    <w:rsid w:val="008B5B80"/>
    <w:rsid w:val="008B5F42"/>
    <w:rsid w:val="008B6026"/>
    <w:rsid w:val="008B66AC"/>
    <w:rsid w:val="008B7671"/>
    <w:rsid w:val="008C0979"/>
    <w:rsid w:val="008C0ABA"/>
    <w:rsid w:val="008C0CE5"/>
    <w:rsid w:val="008C0F3C"/>
    <w:rsid w:val="008C10D2"/>
    <w:rsid w:val="008C1311"/>
    <w:rsid w:val="008C14A4"/>
    <w:rsid w:val="008C1622"/>
    <w:rsid w:val="008C209E"/>
    <w:rsid w:val="008C2518"/>
    <w:rsid w:val="008C296A"/>
    <w:rsid w:val="008C2D22"/>
    <w:rsid w:val="008C2DDF"/>
    <w:rsid w:val="008C3A2C"/>
    <w:rsid w:val="008C3E28"/>
    <w:rsid w:val="008C429D"/>
    <w:rsid w:val="008C4362"/>
    <w:rsid w:val="008C4470"/>
    <w:rsid w:val="008C4630"/>
    <w:rsid w:val="008C48D4"/>
    <w:rsid w:val="008C4CEF"/>
    <w:rsid w:val="008C51E6"/>
    <w:rsid w:val="008C584C"/>
    <w:rsid w:val="008C5F8F"/>
    <w:rsid w:val="008C61AB"/>
    <w:rsid w:val="008C640D"/>
    <w:rsid w:val="008C6493"/>
    <w:rsid w:val="008C6A4A"/>
    <w:rsid w:val="008C6EE9"/>
    <w:rsid w:val="008C6F06"/>
    <w:rsid w:val="008C7132"/>
    <w:rsid w:val="008C724B"/>
    <w:rsid w:val="008C732F"/>
    <w:rsid w:val="008C7430"/>
    <w:rsid w:val="008C758C"/>
    <w:rsid w:val="008C76C6"/>
    <w:rsid w:val="008C76DD"/>
    <w:rsid w:val="008C7E90"/>
    <w:rsid w:val="008D071B"/>
    <w:rsid w:val="008D08EB"/>
    <w:rsid w:val="008D0B25"/>
    <w:rsid w:val="008D12D2"/>
    <w:rsid w:val="008D1469"/>
    <w:rsid w:val="008D14D2"/>
    <w:rsid w:val="008D2323"/>
    <w:rsid w:val="008D2C4B"/>
    <w:rsid w:val="008D2ECC"/>
    <w:rsid w:val="008D306C"/>
    <w:rsid w:val="008D3355"/>
    <w:rsid w:val="008D35D1"/>
    <w:rsid w:val="008D37D1"/>
    <w:rsid w:val="008D3D8A"/>
    <w:rsid w:val="008D3F1B"/>
    <w:rsid w:val="008D3FEF"/>
    <w:rsid w:val="008D4651"/>
    <w:rsid w:val="008D46D8"/>
    <w:rsid w:val="008D4B35"/>
    <w:rsid w:val="008D4F8E"/>
    <w:rsid w:val="008D4FF6"/>
    <w:rsid w:val="008D5312"/>
    <w:rsid w:val="008D537B"/>
    <w:rsid w:val="008D56CD"/>
    <w:rsid w:val="008D5977"/>
    <w:rsid w:val="008D59B5"/>
    <w:rsid w:val="008D5B9A"/>
    <w:rsid w:val="008D6209"/>
    <w:rsid w:val="008D70C2"/>
    <w:rsid w:val="008D7102"/>
    <w:rsid w:val="008D737C"/>
    <w:rsid w:val="008D790F"/>
    <w:rsid w:val="008D7A65"/>
    <w:rsid w:val="008E0384"/>
    <w:rsid w:val="008E0A50"/>
    <w:rsid w:val="008E0AC1"/>
    <w:rsid w:val="008E1622"/>
    <w:rsid w:val="008E1963"/>
    <w:rsid w:val="008E1BD1"/>
    <w:rsid w:val="008E2A69"/>
    <w:rsid w:val="008E39CA"/>
    <w:rsid w:val="008E4402"/>
    <w:rsid w:val="008E4501"/>
    <w:rsid w:val="008E5305"/>
    <w:rsid w:val="008E5729"/>
    <w:rsid w:val="008E5AAF"/>
    <w:rsid w:val="008E5BF4"/>
    <w:rsid w:val="008E5DB9"/>
    <w:rsid w:val="008E6086"/>
    <w:rsid w:val="008E61B3"/>
    <w:rsid w:val="008E6724"/>
    <w:rsid w:val="008E6D87"/>
    <w:rsid w:val="008E6FE3"/>
    <w:rsid w:val="008E708D"/>
    <w:rsid w:val="008E73A6"/>
    <w:rsid w:val="008E7C4E"/>
    <w:rsid w:val="008F019A"/>
    <w:rsid w:val="008F0BF6"/>
    <w:rsid w:val="008F1C4D"/>
    <w:rsid w:val="008F1CE7"/>
    <w:rsid w:val="008F1F54"/>
    <w:rsid w:val="008F20CC"/>
    <w:rsid w:val="008F2988"/>
    <w:rsid w:val="008F31B9"/>
    <w:rsid w:val="008F3D8C"/>
    <w:rsid w:val="008F5325"/>
    <w:rsid w:val="008F5586"/>
    <w:rsid w:val="008F6009"/>
    <w:rsid w:val="008F6205"/>
    <w:rsid w:val="008F68A8"/>
    <w:rsid w:val="008F6B6A"/>
    <w:rsid w:val="008F70A0"/>
    <w:rsid w:val="008F745A"/>
    <w:rsid w:val="008F7E6B"/>
    <w:rsid w:val="009000C8"/>
    <w:rsid w:val="009007BE"/>
    <w:rsid w:val="009015D8"/>
    <w:rsid w:val="0090164A"/>
    <w:rsid w:val="0090267F"/>
    <w:rsid w:val="00902973"/>
    <w:rsid w:val="009029D6"/>
    <w:rsid w:val="00902E1F"/>
    <w:rsid w:val="00902EB4"/>
    <w:rsid w:val="009031FA"/>
    <w:rsid w:val="00903A71"/>
    <w:rsid w:val="00903C42"/>
    <w:rsid w:val="009041CE"/>
    <w:rsid w:val="00904C9C"/>
    <w:rsid w:val="009057DA"/>
    <w:rsid w:val="00905B7C"/>
    <w:rsid w:val="0090621D"/>
    <w:rsid w:val="00906B9A"/>
    <w:rsid w:val="0090733B"/>
    <w:rsid w:val="009076EA"/>
    <w:rsid w:val="009077D6"/>
    <w:rsid w:val="009104A5"/>
    <w:rsid w:val="00911850"/>
    <w:rsid w:val="0091189D"/>
    <w:rsid w:val="009119C6"/>
    <w:rsid w:val="0091262F"/>
    <w:rsid w:val="00914140"/>
    <w:rsid w:val="00914705"/>
    <w:rsid w:val="0091475F"/>
    <w:rsid w:val="009148BA"/>
    <w:rsid w:val="009150A9"/>
    <w:rsid w:val="0091530E"/>
    <w:rsid w:val="00915860"/>
    <w:rsid w:val="00915A56"/>
    <w:rsid w:val="00915C9E"/>
    <w:rsid w:val="00917254"/>
    <w:rsid w:val="0091746E"/>
    <w:rsid w:val="00917A52"/>
    <w:rsid w:val="00917D80"/>
    <w:rsid w:val="00920821"/>
    <w:rsid w:val="00920905"/>
    <w:rsid w:val="00920BC8"/>
    <w:rsid w:val="00921619"/>
    <w:rsid w:val="0092195D"/>
    <w:rsid w:val="00921D9C"/>
    <w:rsid w:val="00922086"/>
    <w:rsid w:val="009221CE"/>
    <w:rsid w:val="00922D76"/>
    <w:rsid w:val="00922E9B"/>
    <w:rsid w:val="00922FDD"/>
    <w:rsid w:val="00923340"/>
    <w:rsid w:val="00923354"/>
    <w:rsid w:val="00923565"/>
    <w:rsid w:val="0092360B"/>
    <w:rsid w:val="00923937"/>
    <w:rsid w:val="00923D03"/>
    <w:rsid w:val="00923FAC"/>
    <w:rsid w:val="00924471"/>
    <w:rsid w:val="00924589"/>
    <w:rsid w:val="00924DB8"/>
    <w:rsid w:val="00924E09"/>
    <w:rsid w:val="00925127"/>
    <w:rsid w:val="00925455"/>
    <w:rsid w:val="00925494"/>
    <w:rsid w:val="0092591F"/>
    <w:rsid w:val="00925FAF"/>
    <w:rsid w:val="00926A12"/>
    <w:rsid w:val="00927060"/>
    <w:rsid w:val="00927269"/>
    <w:rsid w:val="00927385"/>
    <w:rsid w:val="00927442"/>
    <w:rsid w:val="00927779"/>
    <w:rsid w:val="00927AC8"/>
    <w:rsid w:val="00930438"/>
    <w:rsid w:val="00930777"/>
    <w:rsid w:val="00930D55"/>
    <w:rsid w:val="00930EB2"/>
    <w:rsid w:val="00931381"/>
    <w:rsid w:val="00932C9E"/>
    <w:rsid w:val="00932ECC"/>
    <w:rsid w:val="00933B7D"/>
    <w:rsid w:val="00933BA8"/>
    <w:rsid w:val="00933C52"/>
    <w:rsid w:val="00934417"/>
    <w:rsid w:val="00934818"/>
    <w:rsid w:val="00934C9B"/>
    <w:rsid w:val="00934DF5"/>
    <w:rsid w:val="009350A1"/>
    <w:rsid w:val="009352D7"/>
    <w:rsid w:val="00935314"/>
    <w:rsid w:val="009361AF"/>
    <w:rsid w:val="009364AD"/>
    <w:rsid w:val="00936C0B"/>
    <w:rsid w:val="00936D1D"/>
    <w:rsid w:val="0093719C"/>
    <w:rsid w:val="009371C2"/>
    <w:rsid w:val="00937DC2"/>
    <w:rsid w:val="00937F5C"/>
    <w:rsid w:val="00940AF0"/>
    <w:rsid w:val="00941546"/>
    <w:rsid w:val="00941C35"/>
    <w:rsid w:val="00941D47"/>
    <w:rsid w:val="00942C08"/>
    <w:rsid w:val="00942D4F"/>
    <w:rsid w:val="00944258"/>
    <w:rsid w:val="00944AEB"/>
    <w:rsid w:val="009451C7"/>
    <w:rsid w:val="009452E7"/>
    <w:rsid w:val="00945573"/>
    <w:rsid w:val="0094638C"/>
    <w:rsid w:val="009463AA"/>
    <w:rsid w:val="00946620"/>
    <w:rsid w:val="00946935"/>
    <w:rsid w:val="0094697C"/>
    <w:rsid w:val="00946D2F"/>
    <w:rsid w:val="00947C9A"/>
    <w:rsid w:val="009513D8"/>
    <w:rsid w:val="009515A2"/>
    <w:rsid w:val="0095166D"/>
    <w:rsid w:val="00951FD8"/>
    <w:rsid w:val="009522C9"/>
    <w:rsid w:val="00952E4F"/>
    <w:rsid w:val="00952ECD"/>
    <w:rsid w:val="00953B47"/>
    <w:rsid w:val="00954564"/>
    <w:rsid w:val="0095467D"/>
    <w:rsid w:val="009549E2"/>
    <w:rsid w:val="009551F8"/>
    <w:rsid w:val="009559E2"/>
    <w:rsid w:val="00955CC6"/>
    <w:rsid w:val="00955D0C"/>
    <w:rsid w:val="0095663A"/>
    <w:rsid w:val="00956C5B"/>
    <w:rsid w:val="00956D39"/>
    <w:rsid w:val="00956E82"/>
    <w:rsid w:val="0095774E"/>
    <w:rsid w:val="00957E43"/>
    <w:rsid w:val="009601CE"/>
    <w:rsid w:val="00960337"/>
    <w:rsid w:val="00960880"/>
    <w:rsid w:val="009608A1"/>
    <w:rsid w:val="0096091B"/>
    <w:rsid w:val="00960A0B"/>
    <w:rsid w:val="00960D9A"/>
    <w:rsid w:val="00960DAB"/>
    <w:rsid w:val="00961001"/>
    <w:rsid w:val="00961FB8"/>
    <w:rsid w:val="00961FB9"/>
    <w:rsid w:val="0096356F"/>
    <w:rsid w:val="0096360E"/>
    <w:rsid w:val="009638B7"/>
    <w:rsid w:val="00963A89"/>
    <w:rsid w:val="00965185"/>
    <w:rsid w:val="00965673"/>
    <w:rsid w:val="00965702"/>
    <w:rsid w:val="00965744"/>
    <w:rsid w:val="00966545"/>
    <w:rsid w:val="00966B5E"/>
    <w:rsid w:val="009671ED"/>
    <w:rsid w:val="0096727B"/>
    <w:rsid w:val="00967866"/>
    <w:rsid w:val="00967DED"/>
    <w:rsid w:val="00970684"/>
    <w:rsid w:val="0097093E"/>
    <w:rsid w:val="009709BF"/>
    <w:rsid w:val="00971899"/>
    <w:rsid w:val="00971945"/>
    <w:rsid w:val="00973177"/>
    <w:rsid w:val="009734EF"/>
    <w:rsid w:val="00973B7B"/>
    <w:rsid w:val="009744BE"/>
    <w:rsid w:val="0097504E"/>
    <w:rsid w:val="00975350"/>
    <w:rsid w:val="00975BC5"/>
    <w:rsid w:val="00976CB6"/>
    <w:rsid w:val="00976D34"/>
    <w:rsid w:val="009771BF"/>
    <w:rsid w:val="0097723F"/>
    <w:rsid w:val="00977FD1"/>
    <w:rsid w:val="0098030C"/>
    <w:rsid w:val="00980B9E"/>
    <w:rsid w:val="00980E7B"/>
    <w:rsid w:val="009813EA"/>
    <w:rsid w:val="00981417"/>
    <w:rsid w:val="00981765"/>
    <w:rsid w:val="009817D7"/>
    <w:rsid w:val="009818CA"/>
    <w:rsid w:val="00981AFE"/>
    <w:rsid w:val="009828DC"/>
    <w:rsid w:val="00982F05"/>
    <w:rsid w:val="00982FBC"/>
    <w:rsid w:val="0098352E"/>
    <w:rsid w:val="00983722"/>
    <w:rsid w:val="00983847"/>
    <w:rsid w:val="00983F68"/>
    <w:rsid w:val="009843A5"/>
    <w:rsid w:val="009843E4"/>
    <w:rsid w:val="009845E1"/>
    <w:rsid w:val="009847B1"/>
    <w:rsid w:val="009847D4"/>
    <w:rsid w:val="00984882"/>
    <w:rsid w:val="00984B15"/>
    <w:rsid w:val="009850C7"/>
    <w:rsid w:val="009854F1"/>
    <w:rsid w:val="00985778"/>
    <w:rsid w:val="00985EC5"/>
    <w:rsid w:val="00985F2F"/>
    <w:rsid w:val="00986242"/>
    <w:rsid w:val="00986523"/>
    <w:rsid w:val="00986735"/>
    <w:rsid w:val="00986768"/>
    <w:rsid w:val="00986DB9"/>
    <w:rsid w:val="00987076"/>
    <w:rsid w:val="00987591"/>
    <w:rsid w:val="009877D9"/>
    <w:rsid w:val="00987889"/>
    <w:rsid w:val="0098795E"/>
    <w:rsid w:val="00987BD5"/>
    <w:rsid w:val="00987C59"/>
    <w:rsid w:val="00987C82"/>
    <w:rsid w:val="00987CF5"/>
    <w:rsid w:val="00987F87"/>
    <w:rsid w:val="009908D4"/>
    <w:rsid w:val="00990A77"/>
    <w:rsid w:val="00990CA7"/>
    <w:rsid w:val="00990EA0"/>
    <w:rsid w:val="009910AF"/>
    <w:rsid w:val="00991290"/>
    <w:rsid w:val="00991F0B"/>
    <w:rsid w:val="00992371"/>
    <w:rsid w:val="00992492"/>
    <w:rsid w:val="00992B66"/>
    <w:rsid w:val="0099353B"/>
    <w:rsid w:val="00993E73"/>
    <w:rsid w:val="00994617"/>
    <w:rsid w:val="009947AE"/>
    <w:rsid w:val="00994E05"/>
    <w:rsid w:val="009951BA"/>
    <w:rsid w:val="009951D6"/>
    <w:rsid w:val="009962D5"/>
    <w:rsid w:val="00996468"/>
    <w:rsid w:val="009965C4"/>
    <w:rsid w:val="009967A8"/>
    <w:rsid w:val="0099681C"/>
    <w:rsid w:val="00996DAE"/>
    <w:rsid w:val="00996E06"/>
    <w:rsid w:val="00997151"/>
    <w:rsid w:val="0099769B"/>
    <w:rsid w:val="00997969"/>
    <w:rsid w:val="00997B4B"/>
    <w:rsid w:val="009A0F8A"/>
    <w:rsid w:val="009A1D93"/>
    <w:rsid w:val="009A2184"/>
    <w:rsid w:val="009A2412"/>
    <w:rsid w:val="009A24F6"/>
    <w:rsid w:val="009A2C2A"/>
    <w:rsid w:val="009A33F0"/>
    <w:rsid w:val="009A3A15"/>
    <w:rsid w:val="009A48F1"/>
    <w:rsid w:val="009A50AC"/>
    <w:rsid w:val="009A5285"/>
    <w:rsid w:val="009A52C0"/>
    <w:rsid w:val="009A54B4"/>
    <w:rsid w:val="009A56F5"/>
    <w:rsid w:val="009A5997"/>
    <w:rsid w:val="009A5B76"/>
    <w:rsid w:val="009A5B78"/>
    <w:rsid w:val="009A5C81"/>
    <w:rsid w:val="009A5F5D"/>
    <w:rsid w:val="009A6224"/>
    <w:rsid w:val="009A63DA"/>
    <w:rsid w:val="009A6400"/>
    <w:rsid w:val="009A6B71"/>
    <w:rsid w:val="009A6D67"/>
    <w:rsid w:val="009A737A"/>
    <w:rsid w:val="009A7425"/>
    <w:rsid w:val="009A786C"/>
    <w:rsid w:val="009B09BA"/>
    <w:rsid w:val="009B0A89"/>
    <w:rsid w:val="009B105C"/>
    <w:rsid w:val="009B123D"/>
    <w:rsid w:val="009B1487"/>
    <w:rsid w:val="009B2D5B"/>
    <w:rsid w:val="009B2FC1"/>
    <w:rsid w:val="009B3373"/>
    <w:rsid w:val="009B3407"/>
    <w:rsid w:val="009B370D"/>
    <w:rsid w:val="009B3835"/>
    <w:rsid w:val="009B3ABA"/>
    <w:rsid w:val="009B3ECA"/>
    <w:rsid w:val="009B3FF2"/>
    <w:rsid w:val="009B4A6C"/>
    <w:rsid w:val="009B55FD"/>
    <w:rsid w:val="009B5DAC"/>
    <w:rsid w:val="009B5DB8"/>
    <w:rsid w:val="009B5E1B"/>
    <w:rsid w:val="009B63DD"/>
    <w:rsid w:val="009B6B65"/>
    <w:rsid w:val="009B6CFB"/>
    <w:rsid w:val="009B6D04"/>
    <w:rsid w:val="009B7375"/>
    <w:rsid w:val="009B77F7"/>
    <w:rsid w:val="009B7CE8"/>
    <w:rsid w:val="009B7F04"/>
    <w:rsid w:val="009C03F8"/>
    <w:rsid w:val="009C17A9"/>
    <w:rsid w:val="009C18F4"/>
    <w:rsid w:val="009C1BE9"/>
    <w:rsid w:val="009C1F16"/>
    <w:rsid w:val="009C26CB"/>
    <w:rsid w:val="009C295F"/>
    <w:rsid w:val="009C2B04"/>
    <w:rsid w:val="009C2D64"/>
    <w:rsid w:val="009C2E53"/>
    <w:rsid w:val="009C3BCB"/>
    <w:rsid w:val="009C4231"/>
    <w:rsid w:val="009C49BC"/>
    <w:rsid w:val="009C49F0"/>
    <w:rsid w:val="009C4DBB"/>
    <w:rsid w:val="009C52F5"/>
    <w:rsid w:val="009C5B95"/>
    <w:rsid w:val="009C5C04"/>
    <w:rsid w:val="009C60A4"/>
    <w:rsid w:val="009C632C"/>
    <w:rsid w:val="009C65DC"/>
    <w:rsid w:val="009C6739"/>
    <w:rsid w:val="009C6B4F"/>
    <w:rsid w:val="009C6C30"/>
    <w:rsid w:val="009C6DDD"/>
    <w:rsid w:val="009C71AE"/>
    <w:rsid w:val="009C74AF"/>
    <w:rsid w:val="009C780E"/>
    <w:rsid w:val="009D145D"/>
    <w:rsid w:val="009D17E1"/>
    <w:rsid w:val="009D2E0E"/>
    <w:rsid w:val="009D2E73"/>
    <w:rsid w:val="009D3B79"/>
    <w:rsid w:val="009D4C58"/>
    <w:rsid w:val="009D4CB6"/>
    <w:rsid w:val="009D4D23"/>
    <w:rsid w:val="009D50A5"/>
    <w:rsid w:val="009D5A17"/>
    <w:rsid w:val="009D5FA7"/>
    <w:rsid w:val="009D6B49"/>
    <w:rsid w:val="009D6BDE"/>
    <w:rsid w:val="009D6ED0"/>
    <w:rsid w:val="009D72D2"/>
    <w:rsid w:val="009D75D7"/>
    <w:rsid w:val="009D788F"/>
    <w:rsid w:val="009E000F"/>
    <w:rsid w:val="009E08E1"/>
    <w:rsid w:val="009E093C"/>
    <w:rsid w:val="009E11AC"/>
    <w:rsid w:val="009E1534"/>
    <w:rsid w:val="009E188E"/>
    <w:rsid w:val="009E18B6"/>
    <w:rsid w:val="009E1B16"/>
    <w:rsid w:val="009E21A3"/>
    <w:rsid w:val="009E2718"/>
    <w:rsid w:val="009E2E46"/>
    <w:rsid w:val="009E2F34"/>
    <w:rsid w:val="009E3391"/>
    <w:rsid w:val="009E3AC1"/>
    <w:rsid w:val="009E3D9C"/>
    <w:rsid w:val="009E3E1B"/>
    <w:rsid w:val="009E3F4F"/>
    <w:rsid w:val="009E456A"/>
    <w:rsid w:val="009E4599"/>
    <w:rsid w:val="009E4A30"/>
    <w:rsid w:val="009E5027"/>
    <w:rsid w:val="009E514F"/>
    <w:rsid w:val="009E5415"/>
    <w:rsid w:val="009E5585"/>
    <w:rsid w:val="009E5587"/>
    <w:rsid w:val="009E564C"/>
    <w:rsid w:val="009E597E"/>
    <w:rsid w:val="009E66A9"/>
    <w:rsid w:val="009E6741"/>
    <w:rsid w:val="009E6CFD"/>
    <w:rsid w:val="009E6D5B"/>
    <w:rsid w:val="009E704A"/>
    <w:rsid w:val="009E7206"/>
    <w:rsid w:val="009E725E"/>
    <w:rsid w:val="009E7C8C"/>
    <w:rsid w:val="009E7E8B"/>
    <w:rsid w:val="009F0177"/>
    <w:rsid w:val="009F1366"/>
    <w:rsid w:val="009F17E5"/>
    <w:rsid w:val="009F18E6"/>
    <w:rsid w:val="009F237F"/>
    <w:rsid w:val="009F23AB"/>
    <w:rsid w:val="009F290B"/>
    <w:rsid w:val="009F2E17"/>
    <w:rsid w:val="009F2E23"/>
    <w:rsid w:val="009F3424"/>
    <w:rsid w:val="009F3784"/>
    <w:rsid w:val="009F419C"/>
    <w:rsid w:val="009F46F1"/>
    <w:rsid w:val="009F4E80"/>
    <w:rsid w:val="009F5033"/>
    <w:rsid w:val="009F534A"/>
    <w:rsid w:val="009F55A5"/>
    <w:rsid w:val="009F599E"/>
    <w:rsid w:val="009F5B29"/>
    <w:rsid w:val="009F5E65"/>
    <w:rsid w:val="009F64DC"/>
    <w:rsid w:val="009F6734"/>
    <w:rsid w:val="009F7A75"/>
    <w:rsid w:val="00A00165"/>
    <w:rsid w:val="00A00AD3"/>
    <w:rsid w:val="00A00BC1"/>
    <w:rsid w:val="00A01139"/>
    <w:rsid w:val="00A014A3"/>
    <w:rsid w:val="00A01A87"/>
    <w:rsid w:val="00A0222C"/>
    <w:rsid w:val="00A022D5"/>
    <w:rsid w:val="00A027C4"/>
    <w:rsid w:val="00A03F93"/>
    <w:rsid w:val="00A0413C"/>
    <w:rsid w:val="00A04746"/>
    <w:rsid w:val="00A05056"/>
    <w:rsid w:val="00A052E3"/>
    <w:rsid w:val="00A05A6E"/>
    <w:rsid w:val="00A060D5"/>
    <w:rsid w:val="00A0668C"/>
    <w:rsid w:val="00A066C9"/>
    <w:rsid w:val="00A066D1"/>
    <w:rsid w:val="00A07577"/>
    <w:rsid w:val="00A07855"/>
    <w:rsid w:val="00A10201"/>
    <w:rsid w:val="00A1112C"/>
    <w:rsid w:val="00A11E0F"/>
    <w:rsid w:val="00A1208F"/>
    <w:rsid w:val="00A123DA"/>
    <w:rsid w:val="00A124A3"/>
    <w:rsid w:val="00A125BD"/>
    <w:rsid w:val="00A12A10"/>
    <w:rsid w:val="00A12DCB"/>
    <w:rsid w:val="00A12DFB"/>
    <w:rsid w:val="00A13617"/>
    <w:rsid w:val="00A13F4F"/>
    <w:rsid w:val="00A13F54"/>
    <w:rsid w:val="00A13FF3"/>
    <w:rsid w:val="00A1423E"/>
    <w:rsid w:val="00A14317"/>
    <w:rsid w:val="00A1463D"/>
    <w:rsid w:val="00A14AB7"/>
    <w:rsid w:val="00A14CFE"/>
    <w:rsid w:val="00A14D37"/>
    <w:rsid w:val="00A15239"/>
    <w:rsid w:val="00A152E9"/>
    <w:rsid w:val="00A15B84"/>
    <w:rsid w:val="00A15E24"/>
    <w:rsid w:val="00A1612A"/>
    <w:rsid w:val="00A162A5"/>
    <w:rsid w:val="00A163EA"/>
    <w:rsid w:val="00A16D63"/>
    <w:rsid w:val="00A176C9"/>
    <w:rsid w:val="00A179EC"/>
    <w:rsid w:val="00A17DC4"/>
    <w:rsid w:val="00A2059B"/>
    <w:rsid w:val="00A20C8C"/>
    <w:rsid w:val="00A20CB7"/>
    <w:rsid w:val="00A20EDE"/>
    <w:rsid w:val="00A20F68"/>
    <w:rsid w:val="00A21090"/>
    <w:rsid w:val="00A2115E"/>
    <w:rsid w:val="00A2121A"/>
    <w:rsid w:val="00A21BD6"/>
    <w:rsid w:val="00A21EF6"/>
    <w:rsid w:val="00A21F80"/>
    <w:rsid w:val="00A21FD9"/>
    <w:rsid w:val="00A22591"/>
    <w:rsid w:val="00A22ADA"/>
    <w:rsid w:val="00A22B8E"/>
    <w:rsid w:val="00A22C14"/>
    <w:rsid w:val="00A22FA5"/>
    <w:rsid w:val="00A22FDD"/>
    <w:rsid w:val="00A2325B"/>
    <w:rsid w:val="00A23F7B"/>
    <w:rsid w:val="00A2478F"/>
    <w:rsid w:val="00A25186"/>
    <w:rsid w:val="00A2593C"/>
    <w:rsid w:val="00A25AB4"/>
    <w:rsid w:val="00A25ADD"/>
    <w:rsid w:val="00A25B76"/>
    <w:rsid w:val="00A2699E"/>
    <w:rsid w:val="00A26B06"/>
    <w:rsid w:val="00A27301"/>
    <w:rsid w:val="00A27CEA"/>
    <w:rsid w:val="00A27DF1"/>
    <w:rsid w:val="00A307AA"/>
    <w:rsid w:val="00A30A83"/>
    <w:rsid w:val="00A30D8C"/>
    <w:rsid w:val="00A310B5"/>
    <w:rsid w:val="00A3153C"/>
    <w:rsid w:val="00A32228"/>
    <w:rsid w:val="00A324F3"/>
    <w:rsid w:val="00A32CA9"/>
    <w:rsid w:val="00A33269"/>
    <w:rsid w:val="00A334DB"/>
    <w:rsid w:val="00A34594"/>
    <w:rsid w:val="00A346B5"/>
    <w:rsid w:val="00A34805"/>
    <w:rsid w:val="00A349D9"/>
    <w:rsid w:val="00A34B3F"/>
    <w:rsid w:val="00A3511E"/>
    <w:rsid w:val="00A356BA"/>
    <w:rsid w:val="00A35753"/>
    <w:rsid w:val="00A360CE"/>
    <w:rsid w:val="00A36127"/>
    <w:rsid w:val="00A36276"/>
    <w:rsid w:val="00A36BF4"/>
    <w:rsid w:val="00A36D83"/>
    <w:rsid w:val="00A3700F"/>
    <w:rsid w:val="00A4012B"/>
    <w:rsid w:val="00A401F0"/>
    <w:rsid w:val="00A4030C"/>
    <w:rsid w:val="00A42203"/>
    <w:rsid w:val="00A42377"/>
    <w:rsid w:val="00A42434"/>
    <w:rsid w:val="00A4325F"/>
    <w:rsid w:val="00A43976"/>
    <w:rsid w:val="00A43AAE"/>
    <w:rsid w:val="00A43D34"/>
    <w:rsid w:val="00A43DED"/>
    <w:rsid w:val="00A44104"/>
    <w:rsid w:val="00A4421F"/>
    <w:rsid w:val="00A45058"/>
    <w:rsid w:val="00A45AE6"/>
    <w:rsid w:val="00A4613F"/>
    <w:rsid w:val="00A46219"/>
    <w:rsid w:val="00A463FB"/>
    <w:rsid w:val="00A46986"/>
    <w:rsid w:val="00A47A4A"/>
    <w:rsid w:val="00A47A72"/>
    <w:rsid w:val="00A50ED5"/>
    <w:rsid w:val="00A524A1"/>
    <w:rsid w:val="00A52B10"/>
    <w:rsid w:val="00A5345C"/>
    <w:rsid w:val="00A538EF"/>
    <w:rsid w:val="00A53CF5"/>
    <w:rsid w:val="00A53E85"/>
    <w:rsid w:val="00A53F3F"/>
    <w:rsid w:val="00A546B6"/>
    <w:rsid w:val="00A5477B"/>
    <w:rsid w:val="00A54802"/>
    <w:rsid w:val="00A54D0D"/>
    <w:rsid w:val="00A55061"/>
    <w:rsid w:val="00A55F25"/>
    <w:rsid w:val="00A562A6"/>
    <w:rsid w:val="00A56373"/>
    <w:rsid w:val="00A5644A"/>
    <w:rsid w:val="00A57396"/>
    <w:rsid w:val="00A57604"/>
    <w:rsid w:val="00A57B1B"/>
    <w:rsid w:val="00A6077B"/>
    <w:rsid w:val="00A60786"/>
    <w:rsid w:val="00A614DE"/>
    <w:rsid w:val="00A61CB0"/>
    <w:rsid w:val="00A61D37"/>
    <w:rsid w:val="00A623FD"/>
    <w:rsid w:val="00A63470"/>
    <w:rsid w:val="00A63833"/>
    <w:rsid w:val="00A63F08"/>
    <w:rsid w:val="00A64097"/>
    <w:rsid w:val="00A64E58"/>
    <w:rsid w:val="00A650F0"/>
    <w:rsid w:val="00A65181"/>
    <w:rsid w:val="00A6569E"/>
    <w:rsid w:val="00A6627B"/>
    <w:rsid w:val="00A662B4"/>
    <w:rsid w:val="00A666F2"/>
    <w:rsid w:val="00A66A87"/>
    <w:rsid w:val="00A66B3F"/>
    <w:rsid w:val="00A66DA6"/>
    <w:rsid w:val="00A66DF8"/>
    <w:rsid w:val="00A66E4E"/>
    <w:rsid w:val="00A67BE6"/>
    <w:rsid w:val="00A67C99"/>
    <w:rsid w:val="00A70075"/>
    <w:rsid w:val="00A7082A"/>
    <w:rsid w:val="00A709E2"/>
    <w:rsid w:val="00A70A97"/>
    <w:rsid w:val="00A7106C"/>
    <w:rsid w:val="00A711E9"/>
    <w:rsid w:val="00A71274"/>
    <w:rsid w:val="00A71473"/>
    <w:rsid w:val="00A71555"/>
    <w:rsid w:val="00A71794"/>
    <w:rsid w:val="00A719C6"/>
    <w:rsid w:val="00A71ADB"/>
    <w:rsid w:val="00A72ECA"/>
    <w:rsid w:val="00A7318A"/>
    <w:rsid w:val="00A738BC"/>
    <w:rsid w:val="00A739E5"/>
    <w:rsid w:val="00A73C9D"/>
    <w:rsid w:val="00A74079"/>
    <w:rsid w:val="00A74362"/>
    <w:rsid w:val="00A744E6"/>
    <w:rsid w:val="00A7466A"/>
    <w:rsid w:val="00A748BA"/>
    <w:rsid w:val="00A76189"/>
    <w:rsid w:val="00A7623F"/>
    <w:rsid w:val="00A76350"/>
    <w:rsid w:val="00A769E2"/>
    <w:rsid w:val="00A77AE8"/>
    <w:rsid w:val="00A77E19"/>
    <w:rsid w:val="00A801DC"/>
    <w:rsid w:val="00A8099E"/>
    <w:rsid w:val="00A8147E"/>
    <w:rsid w:val="00A814B9"/>
    <w:rsid w:val="00A816B9"/>
    <w:rsid w:val="00A827C5"/>
    <w:rsid w:val="00A8309E"/>
    <w:rsid w:val="00A8324E"/>
    <w:rsid w:val="00A834D0"/>
    <w:rsid w:val="00A83B41"/>
    <w:rsid w:val="00A83ED0"/>
    <w:rsid w:val="00A8427E"/>
    <w:rsid w:val="00A84E68"/>
    <w:rsid w:val="00A85A81"/>
    <w:rsid w:val="00A86176"/>
    <w:rsid w:val="00A8617E"/>
    <w:rsid w:val="00A86969"/>
    <w:rsid w:val="00A9031A"/>
    <w:rsid w:val="00A9042E"/>
    <w:rsid w:val="00A90B59"/>
    <w:rsid w:val="00A9152B"/>
    <w:rsid w:val="00A91C40"/>
    <w:rsid w:val="00A9256A"/>
    <w:rsid w:val="00A92B6E"/>
    <w:rsid w:val="00A9507A"/>
    <w:rsid w:val="00A95522"/>
    <w:rsid w:val="00A95554"/>
    <w:rsid w:val="00A957BC"/>
    <w:rsid w:val="00A95808"/>
    <w:rsid w:val="00A95AE2"/>
    <w:rsid w:val="00A95D37"/>
    <w:rsid w:val="00A961B8"/>
    <w:rsid w:val="00A961D3"/>
    <w:rsid w:val="00A965F5"/>
    <w:rsid w:val="00A970B5"/>
    <w:rsid w:val="00A97300"/>
    <w:rsid w:val="00AA0056"/>
    <w:rsid w:val="00AA052E"/>
    <w:rsid w:val="00AA09B2"/>
    <w:rsid w:val="00AA0CFD"/>
    <w:rsid w:val="00AA11C2"/>
    <w:rsid w:val="00AA1408"/>
    <w:rsid w:val="00AA2400"/>
    <w:rsid w:val="00AA2476"/>
    <w:rsid w:val="00AA25BD"/>
    <w:rsid w:val="00AA2B5C"/>
    <w:rsid w:val="00AA2BBD"/>
    <w:rsid w:val="00AA3428"/>
    <w:rsid w:val="00AA3DC2"/>
    <w:rsid w:val="00AA42BD"/>
    <w:rsid w:val="00AA6040"/>
    <w:rsid w:val="00AA6BCA"/>
    <w:rsid w:val="00AA6E9C"/>
    <w:rsid w:val="00AA7254"/>
    <w:rsid w:val="00AA77BA"/>
    <w:rsid w:val="00AA79C8"/>
    <w:rsid w:val="00AA7ABB"/>
    <w:rsid w:val="00AA7E16"/>
    <w:rsid w:val="00AB03A1"/>
    <w:rsid w:val="00AB0570"/>
    <w:rsid w:val="00AB0639"/>
    <w:rsid w:val="00AB0B93"/>
    <w:rsid w:val="00AB0F3A"/>
    <w:rsid w:val="00AB1FF5"/>
    <w:rsid w:val="00AB2436"/>
    <w:rsid w:val="00AB2682"/>
    <w:rsid w:val="00AB2EF6"/>
    <w:rsid w:val="00AB2FEB"/>
    <w:rsid w:val="00AB3448"/>
    <w:rsid w:val="00AB372D"/>
    <w:rsid w:val="00AB3BD0"/>
    <w:rsid w:val="00AB4008"/>
    <w:rsid w:val="00AB4093"/>
    <w:rsid w:val="00AB4A8B"/>
    <w:rsid w:val="00AB4BAD"/>
    <w:rsid w:val="00AB50B6"/>
    <w:rsid w:val="00AB51EC"/>
    <w:rsid w:val="00AB574F"/>
    <w:rsid w:val="00AB579B"/>
    <w:rsid w:val="00AB600F"/>
    <w:rsid w:val="00AB62FA"/>
    <w:rsid w:val="00AB651E"/>
    <w:rsid w:val="00AB6CA1"/>
    <w:rsid w:val="00AB74E2"/>
    <w:rsid w:val="00AB7AC4"/>
    <w:rsid w:val="00AB7C45"/>
    <w:rsid w:val="00AC0A82"/>
    <w:rsid w:val="00AC0EFE"/>
    <w:rsid w:val="00AC111D"/>
    <w:rsid w:val="00AC129F"/>
    <w:rsid w:val="00AC1B69"/>
    <w:rsid w:val="00AC2687"/>
    <w:rsid w:val="00AC298D"/>
    <w:rsid w:val="00AC3271"/>
    <w:rsid w:val="00AC32BE"/>
    <w:rsid w:val="00AC32EC"/>
    <w:rsid w:val="00AC356A"/>
    <w:rsid w:val="00AC3B20"/>
    <w:rsid w:val="00AC3D20"/>
    <w:rsid w:val="00AC3DCA"/>
    <w:rsid w:val="00AC403A"/>
    <w:rsid w:val="00AC45FC"/>
    <w:rsid w:val="00AC4803"/>
    <w:rsid w:val="00AC4C2C"/>
    <w:rsid w:val="00AC51B8"/>
    <w:rsid w:val="00AC5717"/>
    <w:rsid w:val="00AC57F2"/>
    <w:rsid w:val="00AC5B3A"/>
    <w:rsid w:val="00AC5B88"/>
    <w:rsid w:val="00AC69C4"/>
    <w:rsid w:val="00AC6EB0"/>
    <w:rsid w:val="00AC6F06"/>
    <w:rsid w:val="00AC7319"/>
    <w:rsid w:val="00AC74B5"/>
    <w:rsid w:val="00AC75A3"/>
    <w:rsid w:val="00AC7B79"/>
    <w:rsid w:val="00AC7C8A"/>
    <w:rsid w:val="00AC7FA9"/>
    <w:rsid w:val="00AD00C8"/>
    <w:rsid w:val="00AD013D"/>
    <w:rsid w:val="00AD0201"/>
    <w:rsid w:val="00AD04D8"/>
    <w:rsid w:val="00AD0824"/>
    <w:rsid w:val="00AD0928"/>
    <w:rsid w:val="00AD0A9C"/>
    <w:rsid w:val="00AD0E4B"/>
    <w:rsid w:val="00AD10F7"/>
    <w:rsid w:val="00AD1328"/>
    <w:rsid w:val="00AD159A"/>
    <w:rsid w:val="00AD1917"/>
    <w:rsid w:val="00AD20AD"/>
    <w:rsid w:val="00AD30E7"/>
    <w:rsid w:val="00AD3BF0"/>
    <w:rsid w:val="00AD46EA"/>
    <w:rsid w:val="00AD46F6"/>
    <w:rsid w:val="00AD4762"/>
    <w:rsid w:val="00AD4796"/>
    <w:rsid w:val="00AD4881"/>
    <w:rsid w:val="00AD4CF8"/>
    <w:rsid w:val="00AD4DA6"/>
    <w:rsid w:val="00AD50C9"/>
    <w:rsid w:val="00AD50FB"/>
    <w:rsid w:val="00AD5131"/>
    <w:rsid w:val="00AD573B"/>
    <w:rsid w:val="00AD5DF1"/>
    <w:rsid w:val="00AD5F21"/>
    <w:rsid w:val="00AD6963"/>
    <w:rsid w:val="00AD6BA8"/>
    <w:rsid w:val="00AD6BF4"/>
    <w:rsid w:val="00AD6EDD"/>
    <w:rsid w:val="00AD719F"/>
    <w:rsid w:val="00AD7214"/>
    <w:rsid w:val="00AD7245"/>
    <w:rsid w:val="00AD7806"/>
    <w:rsid w:val="00AE018D"/>
    <w:rsid w:val="00AE053C"/>
    <w:rsid w:val="00AE07D7"/>
    <w:rsid w:val="00AE0EB4"/>
    <w:rsid w:val="00AE0FE2"/>
    <w:rsid w:val="00AE137F"/>
    <w:rsid w:val="00AE15BA"/>
    <w:rsid w:val="00AE1BFA"/>
    <w:rsid w:val="00AE1E85"/>
    <w:rsid w:val="00AE21FE"/>
    <w:rsid w:val="00AE25EB"/>
    <w:rsid w:val="00AE2EF3"/>
    <w:rsid w:val="00AE2F6F"/>
    <w:rsid w:val="00AE3650"/>
    <w:rsid w:val="00AE375D"/>
    <w:rsid w:val="00AE5137"/>
    <w:rsid w:val="00AE52D3"/>
    <w:rsid w:val="00AE53B7"/>
    <w:rsid w:val="00AE5865"/>
    <w:rsid w:val="00AE5CC2"/>
    <w:rsid w:val="00AE5DFB"/>
    <w:rsid w:val="00AE635A"/>
    <w:rsid w:val="00AE6742"/>
    <w:rsid w:val="00AE7148"/>
    <w:rsid w:val="00AE7196"/>
    <w:rsid w:val="00AE732D"/>
    <w:rsid w:val="00AE779B"/>
    <w:rsid w:val="00AE7A13"/>
    <w:rsid w:val="00AE7AC5"/>
    <w:rsid w:val="00AF0006"/>
    <w:rsid w:val="00AF010A"/>
    <w:rsid w:val="00AF03C7"/>
    <w:rsid w:val="00AF03DE"/>
    <w:rsid w:val="00AF0677"/>
    <w:rsid w:val="00AF0E85"/>
    <w:rsid w:val="00AF1118"/>
    <w:rsid w:val="00AF1BF1"/>
    <w:rsid w:val="00AF1F71"/>
    <w:rsid w:val="00AF20B3"/>
    <w:rsid w:val="00AF2354"/>
    <w:rsid w:val="00AF25F6"/>
    <w:rsid w:val="00AF267C"/>
    <w:rsid w:val="00AF2696"/>
    <w:rsid w:val="00AF2A03"/>
    <w:rsid w:val="00AF31E4"/>
    <w:rsid w:val="00AF3424"/>
    <w:rsid w:val="00AF3939"/>
    <w:rsid w:val="00AF3FFF"/>
    <w:rsid w:val="00AF4047"/>
    <w:rsid w:val="00AF4D27"/>
    <w:rsid w:val="00AF4E9D"/>
    <w:rsid w:val="00AF5088"/>
    <w:rsid w:val="00AF5995"/>
    <w:rsid w:val="00AF5CAA"/>
    <w:rsid w:val="00AF5EC9"/>
    <w:rsid w:val="00AF63C3"/>
    <w:rsid w:val="00AF66BB"/>
    <w:rsid w:val="00AF7DCF"/>
    <w:rsid w:val="00AF7E9F"/>
    <w:rsid w:val="00B00C22"/>
    <w:rsid w:val="00B0169E"/>
    <w:rsid w:val="00B01817"/>
    <w:rsid w:val="00B018BC"/>
    <w:rsid w:val="00B01AF9"/>
    <w:rsid w:val="00B01AFA"/>
    <w:rsid w:val="00B02BB5"/>
    <w:rsid w:val="00B05083"/>
    <w:rsid w:val="00B05255"/>
    <w:rsid w:val="00B0538F"/>
    <w:rsid w:val="00B05432"/>
    <w:rsid w:val="00B0566A"/>
    <w:rsid w:val="00B057F4"/>
    <w:rsid w:val="00B05A8E"/>
    <w:rsid w:val="00B0648B"/>
    <w:rsid w:val="00B06DC3"/>
    <w:rsid w:val="00B06F88"/>
    <w:rsid w:val="00B07415"/>
    <w:rsid w:val="00B07C76"/>
    <w:rsid w:val="00B07F6F"/>
    <w:rsid w:val="00B100DB"/>
    <w:rsid w:val="00B10347"/>
    <w:rsid w:val="00B111CE"/>
    <w:rsid w:val="00B11322"/>
    <w:rsid w:val="00B113F6"/>
    <w:rsid w:val="00B11554"/>
    <w:rsid w:val="00B1165E"/>
    <w:rsid w:val="00B119E3"/>
    <w:rsid w:val="00B119FA"/>
    <w:rsid w:val="00B11C08"/>
    <w:rsid w:val="00B11CC5"/>
    <w:rsid w:val="00B11EB9"/>
    <w:rsid w:val="00B12186"/>
    <w:rsid w:val="00B123C9"/>
    <w:rsid w:val="00B125C2"/>
    <w:rsid w:val="00B1289D"/>
    <w:rsid w:val="00B1369A"/>
    <w:rsid w:val="00B13BB6"/>
    <w:rsid w:val="00B13EFD"/>
    <w:rsid w:val="00B14510"/>
    <w:rsid w:val="00B14D1B"/>
    <w:rsid w:val="00B152A2"/>
    <w:rsid w:val="00B15346"/>
    <w:rsid w:val="00B15566"/>
    <w:rsid w:val="00B15CC8"/>
    <w:rsid w:val="00B160B9"/>
    <w:rsid w:val="00B166B6"/>
    <w:rsid w:val="00B16C6E"/>
    <w:rsid w:val="00B17292"/>
    <w:rsid w:val="00B20360"/>
    <w:rsid w:val="00B204CC"/>
    <w:rsid w:val="00B206C4"/>
    <w:rsid w:val="00B208FB"/>
    <w:rsid w:val="00B20B2B"/>
    <w:rsid w:val="00B20F48"/>
    <w:rsid w:val="00B2194C"/>
    <w:rsid w:val="00B21A59"/>
    <w:rsid w:val="00B21C03"/>
    <w:rsid w:val="00B223F5"/>
    <w:rsid w:val="00B22774"/>
    <w:rsid w:val="00B229EA"/>
    <w:rsid w:val="00B22C6E"/>
    <w:rsid w:val="00B22D71"/>
    <w:rsid w:val="00B22E04"/>
    <w:rsid w:val="00B2324D"/>
    <w:rsid w:val="00B23447"/>
    <w:rsid w:val="00B24761"/>
    <w:rsid w:val="00B24A13"/>
    <w:rsid w:val="00B24AFF"/>
    <w:rsid w:val="00B24CD7"/>
    <w:rsid w:val="00B24F60"/>
    <w:rsid w:val="00B2536B"/>
    <w:rsid w:val="00B254E8"/>
    <w:rsid w:val="00B259A5"/>
    <w:rsid w:val="00B26722"/>
    <w:rsid w:val="00B27E81"/>
    <w:rsid w:val="00B301C1"/>
    <w:rsid w:val="00B30641"/>
    <w:rsid w:val="00B30733"/>
    <w:rsid w:val="00B30D57"/>
    <w:rsid w:val="00B311C0"/>
    <w:rsid w:val="00B3141E"/>
    <w:rsid w:val="00B31467"/>
    <w:rsid w:val="00B31535"/>
    <w:rsid w:val="00B328B4"/>
    <w:rsid w:val="00B32B58"/>
    <w:rsid w:val="00B32C3C"/>
    <w:rsid w:val="00B32D17"/>
    <w:rsid w:val="00B32E4E"/>
    <w:rsid w:val="00B33102"/>
    <w:rsid w:val="00B33753"/>
    <w:rsid w:val="00B33F4A"/>
    <w:rsid w:val="00B3441D"/>
    <w:rsid w:val="00B34706"/>
    <w:rsid w:val="00B34B7A"/>
    <w:rsid w:val="00B354EC"/>
    <w:rsid w:val="00B35745"/>
    <w:rsid w:val="00B35F77"/>
    <w:rsid w:val="00B35FB1"/>
    <w:rsid w:val="00B36278"/>
    <w:rsid w:val="00B36740"/>
    <w:rsid w:val="00B36A85"/>
    <w:rsid w:val="00B36B79"/>
    <w:rsid w:val="00B36ECB"/>
    <w:rsid w:val="00B36F83"/>
    <w:rsid w:val="00B3766A"/>
    <w:rsid w:val="00B376C4"/>
    <w:rsid w:val="00B37E22"/>
    <w:rsid w:val="00B402BC"/>
    <w:rsid w:val="00B4251D"/>
    <w:rsid w:val="00B42787"/>
    <w:rsid w:val="00B4289F"/>
    <w:rsid w:val="00B42FEF"/>
    <w:rsid w:val="00B43797"/>
    <w:rsid w:val="00B43D45"/>
    <w:rsid w:val="00B448D6"/>
    <w:rsid w:val="00B44999"/>
    <w:rsid w:val="00B44D5D"/>
    <w:rsid w:val="00B452CC"/>
    <w:rsid w:val="00B454D4"/>
    <w:rsid w:val="00B45974"/>
    <w:rsid w:val="00B46129"/>
    <w:rsid w:val="00B4618A"/>
    <w:rsid w:val="00B475D2"/>
    <w:rsid w:val="00B47677"/>
    <w:rsid w:val="00B47839"/>
    <w:rsid w:val="00B47BE8"/>
    <w:rsid w:val="00B50615"/>
    <w:rsid w:val="00B515C4"/>
    <w:rsid w:val="00B516CF"/>
    <w:rsid w:val="00B51B8D"/>
    <w:rsid w:val="00B5213D"/>
    <w:rsid w:val="00B52650"/>
    <w:rsid w:val="00B53366"/>
    <w:rsid w:val="00B5336E"/>
    <w:rsid w:val="00B53540"/>
    <w:rsid w:val="00B53603"/>
    <w:rsid w:val="00B5417D"/>
    <w:rsid w:val="00B541D0"/>
    <w:rsid w:val="00B54385"/>
    <w:rsid w:val="00B55050"/>
    <w:rsid w:val="00B553F7"/>
    <w:rsid w:val="00B55CE3"/>
    <w:rsid w:val="00B56237"/>
    <w:rsid w:val="00B563BE"/>
    <w:rsid w:val="00B56CD0"/>
    <w:rsid w:val="00B56CFC"/>
    <w:rsid w:val="00B57116"/>
    <w:rsid w:val="00B57250"/>
    <w:rsid w:val="00B573BC"/>
    <w:rsid w:val="00B600E9"/>
    <w:rsid w:val="00B6042E"/>
    <w:rsid w:val="00B604C9"/>
    <w:rsid w:val="00B6122C"/>
    <w:rsid w:val="00B61254"/>
    <w:rsid w:val="00B619E4"/>
    <w:rsid w:val="00B61C0F"/>
    <w:rsid w:val="00B61CB7"/>
    <w:rsid w:val="00B620A1"/>
    <w:rsid w:val="00B62298"/>
    <w:rsid w:val="00B62E6D"/>
    <w:rsid w:val="00B63289"/>
    <w:rsid w:val="00B638EB"/>
    <w:rsid w:val="00B63A9F"/>
    <w:rsid w:val="00B63B6D"/>
    <w:rsid w:val="00B63F42"/>
    <w:rsid w:val="00B6465A"/>
    <w:rsid w:val="00B64FC4"/>
    <w:rsid w:val="00B65500"/>
    <w:rsid w:val="00B6553B"/>
    <w:rsid w:val="00B6570D"/>
    <w:rsid w:val="00B657CB"/>
    <w:rsid w:val="00B65C10"/>
    <w:rsid w:val="00B66164"/>
    <w:rsid w:val="00B661AA"/>
    <w:rsid w:val="00B66248"/>
    <w:rsid w:val="00B6650B"/>
    <w:rsid w:val="00B66939"/>
    <w:rsid w:val="00B66DDA"/>
    <w:rsid w:val="00B67604"/>
    <w:rsid w:val="00B67DC1"/>
    <w:rsid w:val="00B701F7"/>
    <w:rsid w:val="00B7081F"/>
    <w:rsid w:val="00B71023"/>
    <w:rsid w:val="00B71026"/>
    <w:rsid w:val="00B7115D"/>
    <w:rsid w:val="00B7141E"/>
    <w:rsid w:val="00B71AFB"/>
    <w:rsid w:val="00B72030"/>
    <w:rsid w:val="00B72D8F"/>
    <w:rsid w:val="00B72EEA"/>
    <w:rsid w:val="00B7386C"/>
    <w:rsid w:val="00B73C83"/>
    <w:rsid w:val="00B741BA"/>
    <w:rsid w:val="00B74222"/>
    <w:rsid w:val="00B742D6"/>
    <w:rsid w:val="00B74C21"/>
    <w:rsid w:val="00B7544B"/>
    <w:rsid w:val="00B75994"/>
    <w:rsid w:val="00B75F62"/>
    <w:rsid w:val="00B7643E"/>
    <w:rsid w:val="00B76D8C"/>
    <w:rsid w:val="00B76DF7"/>
    <w:rsid w:val="00B76DFF"/>
    <w:rsid w:val="00B77959"/>
    <w:rsid w:val="00B77D10"/>
    <w:rsid w:val="00B8018F"/>
    <w:rsid w:val="00B80689"/>
    <w:rsid w:val="00B80B5B"/>
    <w:rsid w:val="00B80EAB"/>
    <w:rsid w:val="00B8190A"/>
    <w:rsid w:val="00B81B06"/>
    <w:rsid w:val="00B82181"/>
    <w:rsid w:val="00B827E4"/>
    <w:rsid w:val="00B83086"/>
    <w:rsid w:val="00B83649"/>
    <w:rsid w:val="00B839F6"/>
    <w:rsid w:val="00B83E58"/>
    <w:rsid w:val="00B84604"/>
    <w:rsid w:val="00B84FF9"/>
    <w:rsid w:val="00B85372"/>
    <w:rsid w:val="00B8575F"/>
    <w:rsid w:val="00B8629C"/>
    <w:rsid w:val="00B87AB5"/>
    <w:rsid w:val="00B87C24"/>
    <w:rsid w:val="00B900EB"/>
    <w:rsid w:val="00B90131"/>
    <w:rsid w:val="00B9145D"/>
    <w:rsid w:val="00B9148C"/>
    <w:rsid w:val="00B923C9"/>
    <w:rsid w:val="00B92B25"/>
    <w:rsid w:val="00B93A16"/>
    <w:rsid w:val="00B9445D"/>
    <w:rsid w:val="00B94A09"/>
    <w:rsid w:val="00B94BB7"/>
    <w:rsid w:val="00B94D89"/>
    <w:rsid w:val="00B94F80"/>
    <w:rsid w:val="00B94F8A"/>
    <w:rsid w:val="00B9529F"/>
    <w:rsid w:val="00B95767"/>
    <w:rsid w:val="00B95D45"/>
    <w:rsid w:val="00B96141"/>
    <w:rsid w:val="00B9663F"/>
    <w:rsid w:val="00B96F7F"/>
    <w:rsid w:val="00B97C19"/>
    <w:rsid w:val="00BA0135"/>
    <w:rsid w:val="00BA0C80"/>
    <w:rsid w:val="00BA119E"/>
    <w:rsid w:val="00BA1AE3"/>
    <w:rsid w:val="00BA1D67"/>
    <w:rsid w:val="00BA23AA"/>
    <w:rsid w:val="00BA2CF3"/>
    <w:rsid w:val="00BA3658"/>
    <w:rsid w:val="00BA398E"/>
    <w:rsid w:val="00BA3ED4"/>
    <w:rsid w:val="00BA4187"/>
    <w:rsid w:val="00BA4685"/>
    <w:rsid w:val="00BA4892"/>
    <w:rsid w:val="00BA4BA3"/>
    <w:rsid w:val="00BA4E1C"/>
    <w:rsid w:val="00BA5DF7"/>
    <w:rsid w:val="00BA6650"/>
    <w:rsid w:val="00BA66DB"/>
    <w:rsid w:val="00BA6AA7"/>
    <w:rsid w:val="00BA6AC6"/>
    <w:rsid w:val="00BA71FD"/>
    <w:rsid w:val="00BA758C"/>
    <w:rsid w:val="00BA7B46"/>
    <w:rsid w:val="00BB1B06"/>
    <w:rsid w:val="00BB20C9"/>
    <w:rsid w:val="00BB281A"/>
    <w:rsid w:val="00BB359F"/>
    <w:rsid w:val="00BB3AE1"/>
    <w:rsid w:val="00BB3F7E"/>
    <w:rsid w:val="00BB4C38"/>
    <w:rsid w:val="00BB4D2C"/>
    <w:rsid w:val="00BB51FB"/>
    <w:rsid w:val="00BB6180"/>
    <w:rsid w:val="00BB7127"/>
    <w:rsid w:val="00BB73D8"/>
    <w:rsid w:val="00BB770A"/>
    <w:rsid w:val="00BC0120"/>
    <w:rsid w:val="00BC0167"/>
    <w:rsid w:val="00BC0725"/>
    <w:rsid w:val="00BC076C"/>
    <w:rsid w:val="00BC09D8"/>
    <w:rsid w:val="00BC1097"/>
    <w:rsid w:val="00BC1638"/>
    <w:rsid w:val="00BC25ED"/>
    <w:rsid w:val="00BC2848"/>
    <w:rsid w:val="00BC3036"/>
    <w:rsid w:val="00BC5288"/>
    <w:rsid w:val="00BC537B"/>
    <w:rsid w:val="00BC53F7"/>
    <w:rsid w:val="00BC56B3"/>
    <w:rsid w:val="00BC573E"/>
    <w:rsid w:val="00BC573F"/>
    <w:rsid w:val="00BC5E2C"/>
    <w:rsid w:val="00BC5FAD"/>
    <w:rsid w:val="00BC641B"/>
    <w:rsid w:val="00BC663E"/>
    <w:rsid w:val="00BC6653"/>
    <w:rsid w:val="00BC75D3"/>
    <w:rsid w:val="00BC7725"/>
    <w:rsid w:val="00BD0757"/>
    <w:rsid w:val="00BD0C54"/>
    <w:rsid w:val="00BD100B"/>
    <w:rsid w:val="00BD11AF"/>
    <w:rsid w:val="00BD1F56"/>
    <w:rsid w:val="00BD216A"/>
    <w:rsid w:val="00BD2852"/>
    <w:rsid w:val="00BD28B0"/>
    <w:rsid w:val="00BD30A7"/>
    <w:rsid w:val="00BD321C"/>
    <w:rsid w:val="00BD3641"/>
    <w:rsid w:val="00BD36FC"/>
    <w:rsid w:val="00BD3830"/>
    <w:rsid w:val="00BD3DBA"/>
    <w:rsid w:val="00BD46ED"/>
    <w:rsid w:val="00BD5B76"/>
    <w:rsid w:val="00BD6F8D"/>
    <w:rsid w:val="00BE03B0"/>
    <w:rsid w:val="00BE05AA"/>
    <w:rsid w:val="00BE0B8F"/>
    <w:rsid w:val="00BE0E9C"/>
    <w:rsid w:val="00BE1948"/>
    <w:rsid w:val="00BE1FD6"/>
    <w:rsid w:val="00BE2333"/>
    <w:rsid w:val="00BE2CFE"/>
    <w:rsid w:val="00BE3138"/>
    <w:rsid w:val="00BE333E"/>
    <w:rsid w:val="00BE344C"/>
    <w:rsid w:val="00BE368A"/>
    <w:rsid w:val="00BE37A8"/>
    <w:rsid w:val="00BE3E3E"/>
    <w:rsid w:val="00BE402B"/>
    <w:rsid w:val="00BE493B"/>
    <w:rsid w:val="00BE5334"/>
    <w:rsid w:val="00BE543D"/>
    <w:rsid w:val="00BE5966"/>
    <w:rsid w:val="00BE63EC"/>
    <w:rsid w:val="00BE64B6"/>
    <w:rsid w:val="00BE6562"/>
    <w:rsid w:val="00BE6629"/>
    <w:rsid w:val="00BE6A0B"/>
    <w:rsid w:val="00BE76DD"/>
    <w:rsid w:val="00BE78CA"/>
    <w:rsid w:val="00BE7BE1"/>
    <w:rsid w:val="00BF0806"/>
    <w:rsid w:val="00BF0DDB"/>
    <w:rsid w:val="00BF13BF"/>
    <w:rsid w:val="00BF1C96"/>
    <w:rsid w:val="00BF2393"/>
    <w:rsid w:val="00BF23FF"/>
    <w:rsid w:val="00BF2AC9"/>
    <w:rsid w:val="00BF3445"/>
    <w:rsid w:val="00BF344A"/>
    <w:rsid w:val="00BF346B"/>
    <w:rsid w:val="00BF3569"/>
    <w:rsid w:val="00BF4ABE"/>
    <w:rsid w:val="00BF5013"/>
    <w:rsid w:val="00BF5D36"/>
    <w:rsid w:val="00BF65DA"/>
    <w:rsid w:val="00BF6E2E"/>
    <w:rsid w:val="00BF79DA"/>
    <w:rsid w:val="00BF7C70"/>
    <w:rsid w:val="00C00122"/>
    <w:rsid w:val="00C00AB2"/>
    <w:rsid w:val="00C017D9"/>
    <w:rsid w:val="00C01DAD"/>
    <w:rsid w:val="00C021A7"/>
    <w:rsid w:val="00C022D3"/>
    <w:rsid w:val="00C025DF"/>
    <w:rsid w:val="00C025F4"/>
    <w:rsid w:val="00C0310E"/>
    <w:rsid w:val="00C0323D"/>
    <w:rsid w:val="00C03A85"/>
    <w:rsid w:val="00C04509"/>
    <w:rsid w:val="00C049B3"/>
    <w:rsid w:val="00C04BE0"/>
    <w:rsid w:val="00C0561C"/>
    <w:rsid w:val="00C05920"/>
    <w:rsid w:val="00C061D2"/>
    <w:rsid w:val="00C073A9"/>
    <w:rsid w:val="00C07967"/>
    <w:rsid w:val="00C07F70"/>
    <w:rsid w:val="00C100FE"/>
    <w:rsid w:val="00C10486"/>
    <w:rsid w:val="00C105F9"/>
    <w:rsid w:val="00C11673"/>
    <w:rsid w:val="00C11802"/>
    <w:rsid w:val="00C11F20"/>
    <w:rsid w:val="00C12464"/>
    <w:rsid w:val="00C12538"/>
    <w:rsid w:val="00C12E2A"/>
    <w:rsid w:val="00C12F15"/>
    <w:rsid w:val="00C13409"/>
    <w:rsid w:val="00C13A95"/>
    <w:rsid w:val="00C13DF1"/>
    <w:rsid w:val="00C14AB7"/>
    <w:rsid w:val="00C1582B"/>
    <w:rsid w:val="00C15AEC"/>
    <w:rsid w:val="00C16770"/>
    <w:rsid w:val="00C170C2"/>
    <w:rsid w:val="00C17173"/>
    <w:rsid w:val="00C17677"/>
    <w:rsid w:val="00C20403"/>
    <w:rsid w:val="00C204E0"/>
    <w:rsid w:val="00C205CC"/>
    <w:rsid w:val="00C20660"/>
    <w:rsid w:val="00C2093B"/>
    <w:rsid w:val="00C217E7"/>
    <w:rsid w:val="00C21A37"/>
    <w:rsid w:val="00C2210A"/>
    <w:rsid w:val="00C22EC8"/>
    <w:rsid w:val="00C22F81"/>
    <w:rsid w:val="00C2313B"/>
    <w:rsid w:val="00C23226"/>
    <w:rsid w:val="00C23582"/>
    <w:rsid w:val="00C239F8"/>
    <w:rsid w:val="00C23D41"/>
    <w:rsid w:val="00C23F71"/>
    <w:rsid w:val="00C25064"/>
    <w:rsid w:val="00C258DD"/>
    <w:rsid w:val="00C25B3E"/>
    <w:rsid w:val="00C261E6"/>
    <w:rsid w:val="00C2670A"/>
    <w:rsid w:val="00C26C7D"/>
    <w:rsid w:val="00C26FDE"/>
    <w:rsid w:val="00C279BE"/>
    <w:rsid w:val="00C27CB0"/>
    <w:rsid w:val="00C303D7"/>
    <w:rsid w:val="00C307CE"/>
    <w:rsid w:val="00C30A16"/>
    <w:rsid w:val="00C30E86"/>
    <w:rsid w:val="00C30F44"/>
    <w:rsid w:val="00C317EA"/>
    <w:rsid w:val="00C323B6"/>
    <w:rsid w:val="00C32E8A"/>
    <w:rsid w:val="00C3374E"/>
    <w:rsid w:val="00C33796"/>
    <w:rsid w:val="00C33958"/>
    <w:rsid w:val="00C34432"/>
    <w:rsid w:val="00C34643"/>
    <w:rsid w:val="00C34715"/>
    <w:rsid w:val="00C34BE2"/>
    <w:rsid w:val="00C34D05"/>
    <w:rsid w:val="00C350B7"/>
    <w:rsid w:val="00C354F9"/>
    <w:rsid w:val="00C3561F"/>
    <w:rsid w:val="00C36545"/>
    <w:rsid w:val="00C36D57"/>
    <w:rsid w:val="00C37A51"/>
    <w:rsid w:val="00C40275"/>
    <w:rsid w:val="00C40440"/>
    <w:rsid w:val="00C40459"/>
    <w:rsid w:val="00C40884"/>
    <w:rsid w:val="00C4098E"/>
    <w:rsid w:val="00C40C26"/>
    <w:rsid w:val="00C40DE5"/>
    <w:rsid w:val="00C40F29"/>
    <w:rsid w:val="00C410A6"/>
    <w:rsid w:val="00C41A33"/>
    <w:rsid w:val="00C41A7B"/>
    <w:rsid w:val="00C41E65"/>
    <w:rsid w:val="00C43091"/>
    <w:rsid w:val="00C431B3"/>
    <w:rsid w:val="00C4325D"/>
    <w:rsid w:val="00C43815"/>
    <w:rsid w:val="00C43E63"/>
    <w:rsid w:val="00C44163"/>
    <w:rsid w:val="00C44523"/>
    <w:rsid w:val="00C44EF1"/>
    <w:rsid w:val="00C44F1C"/>
    <w:rsid w:val="00C44FC6"/>
    <w:rsid w:val="00C452C7"/>
    <w:rsid w:val="00C452F9"/>
    <w:rsid w:val="00C4630D"/>
    <w:rsid w:val="00C46315"/>
    <w:rsid w:val="00C46773"/>
    <w:rsid w:val="00C476A6"/>
    <w:rsid w:val="00C4779B"/>
    <w:rsid w:val="00C47CEB"/>
    <w:rsid w:val="00C47EE8"/>
    <w:rsid w:val="00C50933"/>
    <w:rsid w:val="00C50A44"/>
    <w:rsid w:val="00C50A93"/>
    <w:rsid w:val="00C50CDB"/>
    <w:rsid w:val="00C510D8"/>
    <w:rsid w:val="00C510ED"/>
    <w:rsid w:val="00C51132"/>
    <w:rsid w:val="00C51205"/>
    <w:rsid w:val="00C516B7"/>
    <w:rsid w:val="00C52901"/>
    <w:rsid w:val="00C52FBE"/>
    <w:rsid w:val="00C53F64"/>
    <w:rsid w:val="00C54657"/>
    <w:rsid w:val="00C54894"/>
    <w:rsid w:val="00C550B2"/>
    <w:rsid w:val="00C5514E"/>
    <w:rsid w:val="00C5528F"/>
    <w:rsid w:val="00C556B0"/>
    <w:rsid w:val="00C55B04"/>
    <w:rsid w:val="00C579B5"/>
    <w:rsid w:val="00C57A0E"/>
    <w:rsid w:val="00C57D51"/>
    <w:rsid w:val="00C60C47"/>
    <w:rsid w:val="00C60CAA"/>
    <w:rsid w:val="00C61190"/>
    <w:rsid w:val="00C61AD1"/>
    <w:rsid w:val="00C62249"/>
    <w:rsid w:val="00C635F2"/>
    <w:rsid w:val="00C63B4A"/>
    <w:rsid w:val="00C63F54"/>
    <w:rsid w:val="00C63F6C"/>
    <w:rsid w:val="00C64138"/>
    <w:rsid w:val="00C6433C"/>
    <w:rsid w:val="00C64B5B"/>
    <w:rsid w:val="00C64B5D"/>
    <w:rsid w:val="00C6519D"/>
    <w:rsid w:val="00C65369"/>
    <w:rsid w:val="00C6564B"/>
    <w:rsid w:val="00C656D2"/>
    <w:rsid w:val="00C6639C"/>
    <w:rsid w:val="00C66509"/>
    <w:rsid w:val="00C66AD6"/>
    <w:rsid w:val="00C66ECC"/>
    <w:rsid w:val="00C67097"/>
    <w:rsid w:val="00C67146"/>
    <w:rsid w:val="00C67C45"/>
    <w:rsid w:val="00C70BF1"/>
    <w:rsid w:val="00C718FF"/>
    <w:rsid w:val="00C71EBF"/>
    <w:rsid w:val="00C728A4"/>
    <w:rsid w:val="00C72CD8"/>
    <w:rsid w:val="00C72E9F"/>
    <w:rsid w:val="00C732D1"/>
    <w:rsid w:val="00C736BC"/>
    <w:rsid w:val="00C7378D"/>
    <w:rsid w:val="00C73D63"/>
    <w:rsid w:val="00C74309"/>
    <w:rsid w:val="00C748DD"/>
    <w:rsid w:val="00C74D98"/>
    <w:rsid w:val="00C75774"/>
    <w:rsid w:val="00C757B9"/>
    <w:rsid w:val="00C763EB"/>
    <w:rsid w:val="00C76AC1"/>
    <w:rsid w:val="00C76B1A"/>
    <w:rsid w:val="00C772C3"/>
    <w:rsid w:val="00C777E7"/>
    <w:rsid w:val="00C77C7A"/>
    <w:rsid w:val="00C77EE5"/>
    <w:rsid w:val="00C80DDF"/>
    <w:rsid w:val="00C82FD5"/>
    <w:rsid w:val="00C83903"/>
    <w:rsid w:val="00C83EC6"/>
    <w:rsid w:val="00C8474D"/>
    <w:rsid w:val="00C848CD"/>
    <w:rsid w:val="00C84A7B"/>
    <w:rsid w:val="00C855B6"/>
    <w:rsid w:val="00C85D75"/>
    <w:rsid w:val="00C87103"/>
    <w:rsid w:val="00C8743A"/>
    <w:rsid w:val="00C874B1"/>
    <w:rsid w:val="00C874EF"/>
    <w:rsid w:val="00C8787F"/>
    <w:rsid w:val="00C878E8"/>
    <w:rsid w:val="00C879A6"/>
    <w:rsid w:val="00C900CA"/>
    <w:rsid w:val="00C90572"/>
    <w:rsid w:val="00C90AC8"/>
    <w:rsid w:val="00C90E9A"/>
    <w:rsid w:val="00C91C80"/>
    <w:rsid w:val="00C94671"/>
    <w:rsid w:val="00C94D3A"/>
    <w:rsid w:val="00C94FDE"/>
    <w:rsid w:val="00C959C1"/>
    <w:rsid w:val="00C95F0D"/>
    <w:rsid w:val="00C974C2"/>
    <w:rsid w:val="00C979C0"/>
    <w:rsid w:val="00CA00B7"/>
    <w:rsid w:val="00CA02A1"/>
    <w:rsid w:val="00CA04D8"/>
    <w:rsid w:val="00CA100D"/>
    <w:rsid w:val="00CA100E"/>
    <w:rsid w:val="00CA1169"/>
    <w:rsid w:val="00CA16A1"/>
    <w:rsid w:val="00CA1EB2"/>
    <w:rsid w:val="00CA1ED5"/>
    <w:rsid w:val="00CA211D"/>
    <w:rsid w:val="00CA23D5"/>
    <w:rsid w:val="00CA2B42"/>
    <w:rsid w:val="00CA2CDB"/>
    <w:rsid w:val="00CA31B8"/>
    <w:rsid w:val="00CA49DD"/>
    <w:rsid w:val="00CA4EC0"/>
    <w:rsid w:val="00CA5453"/>
    <w:rsid w:val="00CA581C"/>
    <w:rsid w:val="00CA5D35"/>
    <w:rsid w:val="00CA5E12"/>
    <w:rsid w:val="00CA5E59"/>
    <w:rsid w:val="00CA6ACF"/>
    <w:rsid w:val="00CA6E1F"/>
    <w:rsid w:val="00CA7289"/>
    <w:rsid w:val="00CA759D"/>
    <w:rsid w:val="00CA7DF3"/>
    <w:rsid w:val="00CA7F13"/>
    <w:rsid w:val="00CB018B"/>
    <w:rsid w:val="00CB0714"/>
    <w:rsid w:val="00CB15BD"/>
    <w:rsid w:val="00CB1DC4"/>
    <w:rsid w:val="00CB1F62"/>
    <w:rsid w:val="00CB337B"/>
    <w:rsid w:val="00CB33A0"/>
    <w:rsid w:val="00CB3F99"/>
    <w:rsid w:val="00CB45F2"/>
    <w:rsid w:val="00CB49CA"/>
    <w:rsid w:val="00CB534F"/>
    <w:rsid w:val="00CB56FF"/>
    <w:rsid w:val="00CB588D"/>
    <w:rsid w:val="00CB66C5"/>
    <w:rsid w:val="00CB6894"/>
    <w:rsid w:val="00CB6F70"/>
    <w:rsid w:val="00CB7705"/>
    <w:rsid w:val="00CB7E04"/>
    <w:rsid w:val="00CC0103"/>
    <w:rsid w:val="00CC07A3"/>
    <w:rsid w:val="00CC12E4"/>
    <w:rsid w:val="00CC1A3A"/>
    <w:rsid w:val="00CC1BA7"/>
    <w:rsid w:val="00CC2517"/>
    <w:rsid w:val="00CC3378"/>
    <w:rsid w:val="00CC3B8E"/>
    <w:rsid w:val="00CC3D0F"/>
    <w:rsid w:val="00CC3EF5"/>
    <w:rsid w:val="00CC4056"/>
    <w:rsid w:val="00CC4376"/>
    <w:rsid w:val="00CC4666"/>
    <w:rsid w:val="00CC4685"/>
    <w:rsid w:val="00CC4749"/>
    <w:rsid w:val="00CC4BBC"/>
    <w:rsid w:val="00CC510C"/>
    <w:rsid w:val="00CC56E0"/>
    <w:rsid w:val="00CC5993"/>
    <w:rsid w:val="00CC6755"/>
    <w:rsid w:val="00CD0517"/>
    <w:rsid w:val="00CD0707"/>
    <w:rsid w:val="00CD0927"/>
    <w:rsid w:val="00CD09A8"/>
    <w:rsid w:val="00CD2154"/>
    <w:rsid w:val="00CD2A14"/>
    <w:rsid w:val="00CD2EF7"/>
    <w:rsid w:val="00CD3335"/>
    <w:rsid w:val="00CD333A"/>
    <w:rsid w:val="00CD3D54"/>
    <w:rsid w:val="00CD3E03"/>
    <w:rsid w:val="00CD4AA2"/>
    <w:rsid w:val="00CD60EF"/>
    <w:rsid w:val="00CD6497"/>
    <w:rsid w:val="00CD65AA"/>
    <w:rsid w:val="00CD675D"/>
    <w:rsid w:val="00CD6A71"/>
    <w:rsid w:val="00CD6DA2"/>
    <w:rsid w:val="00CD6E95"/>
    <w:rsid w:val="00CD7385"/>
    <w:rsid w:val="00CD752B"/>
    <w:rsid w:val="00CD791B"/>
    <w:rsid w:val="00CD7F9A"/>
    <w:rsid w:val="00CE0EA3"/>
    <w:rsid w:val="00CE102B"/>
    <w:rsid w:val="00CE142D"/>
    <w:rsid w:val="00CE1C74"/>
    <w:rsid w:val="00CE1D68"/>
    <w:rsid w:val="00CE24B4"/>
    <w:rsid w:val="00CE2C5A"/>
    <w:rsid w:val="00CE2FA8"/>
    <w:rsid w:val="00CE3426"/>
    <w:rsid w:val="00CE34BB"/>
    <w:rsid w:val="00CE3EA1"/>
    <w:rsid w:val="00CE3F90"/>
    <w:rsid w:val="00CE462B"/>
    <w:rsid w:val="00CE4709"/>
    <w:rsid w:val="00CE4BA6"/>
    <w:rsid w:val="00CE4ED0"/>
    <w:rsid w:val="00CE504B"/>
    <w:rsid w:val="00CE5E69"/>
    <w:rsid w:val="00CE5FAF"/>
    <w:rsid w:val="00CE644B"/>
    <w:rsid w:val="00CE7356"/>
    <w:rsid w:val="00CE74FA"/>
    <w:rsid w:val="00CE7C52"/>
    <w:rsid w:val="00CF0567"/>
    <w:rsid w:val="00CF0F3A"/>
    <w:rsid w:val="00CF10C8"/>
    <w:rsid w:val="00CF1A20"/>
    <w:rsid w:val="00CF2190"/>
    <w:rsid w:val="00CF21AD"/>
    <w:rsid w:val="00CF2B50"/>
    <w:rsid w:val="00CF2BCB"/>
    <w:rsid w:val="00CF2F7B"/>
    <w:rsid w:val="00CF36FC"/>
    <w:rsid w:val="00CF3FC3"/>
    <w:rsid w:val="00CF4101"/>
    <w:rsid w:val="00CF4111"/>
    <w:rsid w:val="00CF4DE5"/>
    <w:rsid w:val="00CF4F21"/>
    <w:rsid w:val="00CF5ED0"/>
    <w:rsid w:val="00CF601C"/>
    <w:rsid w:val="00CF66A8"/>
    <w:rsid w:val="00CF66CD"/>
    <w:rsid w:val="00CF682E"/>
    <w:rsid w:val="00CF6884"/>
    <w:rsid w:val="00CF699E"/>
    <w:rsid w:val="00CF6F4C"/>
    <w:rsid w:val="00D0049B"/>
    <w:rsid w:val="00D005C9"/>
    <w:rsid w:val="00D005EF"/>
    <w:rsid w:val="00D0078F"/>
    <w:rsid w:val="00D01616"/>
    <w:rsid w:val="00D0196A"/>
    <w:rsid w:val="00D02A0F"/>
    <w:rsid w:val="00D02BA4"/>
    <w:rsid w:val="00D02E43"/>
    <w:rsid w:val="00D03117"/>
    <w:rsid w:val="00D033BE"/>
    <w:rsid w:val="00D03830"/>
    <w:rsid w:val="00D03B82"/>
    <w:rsid w:val="00D03F56"/>
    <w:rsid w:val="00D0409D"/>
    <w:rsid w:val="00D04875"/>
    <w:rsid w:val="00D04C1E"/>
    <w:rsid w:val="00D04C23"/>
    <w:rsid w:val="00D0536F"/>
    <w:rsid w:val="00D06819"/>
    <w:rsid w:val="00D06859"/>
    <w:rsid w:val="00D06AD4"/>
    <w:rsid w:val="00D0759A"/>
    <w:rsid w:val="00D07821"/>
    <w:rsid w:val="00D10199"/>
    <w:rsid w:val="00D10356"/>
    <w:rsid w:val="00D108BD"/>
    <w:rsid w:val="00D10B2D"/>
    <w:rsid w:val="00D10F65"/>
    <w:rsid w:val="00D111D5"/>
    <w:rsid w:val="00D114F7"/>
    <w:rsid w:val="00D126E4"/>
    <w:rsid w:val="00D127BA"/>
    <w:rsid w:val="00D1297D"/>
    <w:rsid w:val="00D12F05"/>
    <w:rsid w:val="00D13713"/>
    <w:rsid w:val="00D1461F"/>
    <w:rsid w:val="00D14DB4"/>
    <w:rsid w:val="00D1574D"/>
    <w:rsid w:val="00D15CC3"/>
    <w:rsid w:val="00D1617D"/>
    <w:rsid w:val="00D16303"/>
    <w:rsid w:val="00D16FA9"/>
    <w:rsid w:val="00D170F4"/>
    <w:rsid w:val="00D1797F"/>
    <w:rsid w:val="00D203A6"/>
    <w:rsid w:val="00D20E98"/>
    <w:rsid w:val="00D215A4"/>
    <w:rsid w:val="00D221BF"/>
    <w:rsid w:val="00D224D0"/>
    <w:rsid w:val="00D23FAC"/>
    <w:rsid w:val="00D24D7C"/>
    <w:rsid w:val="00D24EEE"/>
    <w:rsid w:val="00D24F30"/>
    <w:rsid w:val="00D2514E"/>
    <w:rsid w:val="00D25C6F"/>
    <w:rsid w:val="00D269C9"/>
    <w:rsid w:val="00D27876"/>
    <w:rsid w:val="00D27887"/>
    <w:rsid w:val="00D27B1A"/>
    <w:rsid w:val="00D310B4"/>
    <w:rsid w:val="00D31375"/>
    <w:rsid w:val="00D31D89"/>
    <w:rsid w:val="00D31F3A"/>
    <w:rsid w:val="00D324EB"/>
    <w:rsid w:val="00D32A1A"/>
    <w:rsid w:val="00D32E87"/>
    <w:rsid w:val="00D32F8E"/>
    <w:rsid w:val="00D33370"/>
    <w:rsid w:val="00D3340E"/>
    <w:rsid w:val="00D338D3"/>
    <w:rsid w:val="00D33F2C"/>
    <w:rsid w:val="00D34284"/>
    <w:rsid w:val="00D342B4"/>
    <w:rsid w:val="00D34F26"/>
    <w:rsid w:val="00D35553"/>
    <w:rsid w:val="00D35604"/>
    <w:rsid w:val="00D35C43"/>
    <w:rsid w:val="00D40141"/>
    <w:rsid w:val="00D4109C"/>
    <w:rsid w:val="00D4115E"/>
    <w:rsid w:val="00D412F4"/>
    <w:rsid w:val="00D41580"/>
    <w:rsid w:val="00D420D2"/>
    <w:rsid w:val="00D43315"/>
    <w:rsid w:val="00D43E7D"/>
    <w:rsid w:val="00D44044"/>
    <w:rsid w:val="00D449E0"/>
    <w:rsid w:val="00D44B8C"/>
    <w:rsid w:val="00D44DE5"/>
    <w:rsid w:val="00D450CA"/>
    <w:rsid w:val="00D45529"/>
    <w:rsid w:val="00D459C7"/>
    <w:rsid w:val="00D4676F"/>
    <w:rsid w:val="00D46DCA"/>
    <w:rsid w:val="00D46DD3"/>
    <w:rsid w:val="00D472EE"/>
    <w:rsid w:val="00D47453"/>
    <w:rsid w:val="00D4760B"/>
    <w:rsid w:val="00D478BD"/>
    <w:rsid w:val="00D47EAB"/>
    <w:rsid w:val="00D47FD9"/>
    <w:rsid w:val="00D50841"/>
    <w:rsid w:val="00D50E5B"/>
    <w:rsid w:val="00D50FE2"/>
    <w:rsid w:val="00D515FE"/>
    <w:rsid w:val="00D5187A"/>
    <w:rsid w:val="00D523E2"/>
    <w:rsid w:val="00D524D5"/>
    <w:rsid w:val="00D52850"/>
    <w:rsid w:val="00D52B25"/>
    <w:rsid w:val="00D53E38"/>
    <w:rsid w:val="00D54074"/>
    <w:rsid w:val="00D54214"/>
    <w:rsid w:val="00D54AC4"/>
    <w:rsid w:val="00D552A4"/>
    <w:rsid w:val="00D5566E"/>
    <w:rsid w:val="00D55EF5"/>
    <w:rsid w:val="00D5670A"/>
    <w:rsid w:val="00D5679D"/>
    <w:rsid w:val="00D567CE"/>
    <w:rsid w:val="00D568CF"/>
    <w:rsid w:val="00D56D6E"/>
    <w:rsid w:val="00D56DDB"/>
    <w:rsid w:val="00D575FE"/>
    <w:rsid w:val="00D57C1A"/>
    <w:rsid w:val="00D6075D"/>
    <w:rsid w:val="00D60B47"/>
    <w:rsid w:val="00D60BF8"/>
    <w:rsid w:val="00D611E7"/>
    <w:rsid w:val="00D61392"/>
    <w:rsid w:val="00D61729"/>
    <w:rsid w:val="00D621C4"/>
    <w:rsid w:val="00D62A1F"/>
    <w:rsid w:val="00D62B4F"/>
    <w:rsid w:val="00D62F74"/>
    <w:rsid w:val="00D632F6"/>
    <w:rsid w:val="00D639D1"/>
    <w:rsid w:val="00D64269"/>
    <w:rsid w:val="00D645E0"/>
    <w:rsid w:val="00D64D0B"/>
    <w:rsid w:val="00D64E99"/>
    <w:rsid w:val="00D65778"/>
    <w:rsid w:val="00D65842"/>
    <w:rsid w:val="00D6640A"/>
    <w:rsid w:val="00D6650C"/>
    <w:rsid w:val="00D66697"/>
    <w:rsid w:val="00D703E7"/>
    <w:rsid w:val="00D70451"/>
    <w:rsid w:val="00D70840"/>
    <w:rsid w:val="00D70ACA"/>
    <w:rsid w:val="00D70D3E"/>
    <w:rsid w:val="00D70FF8"/>
    <w:rsid w:val="00D717DD"/>
    <w:rsid w:val="00D72A0D"/>
    <w:rsid w:val="00D72FDB"/>
    <w:rsid w:val="00D73CDA"/>
    <w:rsid w:val="00D744A5"/>
    <w:rsid w:val="00D744D0"/>
    <w:rsid w:val="00D74B94"/>
    <w:rsid w:val="00D74DED"/>
    <w:rsid w:val="00D74FE0"/>
    <w:rsid w:val="00D75EB3"/>
    <w:rsid w:val="00D75FCD"/>
    <w:rsid w:val="00D76A75"/>
    <w:rsid w:val="00D77002"/>
    <w:rsid w:val="00D77305"/>
    <w:rsid w:val="00D7737A"/>
    <w:rsid w:val="00D8087C"/>
    <w:rsid w:val="00D80ABC"/>
    <w:rsid w:val="00D80E4C"/>
    <w:rsid w:val="00D815FA"/>
    <w:rsid w:val="00D81C29"/>
    <w:rsid w:val="00D81C2E"/>
    <w:rsid w:val="00D81E81"/>
    <w:rsid w:val="00D83690"/>
    <w:rsid w:val="00D83CF8"/>
    <w:rsid w:val="00D83D76"/>
    <w:rsid w:val="00D83DF1"/>
    <w:rsid w:val="00D8693F"/>
    <w:rsid w:val="00D86E5C"/>
    <w:rsid w:val="00D873EB"/>
    <w:rsid w:val="00D875DA"/>
    <w:rsid w:val="00D9043D"/>
    <w:rsid w:val="00D90A07"/>
    <w:rsid w:val="00D90FCA"/>
    <w:rsid w:val="00D9143B"/>
    <w:rsid w:val="00D914A9"/>
    <w:rsid w:val="00D914C9"/>
    <w:rsid w:val="00D91ADC"/>
    <w:rsid w:val="00D91D00"/>
    <w:rsid w:val="00D9276A"/>
    <w:rsid w:val="00D928A5"/>
    <w:rsid w:val="00D931B3"/>
    <w:rsid w:val="00D93415"/>
    <w:rsid w:val="00D93731"/>
    <w:rsid w:val="00D94385"/>
    <w:rsid w:val="00D9443A"/>
    <w:rsid w:val="00D9451D"/>
    <w:rsid w:val="00D94C6D"/>
    <w:rsid w:val="00D94EC4"/>
    <w:rsid w:val="00D95095"/>
    <w:rsid w:val="00D9530E"/>
    <w:rsid w:val="00D95367"/>
    <w:rsid w:val="00D953D7"/>
    <w:rsid w:val="00D96158"/>
    <w:rsid w:val="00D961A9"/>
    <w:rsid w:val="00D96207"/>
    <w:rsid w:val="00D96A25"/>
    <w:rsid w:val="00D976C7"/>
    <w:rsid w:val="00D97A2D"/>
    <w:rsid w:val="00DA0B51"/>
    <w:rsid w:val="00DA199A"/>
    <w:rsid w:val="00DA1EDE"/>
    <w:rsid w:val="00DA22B1"/>
    <w:rsid w:val="00DA2377"/>
    <w:rsid w:val="00DA2470"/>
    <w:rsid w:val="00DA2626"/>
    <w:rsid w:val="00DA2CA1"/>
    <w:rsid w:val="00DA3C02"/>
    <w:rsid w:val="00DA3F42"/>
    <w:rsid w:val="00DA4745"/>
    <w:rsid w:val="00DA530C"/>
    <w:rsid w:val="00DA54BA"/>
    <w:rsid w:val="00DA6218"/>
    <w:rsid w:val="00DA66B9"/>
    <w:rsid w:val="00DA74D0"/>
    <w:rsid w:val="00DA7E54"/>
    <w:rsid w:val="00DB0242"/>
    <w:rsid w:val="00DB0403"/>
    <w:rsid w:val="00DB102D"/>
    <w:rsid w:val="00DB11D1"/>
    <w:rsid w:val="00DB2121"/>
    <w:rsid w:val="00DB2389"/>
    <w:rsid w:val="00DB30EB"/>
    <w:rsid w:val="00DB36CB"/>
    <w:rsid w:val="00DB393D"/>
    <w:rsid w:val="00DB3B6C"/>
    <w:rsid w:val="00DB412C"/>
    <w:rsid w:val="00DB4378"/>
    <w:rsid w:val="00DB4700"/>
    <w:rsid w:val="00DB4753"/>
    <w:rsid w:val="00DB4782"/>
    <w:rsid w:val="00DB48D2"/>
    <w:rsid w:val="00DB526F"/>
    <w:rsid w:val="00DB57D1"/>
    <w:rsid w:val="00DB5F8E"/>
    <w:rsid w:val="00DB6910"/>
    <w:rsid w:val="00DB6DD0"/>
    <w:rsid w:val="00DB7177"/>
    <w:rsid w:val="00DB7391"/>
    <w:rsid w:val="00DB7999"/>
    <w:rsid w:val="00DC02B8"/>
    <w:rsid w:val="00DC03E4"/>
    <w:rsid w:val="00DC0773"/>
    <w:rsid w:val="00DC0A97"/>
    <w:rsid w:val="00DC0CA7"/>
    <w:rsid w:val="00DC0E77"/>
    <w:rsid w:val="00DC203C"/>
    <w:rsid w:val="00DC208D"/>
    <w:rsid w:val="00DC289A"/>
    <w:rsid w:val="00DC3076"/>
    <w:rsid w:val="00DC34A3"/>
    <w:rsid w:val="00DC5586"/>
    <w:rsid w:val="00DC5B94"/>
    <w:rsid w:val="00DC5E1E"/>
    <w:rsid w:val="00DC60C8"/>
    <w:rsid w:val="00DC641E"/>
    <w:rsid w:val="00DC6ABB"/>
    <w:rsid w:val="00DC7077"/>
    <w:rsid w:val="00DC71E0"/>
    <w:rsid w:val="00DC748A"/>
    <w:rsid w:val="00DC772C"/>
    <w:rsid w:val="00DC7A4D"/>
    <w:rsid w:val="00DC7ED8"/>
    <w:rsid w:val="00DD003E"/>
    <w:rsid w:val="00DD15DF"/>
    <w:rsid w:val="00DD1F18"/>
    <w:rsid w:val="00DD28CE"/>
    <w:rsid w:val="00DD28EB"/>
    <w:rsid w:val="00DD29B8"/>
    <w:rsid w:val="00DD2D61"/>
    <w:rsid w:val="00DD2EEB"/>
    <w:rsid w:val="00DD3371"/>
    <w:rsid w:val="00DD37C2"/>
    <w:rsid w:val="00DD3C0A"/>
    <w:rsid w:val="00DD408F"/>
    <w:rsid w:val="00DD4874"/>
    <w:rsid w:val="00DD4E17"/>
    <w:rsid w:val="00DD520C"/>
    <w:rsid w:val="00DD55B6"/>
    <w:rsid w:val="00DD5E10"/>
    <w:rsid w:val="00DD5E20"/>
    <w:rsid w:val="00DD6645"/>
    <w:rsid w:val="00DD66BD"/>
    <w:rsid w:val="00DD66EE"/>
    <w:rsid w:val="00DD707A"/>
    <w:rsid w:val="00DD70F7"/>
    <w:rsid w:val="00DD7D7F"/>
    <w:rsid w:val="00DD7DC5"/>
    <w:rsid w:val="00DE0332"/>
    <w:rsid w:val="00DE0339"/>
    <w:rsid w:val="00DE080F"/>
    <w:rsid w:val="00DE0CA8"/>
    <w:rsid w:val="00DE0E8F"/>
    <w:rsid w:val="00DE0F85"/>
    <w:rsid w:val="00DE2A3D"/>
    <w:rsid w:val="00DE3017"/>
    <w:rsid w:val="00DE32BA"/>
    <w:rsid w:val="00DE3543"/>
    <w:rsid w:val="00DE35B0"/>
    <w:rsid w:val="00DE3E8B"/>
    <w:rsid w:val="00DE4DC1"/>
    <w:rsid w:val="00DE574A"/>
    <w:rsid w:val="00DE5CB7"/>
    <w:rsid w:val="00DE5DE8"/>
    <w:rsid w:val="00DE60D4"/>
    <w:rsid w:val="00DE6A52"/>
    <w:rsid w:val="00DE7067"/>
    <w:rsid w:val="00DE76F9"/>
    <w:rsid w:val="00DE7871"/>
    <w:rsid w:val="00DE7A7D"/>
    <w:rsid w:val="00DE7CB1"/>
    <w:rsid w:val="00DE7CE9"/>
    <w:rsid w:val="00DE7F1F"/>
    <w:rsid w:val="00DF00D3"/>
    <w:rsid w:val="00DF096A"/>
    <w:rsid w:val="00DF1508"/>
    <w:rsid w:val="00DF1C15"/>
    <w:rsid w:val="00DF28C1"/>
    <w:rsid w:val="00DF2F04"/>
    <w:rsid w:val="00DF3407"/>
    <w:rsid w:val="00DF34B1"/>
    <w:rsid w:val="00DF3B73"/>
    <w:rsid w:val="00DF3CAB"/>
    <w:rsid w:val="00DF3FE4"/>
    <w:rsid w:val="00DF41F3"/>
    <w:rsid w:val="00DF4335"/>
    <w:rsid w:val="00DF440B"/>
    <w:rsid w:val="00DF471C"/>
    <w:rsid w:val="00DF480A"/>
    <w:rsid w:val="00DF5032"/>
    <w:rsid w:val="00DF5046"/>
    <w:rsid w:val="00DF5630"/>
    <w:rsid w:val="00DF5AC3"/>
    <w:rsid w:val="00DF650A"/>
    <w:rsid w:val="00DF6F96"/>
    <w:rsid w:val="00DF7E3A"/>
    <w:rsid w:val="00E0082B"/>
    <w:rsid w:val="00E01058"/>
    <w:rsid w:val="00E01259"/>
    <w:rsid w:val="00E0215E"/>
    <w:rsid w:val="00E02475"/>
    <w:rsid w:val="00E02858"/>
    <w:rsid w:val="00E02F71"/>
    <w:rsid w:val="00E02FBE"/>
    <w:rsid w:val="00E03016"/>
    <w:rsid w:val="00E0370D"/>
    <w:rsid w:val="00E03CDF"/>
    <w:rsid w:val="00E03ED3"/>
    <w:rsid w:val="00E0494C"/>
    <w:rsid w:val="00E04B84"/>
    <w:rsid w:val="00E0501C"/>
    <w:rsid w:val="00E05510"/>
    <w:rsid w:val="00E05812"/>
    <w:rsid w:val="00E05B59"/>
    <w:rsid w:val="00E05D46"/>
    <w:rsid w:val="00E05F7E"/>
    <w:rsid w:val="00E06511"/>
    <w:rsid w:val="00E06CF1"/>
    <w:rsid w:val="00E06EED"/>
    <w:rsid w:val="00E07720"/>
    <w:rsid w:val="00E078BE"/>
    <w:rsid w:val="00E07CEE"/>
    <w:rsid w:val="00E1045A"/>
    <w:rsid w:val="00E1051E"/>
    <w:rsid w:val="00E106DC"/>
    <w:rsid w:val="00E10A11"/>
    <w:rsid w:val="00E10C02"/>
    <w:rsid w:val="00E11DC1"/>
    <w:rsid w:val="00E1366E"/>
    <w:rsid w:val="00E138AC"/>
    <w:rsid w:val="00E13910"/>
    <w:rsid w:val="00E141A7"/>
    <w:rsid w:val="00E1449D"/>
    <w:rsid w:val="00E1468A"/>
    <w:rsid w:val="00E153E9"/>
    <w:rsid w:val="00E15471"/>
    <w:rsid w:val="00E1580D"/>
    <w:rsid w:val="00E16105"/>
    <w:rsid w:val="00E1652D"/>
    <w:rsid w:val="00E16969"/>
    <w:rsid w:val="00E16F1D"/>
    <w:rsid w:val="00E172A8"/>
    <w:rsid w:val="00E174AA"/>
    <w:rsid w:val="00E177AB"/>
    <w:rsid w:val="00E1794A"/>
    <w:rsid w:val="00E20045"/>
    <w:rsid w:val="00E207F1"/>
    <w:rsid w:val="00E20866"/>
    <w:rsid w:val="00E20E36"/>
    <w:rsid w:val="00E21206"/>
    <w:rsid w:val="00E217A1"/>
    <w:rsid w:val="00E21847"/>
    <w:rsid w:val="00E21C22"/>
    <w:rsid w:val="00E22070"/>
    <w:rsid w:val="00E223CC"/>
    <w:rsid w:val="00E22ADA"/>
    <w:rsid w:val="00E22F1A"/>
    <w:rsid w:val="00E232D3"/>
    <w:rsid w:val="00E235F0"/>
    <w:rsid w:val="00E237CA"/>
    <w:rsid w:val="00E23B77"/>
    <w:rsid w:val="00E23C5D"/>
    <w:rsid w:val="00E2428E"/>
    <w:rsid w:val="00E24529"/>
    <w:rsid w:val="00E24569"/>
    <w:rsid w:val="00E246A6"/>
    <w:rsid w:val="00E24976"/>
    <w:rsid w:val="00E2579D"/>
    <w:rsid w:val="00E2599E"/>
    <w:rsid w:val="00E2600C"/>
    <w:rsid w:val="00E263D3"/>
    <w:rsid w:val="00E2659C"/>
    <w:rsid w:val="00E26F74"/>
    <w:rsid w:val="00E278E7"/>
    <w:rsid w:val="00E27A60"/>
    <w:rsid w:val="00E27C4A"/>
    <w:rsid w:val="00E301B3"/>
    <w:rsid w:val="00E3067C"/>
    <w:rsid w:val="00E309C6"/>
    <w:rsid w:val="00E30DE5"/>
    <w:rsid w:val="00E3229E"/>
    <w:rsid w:val="00E322CC"/>
    <w:rsid w:val="00E327D0"/>
    <w:rsid w:val="00E32934"/>
    <w:rsid w:val="00E32BF3"/>
    <w:rsid w:val="00E32CE7"/>
    <w:rsid w:val="00E33611"/>
    <w:rsid w:val="00E33813"/>
    <w:rsid w:val="00E338B6"/>
    <w:rsid w:val="00E338ED"/>
    <w:rsid w:val="00E340A8"/>
    <w:rsid w:val="00E344F6"/>
    <w:rsid w:val="00E352EF"/>
    <w:rsid w:val="00E35C7C"/>
    <w:rsid w:val="00E36B65"/>
    <w:rsid w:val="00E36BC7"/>
    <w:rsid w:val="00E37064"/>
    <w:rsid w:val="00E370B4"/>
    <w:rsid w:val="00E3773E"/>
    <w:rsid w:val="00E37AC4"/>
    <w:rsid w:val="00E37F6B"/>
    <w:rsid w:val="00E4078E"/>
    <w:rsid w:val="00E40A82"/>
    <w:rsid w:val="00E40D8D"/>
    <w:rsid w:val="00E4108C"/>
    <w:rsid w:val="00E41906"/>
    <w:rsid w:val="00E421DB"/>
    <w:rsid w:val="00E4287E"/>
    <w:rsid w:val="00E42A34"/>
    <w:rsid w:val="00E42F8E"/>
    <w:rsid w:val="00E438A0"/>
    <w:rsid w:val="00E438EE"/>
    <w:rsid w:val="00E43C0A"/>
    <w:rsid w:val="00E44643"/>
    <w:rsid w:val="00E446A4"/>
    <w:rsid w:val="00E44809"/>
    <w:rsid w:val="00E44A9C"/>
    <w:rsid w:val="00E44C9E"/>
    <w:rsid w:val="00E45572"/>
    <w:rsid w:val="00E45675"/>
    <w:rsid w:val="00E4583D"/>
    <w:rsid w:val="00E4593B"/>
    <w:rsid w:val="00E45A2E"/>
    <w:rsid w:val="00E45B8F"/>
    <w:rsid w:val="00E46B71"/>
    <w:rsid w:val="00E511AC"/>
    <w:rsid w:val="00E5153E"/>
    <w:rsid w:val="00E51627"/>
    <w:rsid w:val="00E518E9"/>
    <w:rsid w:val="00E51958"/>
    <w:rsid w:val="00E519FD"/>
    <w:rsid w:val="00E521D5"/>
    <w:rsid w:val="00E52246"/>
    <w:rsid w:val="00E54C10"/>
    <w:rsid w:val="00E552DA"/>
    <w:rsid w:val="00E55325"/>
    <w:rsid w:val="00E559AF"/>
    <w:rsid w:val="00E55B3F"/>
    <w:rsid w:val="00E55B8C"/>
    <w:rsid w:val="00E55EF7"/>
    <w:rsid w:val="00E5640A"/>
    <w:rsid w:val="00E569B0"/>
    <w:rsid w:val="00E56FF9"/>
    <w:rsid w:val="00E5791B"/>
    <w:rsid w:val="00E57A49"/>
    <w:rsid w:val="00E57EF4"/>
    <w:rsid w:val="00E60121"/>
    <w:rsid w:val="00E60B6E"/>
    <w:rsid w:val="00E61793"/>
    <w:rsid w:val="00E6195C"/>
    <w:rsid w:val="00E62181"/>
    <w:rsid w:val="00E6377A"/>
    <w:rsid w:val="00E658A5"/>
    <w:rsid w:val="00E65911"/>
    <w:rsid w:val="00E65EF4"/>
    <w:rsid w:val="00E66016"/>
    <w:rsid w:val="00E667D6"/>
    <w:rsid w:val="00E67395"/>
    <w:rsid w:val="00E679E1"/>
    <w:rsid w:val="00E67AF6"/>
    <w:rsid w:val="00E67E64"/>
    <w:rsid w:val="00E67FB5"/>
    <w:rsid w:val="00E70525"/>
    <w:rsid w:val="00E70BD6"/>
    <w:rsid w:val="00E70DD6"/>
    <w:rsid w:val="00E71DD6"/>
    <w:rsid w:val="00E72B35"/>
    <w:rsid w:val="00E72D0D"/>
    <w:rsid w:val="00E734CE"/>
    <w:rsid w:val="00E73943"/>
    <w:rsid w:val="00E73BE6"/>
    <w:rsid w:val="00E73C70"/>
    <w:rsid w:val="00E74069"/>
    <w:rsid w:val="00E741C1"/>
    <w:rsid w:val="00E741F1"/>
    <w:rsid w:val="00E74363"/>
    <w:rsid w:val="00E74685"/>
    <w:rsid w:val="00E74A6B"/>
    <w:rsid w:val="00E74D67"/>
    <w:rsid w:val="00E754B5"/>
    <w:rsid w:val="00E7557F"/>
    <w:rsid w:val="00E7592E"/>
    <w:rsid w:val="00E759F8"/>
    <w:rsid w:val="00E77225"/>
    <w:rsid w:val="00E80016"/>
    <w:rsid w:val="00E80664"/>
    <w:rsid w:val="00E8109B"/>
    <w:rsid w:val="00E815DF"/>
    <w:rsid w:val="00E818F1"/>
    <w:rsid w:val="00E81913"/>
    <w:rsid w:val="00E81E94"/>
    <w:rsid w:val="00E82528"/>
    <w:rsid w:val="00E826B1"/>
    <w:rsid w:val="00E835B8"/>
    <w:rsid w:val="00E83704"/>
    <w:rsid w:val="00E844A5"/>
    <w:rsid w:val="00E84C7C"/>
    <w:rsid w:val="00E85AC5"/>
    <w:rsid w:val="00E85C2D"/>
    <w:rsid w:val="00E85E15"/>
    <w:rsid w:val="00E86C79"/>
    <w:rsid w:val="00E8722E"/>
    <w:rsid w:val="00E873C9"/>
    <w:rsid w:val="00E87652"/>
    <w:rsid w:val="00E8785D"/>
    <w:rsid w:val="00E87F9A"/>
    <w:rsid w:val="00E9002E"/>
    <w:rsid w:val="00E9067D"/>
    <w:rsid w:val="00E9091D"/>
    <w:rsid w:val="00E90953"/>
    <w:rsid w:val="00E90EA9"/>
    <w:rsid w:val="00E90EDF"/>
    <w:rsid w:val="00E9133F"/>
    <w:rsid w:val="00E91A82"/>
    <w:rsid w:val="00E91D2B"/>
    <w:rsid w:val="00E91D81"/>
    <w:rsid w:val="00E93A1B"/>
    <w:rsid w:val="00E957B3"/>
    <w:rsid w:val="00E95DDA"/>
    <w:rsid w:val="00E96111"/>
    <w:rsid w:val="00E965EE"/>
    <w:rsid w:val="00E97058"/>
    <w:rsid w:val="00E971AE"/>
    <w:rsid w:val="00E977C7"/>
    <w:rsid w:val="00E97BDE"/>
    <w:rsid w:val="00EA0CE2"/>
    <w:rsid w:val="00EA154C"/>
    <w:rsid w:val="00EA202F"/>
    <w:rsid w:val="00EA29F8"/>
    <w:rsid w:val="00EA2B84"/>
    <w:rsid w:val="00EA2D07"/>
    <w:rsid w:val="00EA4610"/>
    <w:rsid w:val="00EA4EC9"/>
    <w:rsid w:val="00EA51E5"/>
    <w:rsid w:val="00EA571E"/>
    <w:rsid w:val="00EA5F19"/>
    <w:rsid w:val="00EA5FB0"/>
    <w:rsid w:val="00EA63A5"/>
    <w:rsid w:val="00EA65EC"/>
    <w:rsid w:val="00EA68C4"/>
    <w:rsid w:val="00EA75AF"/>
    <w:rsid w:val="00EB0759"/>
    <w:rsid w:val="00EB0B89"/>
    <w:rsid w:val="00EB1803"/>
    <w:rsid w:val="00EB189D"/>
    <w:rsid w:val="00EB1FAE"/>
    <w:rsid w:val="00EB27DD"/>
    <w:rsid w:val="00EB2CFA"/>
    <w:rsid w:val="00EB2D3D"/>
    <w:rsid w:val="00EB44E4"/>
    <w:rsid w:val="00EB4687"/>
    <w:rsid w:val="00EB46A1"/>
    <w:rsid w:val="00EB4B93"/>
    <w:rsid w:val="00EB4D95"/>
    <w:rsid w:val="00EB521A"/>
    <w:rsid w:val="00EB6118"/>
    <w:rsid w:val="00EB6156"/>
    <w:rsid w:val="00EB6190"/>
    <w:rsid w:val="00EB6464"/>
    <w:rsid w:val="00EB6814"/>
    <w:rsid w:val="00EB6C2B"/>
    <w:rsid w:val="00EB6E4D"/>
    <w:rsid w:val="00EB70EB"/>
    <w:rsid w:val="00EB75CC"/>
    <w:rsid w:val="00EB772E"/>
    <w:rsid w:val="00EB785E"/>
    <w:rsid w:val="00EB79A7"/>
    <w:rsid w:val="00EB7CB2"/>
    <w:rsid w:val="00EB7D28"/>
    <w:rsid w:val="00EC0277"/>
    <w:rsid w:val="00EC0A49"/>
    <w:rsid w:val="00EC0CB5"/>
    <w:rsid w:val="00EC0DFE"/>
    <w:rsid w:val="00EC17D1"/>
    <w:rsid w:val="00EC1999"/>
    <w:rsid w:val="00EC2C5D"/>
    <w:rsid w:val="00EC307B"/>
    <w:rsid w:val="00EC349C"/>
    <w:rsid w:val="00EC39EA"/>
    <w:rsid w:val="00EC3B2D"/>
    <w:rsid w:val="00EC3C33"/>
    <w:rsid w:val="00EC4242"/>
    <w:rsid w:val="00EC501B"/>
    <w:rsid w:val="00EC50F5"/>
    <w:rsid w:val="00EC5B3F"/>
    <w:rsid w:val="00EC6541"/>
    <w:rsid w:val="00EC6AF8"/>
    <w:rsid w:val="00EC71AD"/>
    <w:rsid w:val="00EC7222"/>
    <w:rsid w:val="00EC73A4"/>
    <w:rsid w:val="00EC759B"/>
    <w:rsid w:val="00EC77C1"/>
    <w:rsid w:val="00EC7BF9"/>
    <w:rsid w:val="00ED113F"/>
    <w:rsid w:val="00ED1288"/>
    <w:rsid w:val="00ED1314"/>
    <w:rsid w:val="00ED1384"/>
    <w:rsid w:val="00ED18AF"/>
    <w:rsid w:val="00ED1D5F"/>
    <w:rsid w:val="00ED295E"/>
    <w:rsid w:val="00ED2CC1"/>
    <w:rsid w:val="00ED3050"/>
    <w:rsid w:val="00ED3097"/>
    <w:rsid w:val="00ED3235"/>
    <w:rsid w:val="00ED333A"/>
    <w:rsid w:val="00ED360C"/>
    <w:rsid w:val="00ED3674"/>
    <w:rsid w:val="00ED37A0"/>
    <w:rsid w:val="00ED39D8"/>
    <w:rsid w:val="00ED40C8"/>
    <w:rsid w:val="00ED4BD3"/>
    <w:rsid w:val="00ED517D"/>
    <w:rsid w:val="00ED5F94"/>
    <w:rsid w:val="00ED5FBD"/>
    <w:rsid w:val="00ED6127"/>
    <w:rsid w:val="00ED6326"/>
    <w:rsid w:val="00ED647A"/>
    <w:rsid w:val="00ED6D05"/>
    <w:rsid w:val="00ED6E56"/>
    <w:rsid w:val="00ED6FE5"/>
    <w:rsid w:val="00ED7D3D"/>
    <w:rsid w:val="00ED7E49"/>
    <w:rsid w:val="00EE08C1"/>
    <w:rsid w:val="00EE0E77"/>
    <w:rsid w:val="00EE1903"/>
    <w:rsid w:val="00EE1930"/>
    <w:rsid w:val="00EE2152"/>
    <w:rsid w:val="00EE2B9B"/>
    <w:rsid w:val="00EE39DE"/>
    <w:rsid w:val="00EE3DD0"/>
    <w:rsid w:val="00EE45E7"/>
    <w:rsid w:val="00EE466B"/>
    <w:rsid w:val="00EE5028"/>
    <w:rsid w:val="00EE511A"/>
    <w:rsid w:val="00EE5317"/>
    <w:rsid w:val="00EE5D07"/>
    <w:rsid w:val="00EE5D13"/>
    <w:rsid w:val="00EE5E0B"/>
    <w:rsid w:val="00EE5EAA"/>
    <w:rsid w:val="00EE6135"/>
    <w:rsid w:val="00EE6153"/>
    <w:rsid w:val="00EE6343"/>
    <w:rsid w:val="00EE686D"/>
    <w:rsid w:val="00EE69A1"/>
    <w:rsid w:val="00EE76C1"/>
    <w:rsid w:val="00EE78AE"/>
    <w:rsid w:val="00EE7B05"/>
    <w:rsid w:val="00EF00E4"/>
    <w:rsid w:val="00EF0B39"/>
    <w:rsid w:val="00EF0D2F"/>
    <w:rsid w:val="00EF1134"/>
    <w:rsid w:val="00EF1227"/>
    <w:rsid w:val="00EF161E"/>
    <w:rsid w:val="00EF16D5"/>
    <w:rsid w:val="00EF17E9"/>
    <w:rsid w:val="00EF1E86"/>
    <w:rsid w:val="00EF1E94"/>
    <w:rsid w:val="00EF1F84"/>
    <w:rsid w:val="00EF21F2"/>
    <w:rsid w:val="00EF2434"/>
    <w:rsid w:val="00EF295E"/>
    <w:rsid w:val="00EF350C"/>
    <w:rsid w:val="00EF351F"/>
    <w:rsid w:val="00EF381B"/>
    <w:rsid w:val="00EF3FBC"/>
    <w:rsid w:val="00EF5048"/>
    <w:rsid w:val="00EF581E"/>
    <w:rsid w:val="00EF5A19"/>
    <w:rsid w:val="00EF5FD1"/>
    <w:rsid w:val="00EF65B9"/>
    <w:rsid w:val="00EF6971"/>
    <w:rsid w:val="00EF6B8E"/>
    <w:rsid w:val="00EF726E"/>
    <w:rsid w:val="00F01126"/>
    <w:rsid w:val="00F012FA"/>
    <w:rsid w:val="00F016EE"/>
    <w:rsid w:val="00F01786"/>
    <w:rsid w:val="00F01DBA"/>
    <w:rsid w:val="00F02245"/>
    <w:rsid w:val="00F0272B"/>
    <w:rsid w:val="00F02BDB"/>
    <w:rsid w:val="00F02DF3"/>
    <w:rsid w:val="00F033D1"/>
    <w:rsid w:val="00F03598"/>
    <w:rsid w:val="00F03D4E"/>
    <w:rsid w:val="00F044E9"/>
    <w:rsid w:val="00F0468A"/>
    <w:rsid w:val="00F04DA1"/>
    <w:rsid w:val="00F05539"/>
    <w:rsid w:val="00F056A0"/>
    <w:rsid w:val="00F06763"/>
    <w:rsid w:val="00F069D2"/>
    <w:rsid w:val="00F0711B"/>
    <w:rsid w:val="00F074BC"/>
    <w:rsid w:val="00F076C7"/>
    <w:rsid w:val="00F0776E"/>
    <w:rsid w:val="00F079AE"/>
    <w:rsid w:val="00F10C5D"/>
    <w:rsid w:val="00F10E07"/>
    <w:rsid w:val="00F10FAC"/>
    <w:rsid w:val="00F11205"/>
    <w:rsid w:val="00F115E5"/>
    <w:rsid w:val="00F123EA"/>
    <w:rsid w:val="00F12649"/>
    <w:rsid w:val="00F129F7"/>
    <w:rsid w:val="00F12E11"/>
    <w:rsid w:val="00F1320B"/>
    <w:rsid w:val="00F13774"/>
    <w:rsid w:val="00F13CDB"/>
    <w:rsid w:val="00F14441"/>
    <w:rsid w:val="00F1543D"/>
    <w:rsid w:val="00F16FA9"/>
    <w:rsid w:val="00F17115"/>
    <w:rsid w:val="00F172BE"/>
    <w:rsid w:val="00F17A98"/>
    <w:rsid w:val="00F17F67"/>
    <w:rsid w:val="00F17FCC"/>
    <w:rsid w:val="00F20813"/>
    <w:rsid w:val="00F20AA8"/>
    <w:rsid w:val="00F20E60"/>
    <w:rsid w:val="00F2141A"/>
    <w:rsid w:val="00F2186A"/>
    <w:rsid w:val="00F21B5A"/>
    <w:rsid w:val="00F2216A"/>
    <w:rsid w:val="00F221CC"/>
    <w:rsid w:val="00F22502"/>
    <w:rsid w:val="00F226EF"/>
    <w:rsid w:val="00F243DB"/>
    <w:rsid w:val="00F2451C"/>
    <w:rsid w:val="00F24528"/>
    <w:rsid w:val="00F24780"/>
    <w:rsid w:val="00F24A97"/>
    <w:rsid w:val="00F251C3"/>
    <w:rsid w:val="00F26649"/>
    <w:rsid w:val="00F267E0"/>
    <w:rsid w:val="00F270A3"/>
    <w:rsid w:val="00F27266"/>
    <w:rsid w:val="00F27F09"/>
    <w:rsid w:val="00F30C20"/>
    <w:rsid w:val="00F31667"/>
    <w:rsid w:val="00F31AB0"/>
    <w:rsid w:val="00F31CB3"/>
    <w:rsid w:val="00F321DE"/>
    <w:rsid w:val="00F325F5"/>
    <w:rsid w:val="00F328B7"/>
    <w:rsid w:val="00F32ED9"/>
    <w:rsid w:val="00F32FB7"/>
    <w:rsid w:val="00F330ED"/>
    <w:rsid w:val="00F3333D"/>
    <w:rsid w:val="00F338E0"/>
    <w:rsid w:val="00F33B91"/>
    <w:rsid w:val="00F33F16"/>
    <w:rsid w:val="00F33FFC"/>
    <w:rsid w:val="00F34908"/>
    <w:rsid w:val="00F34A2D"/>
    <w:rsid w:val="00F34B35"/>
    <w:rsid w:val="00F34B82"/>
    <w:rsid w:val="00F34CFE"/>
    <w:rsid w:val="00F356FB"/>
    <w:rsid w:val="00F35A2E"/>
    <w:rsid w:val="00F35E87"/>
    <w:rsid w:val="00F36345"/>
    <w:rsid w:val="00F3666B"/>
    <w:rsid w:val="00F369CF"/>
    <w:rsid w:val="00F36C0C"/>
    <w:rsid w:val="00F373CD"/>
    <w:rsid w:val="00F37D82"/>
    <w:rsid w:val="00F406BC"/>
    <w:rsid w:val="00F409D8"/>
    <w:rsid w:val="00F40BD1"/>
    <w:rsid w:val="00F40CD6"/>
    <w:rsid w:val="00F40EA7"/>
    <w:rsid w:val="00F4114F"/>
    <w:rsid w:val="00F41D55"/>
    <w:rsid w:val="00F42300"/>
    <w:rsid w:val="00F42E1F"/>
    <w:rsid w:val="00F4367A"/>
    <w:rsid w:val="00F440B6"/>
    <w:rsid w:val="00F450C6"/>
    <w:rsid w:val="00F45532"/>
    <w:rsid w:val="00F468BF"/>
    <w:rsid w:val="00F46ED6"/>
    <w:rsid w:val="00F4749C"/>
    <w:rsid w:val="00F4778B"/>
    <w:rsid w:val="00F4791A"/>
    <w:rsid w:val="00F50DA7"/>
    <w:rsid w:val="00F50ED0"/>
    <w:rsid w:val="00F50F58"/>
    <w:rsid w:val="00F514D4"/>
    <w:rsid w:val="00F52584"/>
    <w:rsid w:val="00F527F6"/>
    <w:rsid w:val="00F52D0E"/>
    <w:rsid w:val="00F52FFF"/>
    <w:rsid w:val="00F53F2C"/>
    <w:rsid w:val="00F545E8"/>
    <w:rsid w:val="00F54A84"/>
    <w:rsid w:val="00F55308"/>
    <w:rsid w:val="00F5569C"/>
    <w:rsid w:val="00F56077"/>
    <w:rsid w:val="00F5630E"/>
    <w:rsid w:val="00F569AD"/>
    <w:rsid w:val="00F56FA4"/>
    <w:rsid w:val="00F570D0"/>
    <w:rsid w:val="00F576CE"/>
    <w:rsid w:val="00F57BE7"/>
    <w:rsid w:val="00F57CCB"/>
    <w:rsid w:val="00F57FC8"/>
    <w:rsid w:val="00F605FB"/>
    <w:rsid w:val="00F60960"/>
    <w:rsid w:val="00F62573"/>
    <w:rsid w:val="00F62FF3"/>
    <w:rsid w:val="00F632CD"/>
    <w:rsid w:val="00F63647"/>
    <w:rsid w:val="00F636BD"/>
    <w:rsid w:val="00F63849"/>
    <w:rsid w:val="00F640AF"/>
    <w:rsid w:val="00F6446D"/>
    <w:rsid w:val="00F6491D"/>
    <w:rsid w:val="00F649E3"/>
    <w:rsid w:val="00F65149"/>
    <w:rsid w:val="00F6586A"/>
    <w:rsid w:val="00F65EDB"/>
    <w:rsid w:val="00F66182"/>
    <w:rsid w:val="00F66B87"/>
    <w:rsid w:val="00F676C6"/>
    <w:rsid w:val="00F67AE3"/>
    <w:rsid w:val="00F7052F"/>
    <w:rsid w:val="00F707A3"/>
    <w:rsid w:val="00F7081F"/>
    <w:rsid w:val="00F708EA"/>
    <w:rsid w:val="00F70DED"/>
    <w:rsid w:val="00F70FB8"/>
    <w:rsid w:val="00F7139C"/>
    <w:rsid w:val="00F7187E"/>
    <w:rsid w:val="00F71BEB"/>
    <w:rsid w:val="00F71E33"/>
    <w:rsid w:val="00F7250B"/>
    <w:rsid w:val="00F728A2"/>
    <w:rsid w:val="00F72B72"/>
    <w:rsid w:val="00F74ECE"/>
    <w:rsid w:val="00F7500A"/>
    <w:rsid w:val="00F750E5"/>
    <w:rsid w:val="00F76BEE"/>
    <w:rsid w:val="00F805E9"/>
    <w:rsid w:val="00F80B83"/>
    <w:rsid w:val="00F80F86"/>
    <w:rsid w:val="00F810E2"/>
    <w:rsid w:val="00F81410"/>
    <w:rsid w:val="00F8144D"/>
    <w:rsid w:val="00F818F7"/>
    <w:rsid w:val="00F81CE8"/>
    <w:rsid w:val="00F8224A"/>
    <w:rsid w:val="00F8280A"/>
    <w:rsid w:val="00F82B7A"/>
    <w:rsid w:val="00F832F5"/>
    <w:rsid w:val="00F839FA"/>
    <w:rsid w:val="00F8467A"/>
    <w:rsid w:val="00F849B5"/>
    <w:rsid w:val="00F84A6F"/>
    <w:rsid w:val="00F84B5A"/>
    <w:rsid w:val="00F84C0F"/>
    <w:rsid w:val="00F84F34"/>
    <w:rsid w:val="00F850BF"/>
    <w:rsid w:val="00F85670"/>
    <w:rsid w:val="00F8589A"/>
    <w:rsid w:val="00F86262"/>
    <w:rsid w:val="00F873E6"/>
    <w:rsid w:val="00F87520"/>
    <w:rsid w:val="00F8785C"/>
    <w:rsid w:val="00F9045B"/>
    <w:rsid w:val="00F90869"/>
    <w:rsid w:val="00F90A9A"/>
    <w:rsid w:val="00F910B1"/>
    <w:rsid w:val="00F917D6"/>
    <w:rsid w:val="00F91993"/>
    <w:rsid w:val="00F91A63"/>
    <w:rsid w:val="00F91B58"/>
    <w:rsid w:val="00F91BBD"/>
    <w:rsid w:val="00F92506"/>
    <w:rsid w:val="00F92E88"/>
    <w:rsid w:val="00F931CB"/>
    <w:rsid w:val="00F934AA"/>
    <w:rsid w:val="00F936AC"/>
    <w:rsid w:val="00F939B1"/>
    <w:rsid w:val="00F93B52"/>
    <w:rsid w:val="00F93C9A"/>
    <w:rsid w:val="00F943F1"/>
    <w:rsid w:val="00F9447D"/>
    <w:rsid w:val="00F94F22"/>
    <w:rsid w:val="00F9517E"/>
    <w:rsid w:val="00F9575E"/>
    <w:rsid w:val="00F9597A"/>
    <w:rsid w:val="00F9613E"/>
    <w:rsid w:val="00F963A2"/>
    <w:rsid w:val="00F96A5C"/>
    <w:rsid w:val="00F96A64"/>
    <w:rsid w:val="00F9764D"/>
    <w:rsid w:val="00F979CB"/>
    <w:rsid w:val="00F97EAD"/>
    <w:rsid w:val="00FA007E"/>
    <w:rsid w:val="00FA0D67"/>
    <w:rsid w:val="00FA0DB4"/>
    <w:rsid w:val="00FA131B"/>
    <w:rsid w:val="00FA15E4"/>
    <w:rsid w:val="00FA18B3"/>
    <w:rsid w:val="00FA1963"/>
    <w:rsid w:val="00FA1BAD"/>
    <w:rsid w:val="00FA1DD7"/>
    <w:rsid w:val="00FA2290"/>
    <w:rsid w:val="00FA2645"/>
    <w:rsid w:val="00FA2AAB"/>
    <w:rsid w:val="00FA2B60"/>
    <w:rsid w:val="00FA2D75"/>
    <w:rsid w:val="00FA2FBB"/>
    <w:rsid w:val="00FA3180"/>
    <w:rsid w:val="00FA39DC"/>
    <w:rsid w:val="00FA39E8"/>
    <w:rsid w:val="00FA3D4B"/>
    <w:rsid w:val="00FA459E"/>
    <w:rsid w:val="00FA4E48"/>
    <w:rsid w:val="00FA5008"/>
    <w:rsid w:val="00FA5267"/>
    <w:rsid w:val="00FA56CA"/>
    <w:rsid w:val="00FA5883"/>
    <w:rsid w:val="00FA5F00"/>
    <w:rsid w:val="00FA6109"/>
    <w:rsid w:val="00FA6920"/>
    <w:rsid w:val="00FA7228"/>
    <w:rsid w:val="00FA7306"/>
    <w:rsid w:val="00FA7411"/>
    <w:rsid w:val="00FA76FF"/>
    <w:rsid w:val="00FA7857"/>
    <w:rsid w:val="00FA786B"/>
    <w:rsid w:val="00FA797D"/>
    <w:rsid w:val="00FB10D6"/>
    <w:rsid w:val="00FB14FE"/>
    <w:rsid w:val="00FB30AF"/>
    <w:rsid w:val="00FB32F4"/>
    <w:rsid w:val="00FB3603"/>
    <w:rsid w:val="00FB4170"/>
    <w:rsid w:val="00FB4AF2"/>
    <w:rsid w:val="00FB4B5C"/>
    <w:rsid w:val="00FB4BBF"/>
    <w:rsid w:val="00FB4F7D"/>
    <w:rsid w:val="00FB4FCE"/>
    <w:rsid w:val="00FB598D"/>
    <w:rsid w:val="00FB59FB"/>
    <w:rsid w:val="00FB5B15"/>
    <w:rsid w:val="00FB5C78"/>
    <w:rsid w:val="00FB6429"/>
    <w:rsid w:val="00FB6CDF"/>
    <w:rsid w:val="00FB6FFB"/>
    <w:rsid w:val="00FB7329"/>
    <w:rsid w:val="00FC00CF"/>
    <w:rsid w:val="00FC02DE"/>
    <w:rsid w:val="00FC16CD"/>
    <w:rsid w:val="00FC184F"/>
    <w:rsid w:val="00FC1CBB"/>
    <w:rsid w:val="00FC2EC6"/>
    <w:rsid w:val="00FC305F"/>
    <w:rsid w:val="00FC3499"/>
    <w:rsid w:val="00FC37D3"/>
    <w:rsid w:val="00FC3887"/>
    <w:rsid w:val="00FC39D2"/>
    <w:rsid w:val="00FC39F3"/>
    <w:rsid w:val="00FC3A53"/>
    <w:rsid w:val="00FC3E55"/>
    <w:rsid w:val="00FC3EAF"/>
    <w:rsid w:val="00FC41F1"/>
    <w:rsid w:val="00FC4297"/>
    <w:rsid w:val="00FC49FC"/>
    <w:rsid w:val="00FC4B59"/>
    <w:rsid w:val="00FC4BDF"/>
    <w:rsid w:val="00FC5346"/>
    <w:rsid w:val="00FC60EE"/>
    <w:rsid w:val="00FC6106"/>
    <w:rsid w:val="00FC6F4D"/>
    <w:rsid w:val="00FC712C"/>
    <w:rsid w:val="00FD0334"/>
    <w:rsid w:val="00FD0A1E"/>
    <w:rsid w:val="00FD0CE8"/>
    <w:rsid w:val="00FD1EB5"/>
    <w:rsid w:val="00FD1FF0"/>
    <w:rsid w:val="00FD33EC"/>
    <w:rsid w:val="00FD351F"/>
    <w:rsid w:val="00FD3DAA"/>
    <w:rsid w:val="00FD40D6"/>
    <w:rsid w:val="00FD4496"/>
    <w:rsid w:val="00FD4627"/>
    <w:rsid w:val="00FD46EE"/>
    <w:rsid w:val="00FD4959"/>
    <w:rsid w:val="00FD4E95"/>
    <w:rsid w:val="00FD5948"/>
    <w:rsid w:val="00FD59E5"/>
    <w:rsid w:val="00FD5AF4"/>
    <w:rsid w:val="00FD5C2A"/>
    <w:rsid w:val="00FD5EFC"/>
    <w:rsid w:val="00FD611B"/>
    <w:rsid w:val="00FD7152"/>
    <w:rsid w:val="00FD719E"/>
    <w:rsid w:val="00FD74A0"/>
    <w:rsid w:val="00FD7BA8"/>
    <w:rsid w:val="00FD7BB5"/>
    <w:rsid w:val="00FE0099"/>
    <w:rsid w:val="00FE02F7"/>
    <w:rsid w:val="00FE074D"/>
    <w:rsid w:val="00FE0770"/>
    <w:rsid w:val="00FE1501"/>
    <w:rsid w:val="00FE158C"/>
    <w:rsid w:val="00FE1A11"/>
    <w:rsid w:val="00FE26F0"/>
    <w:rsid w:val="00FE2DDB"/>
    <w:rsid w:val="00FE31A6"/>
    <w:rsid w:val="00FE3492"/>
    <w:rsid w:val="00FE34FB"/>
    <w:rsid w:val="00FE41B4"/>
    <w:rsid w:val="00FE449B"/>
    <w:rsid w:val="00FE5379"/>
    <w:rsid w:val="00FE55C1"/>
    <w:rsid w:val="00FE5AD3"/>
    <w:rsid w:val="00FE5B05"/>
    <w:rsid w:val="00FE5B74"/>
    <w:rsid w:val="00FE5F8F"/>
    <w:rsid w:val="00FE6020"/>
    <w:rsid w:val="00FE628A"/>
    <w:rsid w:val="00FE7295"/>
    <w:rsid w:val="00FF031E"/>
    <w:rsid w:val="00FF0704"/>
    <w:rsid w:val="00FF0796"/>
    <w:rsid w:val="00FF0FF7"/>
    <w:rsid w:val="00FF1325"/>
    <w:rsid w:val="00FF13FF"/>
    <w:rsid w:val="00FF1663"/>
    <w:rsid w:val="00FF3216"/>
    <w:rsid w:val="00FF3232"/>
    <w:rsid w:val="00FF32DB"/>
    <w:rsid w:val="00FF3C7D"/>
    <w:rsid w:val="00FF3CEF"/>
    <w:rsid w:val="00FF44A6"/>
    <w:rsid w:val="00FF45B2"/>
    <w:rsid w:val="00FF4654"/>
    <w:rsid w:val="00FF4AC0"/>
    <w:rsid w:val="00FF4C2E"/>
    <w:rsid w:val="00FF4FBA"/>
    <w:rsid w:val="00FF523A"/>
    <w:rsid w:val="00FF531F"/>
    <w:rsid w:val="00FF5F12"/>
    <w:rsid w:val="00FF6771"/>
    <w:rsid w:val="00FF6901"/>
    <w:rsid w:val="00FF7D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88769"/>
    <o:shapelayout v:ext="edit">
      <o:idmap v:ext="edit" data="1"/>
      <o:rules v:ext="edit">
        <o:r id="V:Rule2"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header" w:uiPriority="99"/>
    <w:lsdException w:name="index heading" w:locked="1"/>
    <w:lsdException w:name="caption" w:qFormat="1"/>
    <w:lsdException w:name="table of figures" w:locked="1"/>
    <w:lsdException w:name="envelope address" w:locked="1"/>
    <w:lsdException w:name="envelope return" w:locked="1"/>
    <w:lsdException w:name="annotation reference" w:uiPriority="99"/>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uiPriority="99"/>
    <w:lsdException w:name="Body Text 3" w:locked="1"/>
    <w:lsdException w:name="Body Text Indent 2" w:locked="1"/>
    <w:lsdException w:name="Body Text Indent 3" w:locked="1"/>
    <w:lsdException w:name="Block Text" w:locked="1"/>
    <w:lsdException w:name="Hyperlink" w:uiPriority="99"/>
    <w:lsdException w:name="Strong" w:qFormat="1"/>
    <w:lsdException w:name="Emphasis" w:uiPriority="20" w:qFormat="1"/>
    <w:lsdException w:name="Plain Text" w:locked="1" w:uiPriority="99"/>
    <w:lsdException w:name="E-mail Signature" w:locked="1"/>
    <w:lsdException w:name="HTML Top of Form" w:locked="1"/>
    <w:lsdException w:name="HTML Bottom of Form" w:locked="1"/>
    <w:lsdException w:name="Normal (Web)"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Normal Table"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27FD"/>
    <w:rPr>
      <w:sz w:val="24"/>
      <w:szCs w:val="24"/>
    </w:rPr>
  </w:style>
  <w:style w:type="paragraph" w:styleId="Heading1">
    <w:name w:val="heading 1"/>
    <w:basedOn w:val="Normal"/>
    <w:next w:val="Normal"/>
    <w:link w:val="Heading1Char"/>
    <w:qFormat/>
    <w:rsid w:val="005027FD"/>
    <w:pPr>
      <w:keepNext/>
      <w:jc w:val="center"/>
      <w:outlineLvl w:val="0"/>
    </w:pPr>
    <w:rPr>
      <w:rFonts w:ascii="Courier" w:hAnsi="Courier"/>
      <w:b/>
      <w:szCs w:val="20"/>
    </w:rPr>
  </w:style>
  <w:style w:type="paragraph" w:styleId="Heading2">
    <w:name w:val="heading 2"/>
    <w:basedOn w:val="Normal"/>
    <w:next w:val="Normal"/>
    <w:link w:val="Heading2Char"/>
    <w:qFormat/>
    <w:rsid w:val="005027F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027FD"/>
    <w:pPr>
      <w:keepNext/>
      <w:outlineLvl w:val="2"/>
    </w:pPr>
    <w:rPr>
      <w:rFonts w:ascii="Arial" w:hAnsi="Arial" w:cs="Arial"/>
      <w:b/>
      <w:bCs/>
      <w:u w:val="single"/>
    </w:rPr>
  </w:style>
  <w:style w:type="paragraph" w:styleId="Heading4">
    <w:name w:val="heading 4"/>
    <w:basedOn w:val="Normal"/>
    <w:next w:val="Normal"/>
    <w:link w:val="Heading4Char"/>
    <w:qFormat/>
    <w:rsid w:val="005027FD"/>
    <w:pPr>
      <w:keepNext/>
      <w:jc w:val="center"/>
      <w:outlineLvl w:val="3"/>
    </w:pPr>
    <w:rPr>
      <w:b/>
      <w:szCs w:val="20"/>
    </w:rPr>
  </w:style>
  <w:style w:type="paragraph" w:styleId="Heading5">
    <w:name w:val="heading 5"/>
    <w:basedOn w:val="Normal"/>
    <w:next w:val="Normal"/>
    <w:link w:val="Heading5Char"/>
    <w:qFormat/>
    <w:rsid w:val="005027FD"/>
    <w:pPr>
      <w:keepNext/>
      <w:framePr w:hSpace="180" w:wrap="around" w:vAnchor="text" w:hAnchor="margin" w:x="-45" w:y="-92"/>
      <w:jc w:val="center"/>
      <w:outlineLvl w:val="4"/>
    </w:pPr>
    <w:rPr>
      <w:rFonts w:eastAsia="Arial Unicode MS"/>
      <w:b/>
      <w:bCs/>
      <w:sz w:val="22"/>
    </w:rPr>
  </w:style>
  <w:style w:type="paragraph" w:styleId="Heading6">
    <w:name w:val="heading 6"/>
    <w:basedOn w:val="Normal"/>
    <w:next w:val="Normal"/>
    <w:link w:val="Heading6Char"/>
    <w:qFormat/>
    <w:rsid w:val="005027FD"/>
    <w:pPr>
      <w:keepNext/>
      <w:jc w:val="center"/>
      <w:outlineLvl w:val="5"/>
    </w:pPr>
    <w:rPr>
      <w:rFonts w:eastAsia="Arial Unicode MS"/>
      <w:b/>
      <w:bCs/>
      <w:sz w:val="18"/>
      <w:szCs w:val="16"/>
    </w:rPr>
  </w:style>
  <w:style w:type="paragraph" w:styleId="Heading7">
    <w:name w:val="heading 7"/>
    <w:basedOn w:val="Normal"/>
    <w:next w:val="Normal"/>
    <w:link w:val="Heading7Char"/>
    <w:uiPriority w:val="99"/>
    <w:qFormat/>
    <w:rsid w:val="005027FD"/>
    <w:pPr>
      <w:keepNext/>
      <w:ind w:right="-18"/>
      <w:outlineLvl w:val="6"/>
    </w:pPr>
    <w:rPr>
      <w:b/>
      <w:sz w:val="18"/>
      <w:szCs w:val="20"/>
    </w:rPr>
  </w:style>
  <w:style w:type="paragraph" w:styleId="Heading8">
    <w:name w:val="heading 8"/>
    <w:basedOn w:val="Normal"/>
    <w:next w:val="Normal"/>
    <w:link w:val="Heading8Char"/>
    <w:qFormat/>
    <w:rsid w:val="005027FD"/>
    <w:pPr>
      <w:keepNext/>
      <w:outlineLvl w:val="7"/>
    </w:pPr>
    <w:rPr>
      <w:b/>
      <w:szCs w:val="20"/>
    </w:rPr>
  </w:style>
  <w:style w:type="paragraph" w:styleId="Heading9">
    <w:name w:val="heading 9"/>
    <w:basedOn w:val="Normal"/>
    <w:next w:val="Normal"/>
    <w:link w:val="Heading9Char"/>
    <w:qFormat/>
    <w:rsid w:val="005027FD"/>
    <w:pPr>
      <w:keepNext/>
      <w:ind w:left="-20"/>
      <w:jc w:val="right"/>
      <w:outlineLvl w:val="8"/>
    </w:pPr>
    <w:rPr>
      <w:b/>
      <w:bCs/>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027FD"/>
    <w:rPr>
      <w:rFonts w:ascii="Tahoma" w:hAnsi="Tahoma" w:cs="Tahoma"/>
      <w:sz w:val="16"/>
      <w:szCs w:val="16"/>
    </w:rPr>
  </w:style>
  <w:style w:type="character" w:customStyle="1" w:styleId="Heading1Char">
    <w:name w:val="Heading 1 Char"/>
    <w:basedOn w:val="DefaultParagraphFont"/>
    <w:link w:val="Heading1"/>
    <w:locked/>
    <w:rsid w:val="00AD7214"/>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AD7214"/>
    <w:rPr>
      <w:rFonts w:ascii="Cambria" w:hAnsi="Cambria" w:cs="Times New Roman"/>
      <w:b/>
      <w:bCs/>
      <w:i/>
      <w:iCs/>
      <w:sz w:val="28"/>
      <w:szCs w:val="28"/>
    </w:rPr>
  </w:style>
  <w:style w:type="character" w:customStyle="1" w:styleId="Heading3Char">
    <w:name w:val="Heading 3 Char"/>
    <w:basedOn w:val="DefaultParagraphFont"/>
    <w:link w:val="Heading3"/>
    <w:locked/>
    <w:rsid w:val="00AD7214"/>
    <w:rPr>
      <w:rFonts w:ascii="Cambria" w:hAnsi="Cambria" w:cs="Times New Roman"/>
      <w:b/>
      <w:bCs/>
      <w:sz w:val="26"/>
      <w:szCs w:val="26"/>
    </w:rPr>
  </w:style>
  <w:style w:type="character" w:customStyle="1" w:styleId="Heading4Char">
    <w:name w:val="Heading 4 Char"/>
    <w:basedOn w:val="DefaultParagraphFont"/>
    <w:link w:val="Heading4"/>
    <w:semiHidden/>
    <w:locked/>
    <w:rsid w:val="00AD7214"/>
    <w:rPr>
      <w:rFonts w:ascii="Calibri" w:hAnsi="Calibri" w:cs="Times New Roman"/>
      <w:b/>
      <w:bCs/>
      <w:sz w:val="28"/>
      <w:szCs w:val="28"/>
    </w:rPr>
  </w:style>
  <w:style w:type="character" w:customStyle="1" w:styleId="Heading5Char">
    <w:name w:val="Heading 5 Char"/>
    <w:basedOn w:val="DefaultParagraphFont"/>
    <w:link w:val="Heading5"/>
    <w:semiHidden/>
    <w:locked/>
    <w:rsid w:val="00AD7214"/>
    <w:rPr>
      <w:rFonts w:ascii="Calibri" w:hAnsi="Calibri" w:cs="Times New Roman"/>
      <w:b/>
      <w:bCs/>
      <w:i/>
      <w:iCs/>
      <w:sz w:val="26"/>
      <w:szCs w:val="26"/>
    </w:rPr>
  </w:style>
  <w:style w:type="character" w:customStyle="1" w:styleId="Heading6Char">
    <w:name w:val="Heading 6 Char"/>
    <w:basedOn w:val="DefaultParagraphFont"/>
    <w:link w:val="Heading6"/>
    <w:semiHidden/>
    <w:locked/>
    <w:rsid w:val="00AD7214"/>
    <w:rPr>
      <w:rFonts w:ascii="Calibri" w:hAnsi="Calibri" w:cs="Times New Roman"/>
      <w:b/>
      <w:bCs/>
    </w:rPr>
  </w:style>
  <w:style w:type="character" w:customStyle="1" w:styleId="Heading7Char">
    <w:name w:val="Heading 7 Char"/>
    <w:basedOn w:val="DefaultParagraphFont"/>
    <w:link w:val="Heading7"/>
    <w:uiPriority w:val="99"/>
    <w:locked/>
    <w:rsid w:val="00AD7214"/>
    <w:rPr>
      <w:rFonts w:ascii="Calibri" w:hAnsi="Calibri" w:cs="Times New Roman"/>
      <w:sz w:val="24"/>
      <w:szCs w:val="24"/>
    </w:rPr>
  </w:style>
  <w:style w:type="character" w:customStyle="1" w:styleId="Heading8Char">
    <w:name w:val="Heading 8 Char"/>
    <w:basedOn w:val="DefaultParagraphFont"/>
    <w:link w:val="Heading8"/>
    <w:semiHidden/>
    <w:locked/>
    <w:rsid w:val="00AD7214"/>
    <w:rPr>
      <w:rFonts w:ascii="Calibri" w:hAnsi="Calibri" w:cs="Times New Roman"/>
      <w:i/>
      <w:iCs/>
      <w:sz w:val="24"/>
      <w:szCs w:val="24"/>
    </w:rPr>
  </w:style>
  <w:style w:type="character" w:customStyle="1" w:styleId="Heading9Char">
    <w:name w:val="Heading 9 Char"/>
    <w:basedOn w:val="DefaultParagraphFont"/>
    <w:link w:val="Heading9"/>
    <w:semiHidden/>
    <w:locked/>
    <w:rsid w:val="00AD7214"/>
    <w:rPr>
      <w:rFonts w:ascii="Cambria" w:hAnsi="Cambria" w:cs="Times New Roman"/>
    </w:rPr>
  </w:style>
  <w:style w:type="paragraph" w:customStyle="1" w:styleId="xl19">
    <w:name w:val="xl19"/>
    <w:basedOn w:val="Normal"/>
    <w:uiPriority w:val="99"/>
    <w:rsid w:val="005027FD"/>
  </w:style>
  <w:style w:type="paragraph" w:customStyle="1" w:styleId="xl27">
    <w:name w:val="xl27"/>
    <w:basedOn w:val="Normal"/>
    <w:rsid w:val="005027FD"/>
    <w:pPr>
      <w:spacing w:before="100" w:after="100"/>
    </w:pPr>
    <w:rPr>
      <w:rFonts w:ascii="Arial" w:eastAsia="Arial Unicode MS" w:hAnsi="Arial"/>
      <w:b/>
      <w:szCs w:val="20"/>
    </w:rPr>
  </w:style>
  <w:style w:type="paragraph" w:customStyle="1" w:styleId="xl33">
    <w:name w:val="xl33"/>
    <w:basedOn w:val="Normal"/>
    <w:rsid w:val="005027FD"/>
    <w:pPr>
      <w:spacing w:before="100" w:after="100"/>
      <w:jc w:val="center"/>
    </w:pPr>
    <w:rPr>
      <w:rFonts w:ascii="Arial" w:eastAsia="Arial Unicode MS" w:hAnsi="Arial"/>
      <w:b/>
      <w:szCs w:val="20"/>
    </w:rPr>
  </w:style>
  <w:style w:type="paragraph" w:styleId="BodyText">
    <w:name w:val="Body Text"/>
    <w:aliases w:val="Hanging,body text,bt,heading3,NCDOT Body Text,1body,BodText,Body Txt,FL IND"/>
    <w:basedOn w:val="Normal"/>
    <w:link w:val="BodyTextChar"/>
    <w:rsid w:val="005027FD"/>
    <w:rPr>
      <w:szCs w:val="20"/>
    </w:rPr>
  </w:style>
  <w:style w:type="character" w:customStyle="1" w:styleId="BodyTextChar">
    <w:name w:val="Body Text Char"/>
    <w:aliases w:val="Hanging Char,body text Char,bt Char,heading3 Char,NCDOT Body Text Char,1body Char,BodText Char,Body Txt Char,FL IND Char"/>
    <w:basedOn w:val="DefaultParagraphFont"/>
    <w:link w:val="BodyText"/>
    <w:locked/>
    <w:rsid w:val="00AD7214"/>
    <w:rPr>
      <w:rFonts w:cs="Times New Roman"/>
      <w:sz w:val="24"/>
      <w:szCs w:val="24"/>
    </w:rPr>
  </w:style>
  <w:style w:type="paragraph" w:styleId="BodyTextIndent">
    <w:name w:val="Body Text Indent"/>
    <w:basedOn w:val="Normal"/>
    <w:link w:val="BodyTextIndentChar"/>
    <w:rsid w:val="005027FD"/>
    <w:pPr>
      <w:tabs>
        <w:tab w:val="left" w:leader="dot" w:pos="7920"/>
        <w:tab w:val="right" w:pos="8640"/>
      </w:tabs>
      <w:ind w:left="720"/>
    </w:pPr>
    <w:rPr>
      <w:bCs/>
      <w:i/>
      <w:iCs/>
    </w:rPr>
  </w:style>
  <w:style w:type="character" w:customStyle="1" w:styleId="BodyTextIndentChar">
    <w:name w:val="Body Text Indent Char"/>
    <w:basedOn w:val="DefaultParagraphFont"/>
    <w:link w:val="BodyTextIndent"/>
    <w:semiHidden/>
    <w:locked/>
    <w:rsid w:val="00AD7214"/>
    <w:rPr>
      <w:rFonts w:cs="Times New Roman"/>
      <w:sz w:val="24"/>
      <w:szCs w:val="24"/>
    </w:rPr>
  </w:style>
  <w:style w:type="paragraph" w:styleId="List">
    <w:name w:val="List"/>
    <w:basedOn w:val="BodyText"/>
    <w:rsid w:val="005027FD"/>
    <w:pPr>
      <w:tabs>
        <w:tab w:val="left" w:pos="720"/>
      </w:tabs>
      <w:spacing w:after="80" w:line="240" w:lineRule="atLeast"/>
      <w:ind w:left="720" w:hanging="360"/>
    </w:pPr>
    <w:rPr>
      <w:rFonts w:ascii="Garamond" w:hAnsi="Garamond"/>
      <w:spacing w:val="-5"/>
    </w:rPr>
  </w:style>
  <w:style w:type="paragraph" w:styleId="BodyText2">
    <w:name w:val="Body Text 2"/>
    <w:basedOn w:val="Normal"/>
    <w:link w:val="BodyText2Char"/>
    <w:uiPriority w:val="99"/>
    <w:rsid w:val="005027FD"/>
    <w:rPr>
      <w:rFonts w:ascii="Arial" w:hAnsi="Arial" w:cs="Arial"/>
      <w:color w:val="FF00FF"/>
    </w:rPr>
  </w:style>
  <w:style w:type="character" w:customStyle="1" w:styleId="BodyText2Char">
    <w:name w:val="Body Text 2 Char"/>
    <w:basedOn w:val="DefaultParagraphFont"/>
    <w:link w:val="BodyText2"/>
    <w:uiPriority w:val="99"/>
    <w:locked/>
    <w:rsid w:val="00AD7214"/>
    <w:rPr>
      <w:rFonts w:cs="Times New Roman"/>
      <w:sz w:val="24"/>
      <w:szCs w:val="24"/>
    </w:rPr>
  </w:style>
  <w:style w:type="paragraph" w:styleId="List2">
    <w:name w:val="List 2"/>
    <w:basedOn w:val="Normal"/>
    <w:rsid w:val="005027FD"/>
    <w:pPr>
      <w:widowControl w:val="0"/>
      <w:ind w:left="720" w:hanging="360"/>
    </w:pPr>
    <w:rPr>
      <w:szCs w:val="20"/>
    </w:rPr>
  </w:style>
  <w:style w:type="paragraph" w:styleId="BodyTextIndent2">
    <w:name w:val="Body Text Indent 2"/>
    <w:basedOn w:val="Normal"/>
    <w:link w:val="BodyTextIndent2Char"/>
    <w:rsid w:val="005027FD"/>
    <w:pPr>
      <w:ind w:left="1260"/>
    </w:pPr>
    <w:rPr>
      <w:b/>
      <w:bCs/>
      <w:i/>
      <w:iCs/>
    </w:rPr>
  </w:style>
  <w:style w:type="character" w:customStyle="1" w:styleId="BodyTextIndent2Char">
    <w:name w:val="Body Text Indent 2 Char"/>
    <w:basedOn w:val="DefaultParagraphFont"/>
    <w:link w:val="BodyTextIndent2"/>
    <w:semiHidden/>
    <w:locked/>
    <w:rsid w:val="00AD7214"/>
    <w:rPr>
      <w:rFonts w:cs="Times New Roman"/>
      <w:sz w:val="24"/>
      <w:szCs w:val="24"/>
    </w:rPr>
  </w:style>
  <w:style w:type="paragraph" w:styleId="Header">
    <w:name w:val="header"/>
    <w:basedOn w:val="Normal"/>
    <w:link w:val="HeaderChar"/>
    <w:uiPriority w:val="99"/>
    <w:rsid w:val="005027FD"/>
    <w:pPr>
      <w:tabs>
        <w:tab w:val="center" w:pos="4320"/>
        <w:tab w:val="right" w:pos="8640"/>
      </w:tabs>
    </w:pPr>
  </w:style>
  <w:style w:type="character" w:customStyle="1" w:styleId="HeaderChar">
    <w:name w:val="Header Char"/>
    <w:basedOn w:val="DefaultParagraphFont"/>
    <w:link w:val="Header"/>
    <w:uiPriority w:val="99"/>
    <w:locked/>
    <w:rsid w:val="00AD7214"/>
    <w:rPr>
      <w:rFonts w:cs="Times New Roman"/>
      <w:sz w:val="24"/>
      <w:szCs w:val="24"/>
    </w:rPr>
  </w:style>
  <w:style w:type="character" w:styleId="FootnoteReference">
    <w:name w:val="footnote reference"/>
    <w:basedOn w:val="DefaultParagraphFont"/>
    <w:semiHidden/>
    <w:rsid w:val="005027FD"/>
    <w:rPr>
      <w:rFonts w:cs="Times New Roman"/>
      <w:vertAlign w:val="superscript"/>
    </w:rPr>
  </w:style>
  <w:style w:type="paragraph" w:styleId="FootnoteText">
    <w:name w:val="footnote text"/>
    <w:basedOn w:val="Normal"/>
    <w:link w:val="FootnoteTextChar"/>
    <w:semiHidden/>
    <w:rsid w:val="005027FD"/>
    <w:rPr>
      <w:rFonts w:ascii="CG Times (W1)" w:hAnsi="CG Times (W1)"/>
      <w:sz w:val="20"/>
      <w:szCs w:val="20"/>
    </w:rPr>
  </w:style>
  <w:style w:type="character" w:customStyle="1" w:styleId="FootnoteTextChar">
    <w:name w:val="Footnote Text Char"/>
    <w:basedOn w:val="DefaultParagraphFont"/>
    <w:link w:val="FootnoteText"/>
    <w:semiHidden/>
    <w:locked/>
    <w:rsid w:val="00AD7214"/>
    <w:rPr>
      <w:rFonts w:cs="Times New Roman"/>
      <w:sz w:val="20"/>
      <w:szCs w:val="20"/>
    </w:rPr>
  </w:style>
  <w:style w:type="paragraph" w:styleId="Footer">
    <w:name w:val="footer"/>
    <w:basedOn w:val="Normal"/>
    <w:link w:val="FooterChar"/>
    <w:rsid w:val="005027FD"/>
    <w:pPr>
      <w:tabs>
        <w:tab w:val="center" w:pos="4320"/>
        <w:tab w:val="right" w:pos="8640"/>
      </w:tabs>
    </w:pPr>
  </w:style>
  <w:style w:type="character" w:customStyle="1" w:styleId="FooterChar">
    <w:name w:val="Footer Char"/>
    <w:basedOn w:val="DefaultParagraphFont"/>
    <w:link w:val="Footer"/>
    <w:locked/>
    <w:rsid w:val="00AD7214"/>
    <w:rPr>
      <w:rFonts w:cs="Times New Roman"/>
      <w:sz w:val="24"/>
      <w:szCs w:val="24"/>
    </w:rPr>
  </w:style>
  <w:style w:type="character" w:styleId="PageNumber">
    <w:name w:val="page number"/>
    <w:basedOn w:val="DefaultParagraphFont"/>
    <w:rsid w:val="005027FD"/>
    <w:rPr>
      <w:rFonts w:cs="Times New Roman"/>
    </w:rPr>
  </w:style>
  <w:style w:type="character" w:customStyle="1" w:styleId="BalloonTextChar">
    <w:name w:val="Balloon Text Char"/>
    <w:basedOn w:val="DefaultParagraphFont"/>
    <w:link w:val="BalloonText"/>
    <w:semiHidden/>
    <w:locked/>
    <w:rsid w:val="00AD7214"/>
    <w:rPr>
      <w:rFonts w:cs="Times New Roman"/>
      <w:sz w:val="2"/>
    </w:rPr>
  </w:style>
  <w:style w:type="character" w:styleId="CommentReference">
    <w:name w:val="annotation reference"/>
    <w:basedOn w:val="DefaultParagraphFont"/>
    <w:uiPriority w:val="99"/>
    <w:rsid w:val="005027FD"/>
    <w:rPr>
      <w:rFonts w:cs="Times New Roman"/>
      <w:sz w:val="16"/>
      <w:szCs w:val="16"/>
    </w:rPr>
  </w:style>
  <w:style w:type="paragraph" w:styleId="CommentText">
    <w:name w:val="annotation text"/>
    <w:basedOn w:val="Normal"/>
    <w:link w:val="CommentTextChar"/>
    <w:rsid w:val="005027FD"/>
    <w:rPr>
      <w:sz w:val="20"/>
      <w:szCs w:val="20"/>
    </w:rPr>
  </w:style>
  <w:style w:type="character" w:customStyle="1" w:styleId="CommentTextChar">
    <w:name w:val="Comment Text Char"/>
    <w:basedOn w:val="DefaultParagraphFont"/>
    <w:link w:val="CommentText"/>
    <w:semiHidden/>
    <w:locked/>
    <w:rsid w:val="00AD7214"/>
    <w:rPr>
      <w:rFonts w:cs="Times New Roman"/>
      <w:sz w:val="20"/>
      <w:szCs w:val="20"/>
    </w:rPr>
  </w:style>
  <w:style w:type="paragraph" w:styleId="CommentSubject">
    <w:name w:val="annotation subject"/>
    <w:basedOn w:val="CommentText"/>
    <w:next w:val="CommentText"/>
    <w:link w:val="CommentSubjectChar"/>
    <w:semiHidden/>
    <w:rsid w:val="005027FD"/>
    <w:rPr>
      <w:b/>
      <w:bCs/>
    </w:rPr>
  </w:style>
  <w:style w:type="character" w:customStyle="1" w:styleId="CommentSubjectChar">
    <w:name w:val="Comment Subject Char"/>
    <w:basedOn w:val="CommentTextChar"/>
    <w:link w:val="CommentSubject"/>
    <w:semiHidden/>
    <w:locked/>
    <w:rsid w:val="00AD7214"/>
    <w:rPr>
      <w:b/>
      <w:bCs/>
    </w:rPr>
  </w:style>
  <w:style w:type="paragraph" w:customStyle="1" w:styleId="BodyTextKeep">
    <w:name w:val="Body Text Keep"/>
    <w:basedOn w:val="BodyText"/>
    <w:rsid w:val="005027FD"/>
    <w:pPr>
      <w:keepNext/>
      <w:spacing w:after="160"/>
    </w:pPr>
    <w:rPr>
      <w:sz w:val="20"/>
    </w:rPr>
  </w:style>
  <w:style w:type="character" w:customStyle="1" w:styleId="arial91">
    <w:name w:val="arial91"/>
    <w:basedOn w:val="DefaultParagraphFont"/>
    <w:rsid w:val="005027FD"/>
    <w:rPr>
      <w:rFonts w:ascii="Arial" w:hAnsi="Arial" w:cs="Arial"/>
      <w:sz w:val="18"/>
      <w:szCs w:val="18"/>
    </w:rPr>
  </w:style>
  <w:style w:type="character" w:customStyle="1" w:styleId="EmailStyle54">
    <w:name w:val="EmailStyle541"/>
    <w:aliases w:val="EmailStyle541"/>
    <w:basedOn w:val="DefaultParagraphFont"/>
    <w:personal/>
    <w:rsid w:val="005027FD"/>
    <w:rPr>
      <w:rFonts w:ascii="Arial" w:hAnsi="Arial" w:cs="Arial"/>
      <w:color w:val="000000"/>
      <w:sz w:val="20"/>
      <w:szCs w:val="20"/>
    </w:rPr>
  </w:style>
  <w:style w:type="paragraph" w:customStyle="1" w:styleId="xl24">
    <w:name w:val="xl24"/>
    <w:basedOn w:val="Normal"/>
    <w:uiPriority w:val="99"/>
    <w:rsid w:val="005027FD"/>
    <w:pPr>
      <w:shd w:val="clear" w:color="auto" w:fill="FFFFFF"/>
      <w:spacing w:before="100" w:beforeAutospacing="1" w:after="100" w:afterAutospacing="1"/>
      <w:textAlignment w:val="center"/>
    </w:pPr>
    <w:rPr>
      <w:rFonts w:eastAsia="Arial Unicode MS"/>
    </w:rPr>
  </w:style>
  <w:style w:type="paragraph" w:customStyle="1" w:styleId="xl25">
    <w:name w:val="xl25"/>
    <w:basedOn w:val="Normal"/>
    <w:rsid w:val="005027FD"/>
    <w:pPr>
      <w:shd w:val="clear" w:color="auto" w:fill="FFFFFF"/>
      <w:spacing w:before="100" w:beforeAutospacing="1" w:after="100" w:afterAutospacing="1"/>
    </w:pPr>
    <w:rPr>
      <w:rFonts w:eastAsia="Arial Unicode MS"/>
    </w:rPr>
  </w:style>
  <w:style w:type="paragraph" w:customStyle="1" w:styleId="xl26">
    <w:name w:val="xl26"/>
    <w:basedOn w:val="Normal"/>
    <w:rsid w:val="005027FD"/>
    <w:pPr>
      <w:shd w:val="clear" w:color="auto" w:fill="FFFFFF"/>
      <w:spacing w:before="100" w:beforeAutospacing="1" w:after="100" w:afterAutospacing="1"/>
      <w:textAlignment w:val="center"/>
    </w:pPr>
    <w:rPr>
      <w:rFonts w:eastAsia="Arial Unicode MS"/>
    </w:rPr>
  </w:style>
  <w:style w:type="paragraph" w:customStyle="1" w:styleId="xl28">
    <w:name w:val="xl28"/>
    <w:basedOn w:val="Normal"/>
    <w:rsid w:val="005027FD"/>
    <w:pPr>
      <w:shd w:val="clear" w:color="auto" w:fill="FFFFFF"/>
      <w:spacing w:before="100" w:beforeAutospacing="1" w:after="100" w:afterAutospacing="1"/>
      <w:textAlignment w:val="center"/>
    </w:pPr>
    <w:rPr>
      <w:rFonts w:eastAsia="Arial Unicode MS"/>
    </w:rPr>
  </w:style>
  <w:style w:type="paragraph" w:customStyle="1" w:styleId="xl29">
    <w:name w:val="xl29"/>
    <w:basedOn w:val="Normal"/>
    <w:rsid w:val="005027FD"/>
    <w:pPr>
      <w:shd w:val="clear" w:color="auto" w:fill="FFFFFF"/>
      <w:spacing w:before="100" w:beforeAutospacing="1" w:after="100" w:afterAutospacing="1"/>
      <w:jc w:val="right"/>
      <w:textAlignment w:val="center"/>
    </w:pPr>
    <w:rPr>
      <w:rFonts w:eastAsia="Arial Unicode MS"/>
    </w:rPr>
  </w:style>
  <w:style w:type="paragraph" w:customStyle="1" w:styleId="xl30">
    <w:name w:val="xl30"/>
    <w:basedOn w:val="Normal"/>
    <w:rsid w:val="005027FD"/>
    <w:pPr>
      <w:shd w:val="clear" w:color="auto" w:fill="FFFFFF"/>
      <w:spacing w:before="100" w:beforeAutospacing="1" w:after="100" w:afterAutospacing="1"/>
    </w:pPr>
    <w:rPr>
      <w:rFonts w:eastAsia="Arial Unicode MS"/>
    </w:rPr>
  </w:style>
  <w:style w:type="paragraph" w:customStyle="1" w:styleId="xl31">
    <w:name w:val="xl31"/>
    <w:basedOn w:val="Normal"/>
    <w:rsid w:val="005027FD"/>
    <w:pPr>
      <w:shd w:val="clear" w:color="auto" w:fill="FFFFFF"/>
      <w:spacing w:before="100" w:beforeAutospacing="1" w:after="100" w:afterAutospacing="1"/>
      <w:jc w:val="center"/>
      <w:textAlignment w:val="center"/>
    </w:pPr>
    <w:rPr>
      <w:rFonts w:eastAsia="Arial Unicode MS"/>
    </w:rPr>
  </w:style>
  <w:style w:type="paragraph" w:customStyle="1" w:styleId="xl32">
    <w:name w:val="xl32"/>
    <w:basedOn w:val="Normal"/>
    <w:rsid w:val="005027FD"/>
    <w:pPr>
      <w:shd w:val="clear" w:color="auto" w:fill="FFFFFF"/>
      <w:spacing w:before="100" w:beforeAutospacing="1" w:after="100" w:afterAutospacing="1"/>
    </w:pPr>
    <w:rPr>
      <w:rFonts w:eastAsia="Arial Unicode MS"/>
    </w:rPr>
  </w:style>
  <w:style w:type="paragraph" w:customStyle="1" w:styleId="xl34">
    <w:name w:val="xl34"/>
    <w:basedOn w:val="Normal"/>
    <w:rsid w:val="005027FD"/>
    <w:pPr>
      <w:shd w:val="clear" w:color="auto" w:fill="FFFFFF"/>
      <w:spacing w:before="100" w:beforeAutospacing="1" w:after="100" w:afterAutospacing="1"/>
      <w:jc w:val="right"/>
    </w:pPr>
    <w:rPr>
      <w:rFonts w:eastAsia="Arial Unicode MS"/>
    </w:rPr>
  </w:style>
  <w:style w:type="paragraph" w:customStyle="1" w:styleId="xl35">
    <w:name w:val="xl35"/>
    <w:basedOn w:val="Normal"/>
    <w:rsid w:val="005027FD"/>
    <w:pPr>
      <w:shd w:val="clear" w:color="auto" w:fill="FFFFFF"/>
      <w:spacing w:before="100" w:beforeAutospacing="1" w:after="100" w:afterAutospacing="1"/>
    </w:pPr>
    <w:rPr>
      <w:rFonts w:eastAsia="Arial Unicode MS"/>
      <w:b/>
      <w:bCs/>
    </w:rPr>
  </w:style>
  <w:style w:type="paragraph" w:customStyle="1" w:styleId="xl36">
    <w:name w:val="xl36"/>
    <w:basedOn w:val="Normal"/>
    <w:rsid w:val="005027FD"/>
    <w:pPr>
      <w:shd w:val="clear" w:color="auto" w:fill="FFFFFF"/>
      <w:spacing w:before="100" w:beforeAutospacing="1" w:after="100" w:afterAutospacing="1"/>
      <w:textAlignment w:val="center"/>
    </w:pPr>
    <w:rPr>
      <w:rFonts w:eastAsia="Arial Unicode MS"/>
    </w:rPr>
  </w:style>
  <w:style w:type="paragraph" w:customStyle="1" w:styleId="font6">
    <w:name w:val="font6"/>
    <w:basedOn w:val="Normal"/>
    <w:rsid w:val="005027FD"/>
    <w:pPr>
      <w:spacing w:before="100" w:beforeAutospacing="1" w:after="100" w:afterAutospacing="1"/>
    </w:pPr>
    <w:rPr>
      <w:rFonts w:ascii="Arial" w:eastAsia="Arial Unicode MS" w:hAnsi="Arial" w:cs="Arial"/>
      <w:sz w:val="16"/>
      <w:szCs w:val="16"/>
    </w:rPr>
  </w:style>
  <w:style w:type="paragraph" w:styleId="BodyText3">
    <w:name w:val="Body Text 3"/>
    <w:basedOn w:val="Normal"/>
    <w:link w:val="BodyText3Char"/>
    <w:rsid w:val="005027FD"/>
    <w:rPr>
      <w:color w:val="000000"/>
      <w:szCs w:val="20"/>
    </w:rPr>
  </w:style>
  <w:style w:type="character" w:customStyle="1" w:styleId="BodyText3Char">
    <w:name w:val="Body Text 3 Char"/>
    <w:basedOn w:val="DefaultParagraphFont"/>
    <w:link w:val="BodyText3"/>
    <w:semiHidden/>
    <w:locked/>
    <w:rsid w:val="00AD7214"/>
    <w:rPr>
      <w:rFonts w:cs="Times New Roman"/>
      <w:sz w:val="16"/>
      <w:szCs w:val="16"/>
    </w:rPr>
  </w:style>
  <w:style w:type="paragraph" w:styleId="PlainText">
    <w:name w:val="Plain Text"/>
    <w:basedOn w:val="Normal"/>
    <w:link w:val="PlainTextChar"/>
    <w:uiPriority w:val="99"/>
    <w:rsid w:val="005027FD"/>
    <w:rPr>
      <w:rFonts w:ascii="Courier New" w:hAnsi="Courier New"/>
      <w:sz w:val="20"/>
      <w:szCs w:val="20"/>
    </w:rPr>
  </w:style>
  <w:style w:type="character" w:customStyle="1" w:styleId="PlainTextChar">
    <w:name w:val="Plain Text Char"/>
    <w:basedOn w:val="DefaultParagraphFont"/>
    <w:link w:val="PlainText"/>
    <w:uiPriority w:val="99"/>
    <w:locked/>
    <w:rsid w:val="00AD7214"/>
    <w:rPr>
      <w:rFonts w:ascii="Courier New" w:hAnsi="Courier New" w:cs="Courier New"/>
      <w:sz w:val="20"/>
      <w:szCs w:val="20"/>
    </w:rPr>
  </w:style>
  <w:style w:type="paragraph" w:styleId="BodyTextIndent3">
    <w:name w:val="Body Text Indent 3"/>
    <w:basedOn w:val="Normal"/>
    <w:link w:val="BodyTextIndent3Char"/>
    <w:rsid w:val="005027FD"/>
    <w:pPr>
      <w:ind w:left="4320"/>
    </w:pPr>
    <w:rPr>
      <w:rFonts w:ascii="Arial" w:hAnsi="Arial" w:cs="Arial"/>
    </w:rPr>
  </w:style>
  <w:style w:type="character" w:customStyle="1" w:styleId="BodyTextIndent3Char">
    <w:name w:val="Body Text Indent 3 Char"/>
    <w:basedOn w:val="DefaultParagraphFont"/>
    <w:link w:val="BodyTextIndent3"/>
    <w:semiHidden/>
    <w:locked/>
    <w:rsid w:val="00AD7214"/>
    <w:rPr>
      <w:rFonts w:cs="Times New Roman"/>
      <w:sz w:val="16"/>
      <w:szCs w:val="16"/>
    </w:rPr>
  </w:style>
  <w:style w:type="paragraph" w:styleId="NormalWeb">
    <w:name w:val="Normal (Web)"/>
    <w:basedOn w:val="Normal"/>
    <w:link w:val="NormalWebChar"/>
    <w:uiPriority w:val="99"/>
    <w:rsid w:val="005027FD"/>
    <w:pPr>
      <w:spacing w:before="100" w:after="100"/>
    </w:pPr>
    <w:rPr>
      <w:rFonts w:ascii="Arial Unicode MS" w:eastAsia="Arial Unicode MS" w:hAnsi="Arial Unicode MS"/>
      <w:szCs w:val="20"/>
    </w:rPr>
  </w:style>
  <w:style w:type="character" w:customStyle="1" w:styleId="NormalWebChar">
    <w:name w:val="Normal (Web) Char"/>
    <w:basedOn w:val="DefaultParagraphFont"/>
    <w:link w:val="NormalWeb"/>
    <w:uiPriority w:val="99"/>
    <w:locked/>
    <w:rsid w:val="005027FD"/>
    <w:rPr>
      <w:rFonts w:ascii="Arial Unicode MS" w:eastAsia="Arial Unicode MS" w:hAnsi="Arial Unicode MS" w:cs="Times New Roman"/>
      <w:sz w:val="24"/>
      <w:lang w:val="en-US" w:eastAsia="en-US" w:bidi="ar-SA"/>
    </w:rPr>
  </w:style>
  <w:style w:type="paragraph" w:customStyle="1" w:styleId="font5">
    <w:name w:val="font5"/>
    <w:basedOn w:val="Normal"/>
    <w:rsid w:val="005027FD"/>
    <w:pPr>
      <w:spacing w:before="100" w:beforeAutospacing="1" w:after="100" w:afterAutospacing="1"/>
    </w:pPr>
    <w:rPr>
      <w:rFonts w:ascii="Arial" w:eastAsia="Arial Unicode MS" w:hAnsi="Arial" w:cs="Arial"/>
      <w:b/>
      <w:bCs/>
      <w:sz w:val="20"/>
      <w:szCs w:val="20"/>
    </w:rPr>
  </w:style>
  <w:style w:type="paragraph" w:customStyle="1" w:styleId="font7">
    <w:name w:val="font7"/>
    <w:basedOn w:val="Normal"/>
    <w:rsid w:val="005027FD"/>
    <w:pPr>
      <w:spacing w:before="100" w:beforeAutospacing="1" w:after="100" w:afterAutospacing="1"/>
    </w:pPr>
    <w:rPr>
      <w:rFonts w:ascii="Arial" w:eastAsia="Arial Unicode MS" w:hAnsi="Arial" w:cs="Arial"/>
      <w:sz w:val="16"/>
      <w:szCs w:val="16"/>
    </w:rPr>
  </w:style>
  <w:style w:type="paragraph" w:customStyle="1" w:styleId="xl37">
    <w:name w:val="xl37"/>
    <w:basedOn w:val="Normal"/>
    <w:rsid w:val="005027FD"/>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38">
    <w:name w:val="xl38"/>
    <w:basedOn w:val="Normal"/>
    <w:rsid w:val="005027FD"/>
    <w:pPr>
      <w:pBdr>
        <w:top w:val="single" w:sz="8" w:space="0" w:color="auto"/>
        <w:left w:val="single" w:sz="4" w:space="0" w:color="auto"/>
        <w:right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39">
    <w:name w:val="xl39"/>
    <w:basedOn w:val="Normal"/>
    <w:rsid w:val="005027FD"/>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w:eastAsia="Arial Unicode MS" w:hAnsi="Arial" w:cs="Arial"/>
      <w:b/>
      <w:bCs/>
    </w:rPr>
  </w:style>
  <w:style w:type="paragraph" w:customStyle="1" w:styleId="xl40">
    <w:name w:val="xl40"/>
    <w:basedOn w:val="Normal"/>
    <w:rsid w:val="005027FD"/>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1">
    <w:name w:val="xl41"/>
    <w:basedOn w:val="Normal"/>
    <w:rsid w:val="005027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2">
    <w:name w:val="xl42"/>
    <w:basedOn w:val="Normal"/>
    <w:rsid w:val="005027F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3">
    <w:name w:val="xl43"/>
    <w:basedOn w:val="Normal"/>
    <w:rsid w:val="005027FD"/>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44">
    <w:name w:val="xl44"/>
    <w:basedOn w:val="Normal"/>
    <w:rsid w:val="005027FD"/>
    <w:pPr>
      <w:pBdr>
        <w:top w:val="single" w:sz="4" w:space="0" w:color="auto"/>
        <w:left w:val="single" w:sz="8" w:space="0" w:color="auto"/>
        <w:bottom w:val="double" w:sz="6" w:space="0" w:color="auto"/>
        <w:right w:val="single" w:sz="8" w:space="0" w:color="auto"/>
      </w:pBdr>
      <w:shd w:val="clear" w:color="auto" w:fill="FFFFFF"/>
      <w:spacing w:before="100" w:beforeAutospacing="1" w:after="100" w:afterAutospacing="1"/>
    </w:pPr>
    <w:rPr>
      <w:rFonts w:ascii="Arial" w:eastAsia="Arial Unicode MS" w:hAnsi="Arial" w:cs="Arial"/>
      <w:b/>
      <w:bCs/>
    </w:rPr>
  </w:style>
  <w:style w:type="paragraph" w:customStyle="1" w:styleId="xl45">
    <w:name w:val="xl45"/>
    <w:basedOn w:val="Normal"/>
    <w:rsid w:val="005027FD"/>
    <w:pPr>
      <w:pBdr>
        <w:top w:val="single" w:sz="4" w:space="0" w:color="auto"/>
        <w:left w:val="single" w:sz="8" w:space="0" w:color="auto"/>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6">
    <w:name w:val="xl46"/>
    <w:basedOn w:val="Normal"/>
    <w:rsid w:val="005027FD"/>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7">
    <w:name w:val="xl47"/>
    <w:basedOn w:val="Normal"/>
    <w:rsid w:val="005027FD"/>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48">
    <w:name w:val="xl48"/>
    <w:basedOn w:val="Normal"/>
    <w:rsid w:val="005027FD"/>
    <w:pPr>
      <w:pBdr>
        <w:top w:val="single" w:sz="4" w:space="0" w:color="auto"/>
        <w:left w:val="single" w:sz="4" w:space="0" w:color="auto"/>
        <w:bottom w:val="double" w:sz="6" w:space="0" w:color="auto"/>
        <w:right w:val="single" w:sz="8" w:space="0" w:color="auto"/>
      </w:pBdr>
      <w:shd w:val="clear" w:color="auto" w:fill="FFFFFF"/>
      <w:spacing w:before="100" w:beforeAutospacing="1" w:after="100" w:afterAutospacing="1"/>
    </w:pPr>
    <w:rPr>
      <w:rFonts w:ascii="Arial" w:eastAsia="Arial Unicode MS" w:hAnsi="Arial" w:cs="Arial"/>
    </w:rPr>
  </w:style>
  <w:style w:type="paragraph" w:customStyle="1" w:styleId="xl49">
    <w:name w:val="xl49"/>
    <w:basedOn w:val="Normal"/>
    <w:rsid w:val="005027FD"/>
    <w:pPr>
      <w:pBdr>
        <w:left w:val="single" w:sz="8" w:space="0" w:color="auto"/>
        <w:bottom w:val="single" w:sz="8" w:space="0" w:color="auto"/>
        <w:right w:val="single" w:sz="8" w:space="0" w:color="auto"/>
      </w:pBdr>
      <w:shd w:val="clear" w:color="auto" w:fill="FFFFFF"/>
      <w:spacing w:before="100" w:beforeAutospacing="1" w:after="100" w:afterAutospacing="1"/>
    </w:pPr>
    <w:rPr>
      <w:rFonts w:ascii="Arial" w:eastAsia="Arial Unicode MS" w:hAnsi="Arial" w:cs="Arial"/>
      <w:b/>
      <w:bCs/>
    </w:rPr>
  </w:style>
  <w:style w:type="paragraph" w:customStyle="1" w:styleId="xl51">
    <w:name w:val="xl51"/>
    <w:basedOn w:val="Normal"/>
    <w:rsid w:val="005027FD"/>
    <w:pPr>
      <w:spacing w:before="100" w:beforeAutospacing="1" w:after="100" w:afterAutospacing="1"/>
    </w:pPr>
    <w:rPr>
      <w:rFonts w:ascii="Arial" w:eastAsia="Arial Unicode MS" w:hAnsi="Arial" w:cs="Arial"/>
    </w:rPr>
  </w:style>
  <w:style w:type="paragraph" w:customStyle="1" w:styleId="xl52">
    <w:name w:val="xl52"/>
    <w:basedOn w:val="Normal"/>
    <w:rsid w:val="005027FD"/>
    <w:pPr>
      <w:pBdr>
        <w:left w:val="single" w:sz="8"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3">
    <w:name w:val="xl53"/>
    <w:basedOn w:val="Normal"/>
    <w:rsid w:val="005027FD"/>
    <w:pPr>
      <w:pBdr>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4">
    <w:name w:val="xl54"/>
    <w:basedOn w:val="Normal"/>
    <w:rsid w:val="005027FD"/>
    <w:pPr>
      <w:pBdr>
        <w:left w:val="single" w:sz="4" w:space="0" w:color="auto"/>
        <w:bottom w:val="single" w:sz="8" w:space="0" w:color="auto"/>
        <w:right w:val="single" w:sz="4" w:space="0" w:color="auto"/>
      </w:pBdr>
      <w:shd w:val="clear" w:color="auto" w:fill="FFFFFF"/>
      <w:spacing w:before="100" w:beforeAutospacing="1" w:after="100" w:afterAutospacing="1"/>
    </w:pPr>
    <w:rPr>
      <w:rFonts w:ascii="Arial" w:eastAsia="Arial Unicode MS" w:hAnsi="Arial" w:cs="Arial"/>
      <w:b/>
      <w:bCs/>
    </w:rPr>
  </w:style>
  <w:style w:type="paragraph" w:customStyle="1" w:styleId="xl55">
    <w:name w:val="xl55"/>
    <w:basedOn w:val="Normal"/>
    <w:rsid w:val="005027F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56">
    <w:name w:val="xl56"/>
    <w:basedOn w:val="Normal"/>
    <w:rsid w:val="005027FD"/>
    <w:pPr>
      <w:pBdr>
        <w:top w:val="single" w:sz="4" w:space="0" w:color="auto"/>
      </w:pBdr>
      <w:shd w:val="clear" w:color="auto" w:fill="FFFFFF"/>
      <w:spacing w:before="100" w:beforeAutospacing="1" w:after="100" w:afterAutospacing="1"/>
    </w:pPr>
    <w:rPr>
      <w:rFonts w:ascii="Arial" w:eastAsia="Arial Unicode MS" w:hAnsi="Arial" w:cs="Arial"/>
      <w:b/>
      <w:bCs/>
      <w:sz w:val="28"/>
      <w:szCs w:val="28"/>
    </w:rPr>
  </w:style>
  <w:style w:type="paragraph" w:customStyle="1" w:styleId="xl57">
    <w:name w:val="xl57"/>
    <w:basedOn w:val="Normal"/>
    <w:rsid w:val="005027FD"/>
    <w:pPr>
      <w:pBdr>
        <w:top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58">
    <w:name w:val="xl58"/>
    <w:basedOn w:val="Normal"/>
    <w:rsid w:val="005027FD"/>
    <w:pPr>
      <w:pBdr>
        <w:top w:val="single" w:sz="4" w:space="0" w:color="auto"/>
        <w:right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59">
    <w:name w:val="xl59"/>
    <w:basedOn w:val="Normal"/>
    <w:rsid w:val="005027FD"/>
    <w:pPr>
      <w:pBdr>
        <w:left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60">
    <w:name w:val="xl60"/>
    <w:basedOn w:val="Normal"/>
    <w:rsid w:val="005027FD"/>
    <w:pPr>
      <w:shd w:val="clear" w:color="auto" w:fill="FFFFFF"/>
      <w:spacing w:before="100" w:beforeAutospacing="1" w:after="100" w:afterAutospacing="1"/>
    </w:pPr>
    <w:rPr>
      <w:rFonts w:ascii="Arial" w:eastAsia="Arial Unicode MS" w:hAnsi="Arial" w:cs="Arial"/>
      <w:b/>
      <w:bCs/>
      <w:sz w:val="28"/>
      <w:szCs w:val="28"/>
    </w:rPr>
  </w:style>
  <w:style w:type="paragraph" w:customStyle="1" w:styleId="xl61">
    <w:name w:val="xl61"/>
    <w:basedOn w:val="Normal"/>
    <w:rsid w:val="005027FD"/>
    <w:pPr>
      <w:shd w:val="clear" w:color="auto" w:fill="FFFFFF"/>
      <w:spacing w:before="100" w:beforeAutospacing="1" w:after="100" w:afterAutospacing="1"/>
    </w:pPr>
    <w:rPr>
      <w:rFonts w:ascii="Arial" w:eastAsia="Arial Unicode MS" w:hAnsi="Arial" w:cs="Arial"/>
      <w:sz w:val="28"/>
      <w:szCs w:val="28"/>
    </w:rPr>
  </w:style>
  <w:style w:type="paragraph" w:customStyle="1" w:styleId="xl62">
    <w:name w:val="xl62"/>
    <w:basedOn w:val="Normal"/>
    <w:rsid w:val="005027FD"/>
    <w:pPr>
      <w:pBdr>
        <w:right w:val="single" w:sz="4" w:space="0" w:color="auto"/>
      </w:pBdr>
      <w:shd w:val="clear" w:color="auto" w:fill="FFFFFF"/>
      <w:spacing w:before="100" w:beforeAutospacing="1" w:after="100" w:afterAutospacing="1"/>
    </w:pPr>
    <w:rPr>
      <w:rFonts w:ascii="Arial" w:eastAsia="Arial Unicode MS" w:hAnsi="Arial" w:cs="Arial"/>
      <w:sz w:val="28"/>
      <w:szCs w:val="28"/>
    </w:rPr>
  </w:style>
  <w:style w:type="paragraph" w:customStyle="1" w:styleId="xl63">
    <w:name w:val="xl63"/>
    <w:basedOn w:val="Normal"/>
    <w:rsid w:val="005027FD"/>
    <w:pPr>
      <w:pBdr>
        <w:lef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4">
    <w:name w:val="xl64"/>
    <w:basedOn w:val="Normal"/>
    <w:rsid w:val="005027FD"/>
    <w:pPr>
      <w:pBdr>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65">
    <w:name w:val="xl65"/>
    <w:basedOn w:val="Normal"/>
    <w:rsid w:val="005027FD"/>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66">
    <w:name w:val="xl66"/>
    <w:basedOn w:val="Normal"/>
    <w:rsid w:val="005027FD"/>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67">
    <w:name w:val="xl67"/>
    <w:basedOn w:val="Normal"/>
    <w:rsid w:val="005027FD"/>
    <w:pPr>
      <w:pBdr>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68">
    <w:name w:val="xl68"/>
    <w:basedOn w:val="Normal"/>
    <w:rsid w:val="005027FD"/>
    <w:pPr>
      <w:pBdr>
        <w:left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69">
    <w:name w:val="xl69"/>
    <w:basedOn w:val="Normal"/>
    <w:rsid w:val="005027FD"/>
    <w:pPr>
      <w:shd w:val="clear" w:color="auto" w:fill="FFFFFF"/>
      <w:spacing w:before="100" w:beforeAutospacing="1" w:after="100" w:afterAutospacing="1"/>
    </w:pPr>
    <w:rPr>
      <w:rFonts w:ascii="Arial" w:eastAsia="Arial Unicode MS" w:hAnsi="Arial" w:cs="Arial"/>
      <w:b/>
      <w:bCs/>
      <w:sz w:val="16"/>
      <w:szCs w:val="16"/>
    </w:rPr>
  </w:style>
  <w:style w:type="paragraph" w:customStyle="1" w:styleId="xl70">
    <w:name w:val="xl70"/>
    <w:basedOn w:val="Normal"/>
    <w:rsid w:val="005027FD"/>
    <w:pPr>
      <w:shd w:val="clear" w:color="auto" w:fill="FFFFFF"/>
      <w:spacing w:before="100" w:beforeAutospacing="1" w:after="100" w:afterAutospacing="1"/>
    </w:pPr>
    <w:rPr>
      <w:rFonts w:ascii="Arial" w:eastAsia="Arial Unicode MS" w:hAnsi="Arial" w:cs="Arial"/>
      <w:sz w:val="16"/>
      <w:szCs w:val="16"/>
    </w:rPr>
  </w:style>
  <w:style w:type="paragraph" w:customStyle="1" w:styleId="xl71">
    <w:name w:val="xl71"/>
    <w:basedOn w:val="Normal"/>
    <w:rsid w:val="005027FD"/>
    <w:pPr>
      <w:pBdr>
        <w:right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2">
    <w:name w:val="xl72"/>
    <w:basedOn w:val="Normal"/>
    <w:rsid w:val="005027F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73">
    <w:name w:val="xl73"/>
    <w:basedOn w:val="Normal"/>
    <w:rsid w:val="005027FD"/>
    <w:pPr>
      <w:pBdr>
        <w:bottom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74">
    <w:name w:val="xl74"/>
    <w:basedOn w:val="Normal"/>
    <w:rsid w:val="005027FD"/>
    <w:pPr>
      <w:pBdr>
        <w:bottom w:val="single" w:sz="4" w:space="0" w:color="auto"/>
        <w:right w:val="single" w:sz="4" w:space="0" w:color="auto"/>
      </w:pBdr>
      <w:shd w:val="clear" w:color="auto" w:fill="FFFFFF"/>
      <w:spacing w:before="100" w:beforeAutospacing="1" w:after="100" w:afterAutospacing="1"/>
    </w:pPr>
    <w:rPr>
      <w:rFonts w:ascii="Arial" w:eastAsia="Arial Unicode MS" w:hAnsi="Arial" w:cs="Arial"/>
    </w:rPr>
  </w:style>
  <w:style w:type="paragraph" w:customStyle="1" w:styleId="xl75">
    <w:name w:val="xl75"/>
    <w:basedOn w:val="Normal"/>
    <w:rsid w:val="005027FD"/>
    <w:pPr>
      <w:pBdr>
        <w:top w:val="single" w:sz="4" w:space="0" w:color="auto"/>
        <w:left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6">
    <w:name w:val="xl76"/>
    <w:basedOn w:val="Normal"/>
    <w:rsid w:val="005027FD"/>
    <w:pPr>
      <w:pBdr>
        <w:left w:val="single" w:sz="4" w:space="0" w:color="auto"/>
        <w:bottom w:val="single" w:sz="4"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77">
    <w:name w:val="xl77"/>
    <w:basedOn w:val="Normal"/>
    <w:rsid w:val="005027FD"/>
    <w:pPr>
      <w:pBdr>
        <w:top w:val="single" w:sz="4" w:space="0" w:color="auto"/>
      </w:pBdr>
      <w:shd w:val="clear" w:color="auto" w:fill="FFFFFF"/>
      <w:spacing w:before="100" w:beforeAutospacing="1" w:after="100" w:afterAutospacing="1"/>
      <w:textAlignment w:val="top"/>
    </w:pPr>
    <w:rPr>
      <w:rFonts w:ascii="Arial" w:eastAsia="Arial Unicode MS" w:hAnsi="Arial" w:cs="Arial"/>
      <w:b/>
      <w:bCs/>
      <w:sz w:val="16"/>
      <w:szCs w:val="16"/>
    </w:rPr>
  </w:style>
  <w:style w:type="paragraph" w:customStyle="1" w:styleId="xl78">
    <w:name w:val="xl78"/>
    <w:basedOn w:val="Normal"/>
    <w:rsid w:val="005027FD"/>
    <w:pPr>
      <w:pBdr>
        <w:top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79">
    <w:name w:val="xl79"/>
    <w:basedOn w:val="Normal"/>
    <w:rsid w:val="005027FD"/>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0">
    <w:name w:val="xl80"/>
    <w:basedOn w:val="Normal"/>
    <w:rsid w:val="005027FD"/>
    <w:pPr>
      <w:shd w:val="clear" w:color="auto" w:fill="FFFFFF"/>
      <w:spacing w:before="100" w:beforeAutospacing="1" w:after="100" w:afterAutospacing="1"/>
      <w:textAlignment w:val="top"/>
    </w:pPr>
    <w:rPr>
      <w:rFonts w:ascii="Arial" w:eastAsia="Arial Unicode MS" w:hAnsi="Arial" w:cs="Arial"/>
      <w:b/>
      <w:bCs/>
      <w:sz w:val="16"/>
      <w:szCs w:val="16"/>
    </w:rPr>
  </w:style>
  <w:style w:type="paragraph" w:customStyle="1" w:styleId="xl81">
    <w:name w:val="xl81"/>
    <w:basedOn w:val="Normal"/>
    <w:rsid w:val="005027FD"/>
    <w:pPr>
      <w:spacing w:before="100" w:beforeAutospacing="1" w:after="100" w:afterAutospacing="1"/>
      <w:textAlignment w:val="top"/>
    </w:pPr>
    <w:rPr>
      <w:rFonts w:ascii="Arial Unicode MS" w:eastAsia="Arial Unicode MS" w:hAnsi="Arial Unicode MS" w:cs="Arial Unicode MS"/>
    </w:rPr>
  </w:style>
  <w:style w:type="paragraph" w:customStyle="1" w:styleId="xl82">
    <w:name w:val="xl82"/>
    <w:basedOn w:val="Normal"/>
    <w:rsid w:val="005027FD"/>
    <w:pPr>
      <w:pBdr>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3">
    <w:name w:val="xl83"/>
    <w:basedOn w:val="Normal"/>
    <w:rsid w:val="005027FD"/>
    <w:pPr>
      <w:pBdr>
        <w:bottom w:val="single" w:sz="4" w:space="0" w:color="auto"/>
      </w:pBdr>
      <w:shd w:val="clear" w:color="auto" w:fill="FFFFFF"/>
      <w:spacing w:before="100" w:beforeAutospacing="1" w:after="100" w:afterAutospacing="1"/>
      <w:textAlignment w:val="top"/>
    </w:pPr>
    <w:rPr>
      <w:rFonts w:ascii="Arial" w:eastAsia="Arial Unicode MS" w:hAnsi="Arial" w:cs="Arial"/>
      <w:b/>
      <w:bCs/>
      <w:sz w:val="16"/>
      <w:szCs w:val="16"/>
    </w:rPr>
  </w:style>
  <w:style w:type="paragraph" w:customStyle="1" w:styleId="xl84">
    <w:name w:val="xl84"/>
    <w:basedOn w:val="Normal"/>
    <w:rsid w:val="005027FD"/>
    <w:pPr>
      <w:pBdr>
        <w:bottom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5">
    <w:name w:val="xl85"/>
    <w:basedOn w:val="Normal"/>
    <w:rsid w:val="005027FD"/>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86">
    <w:name w:val="xl86"/>
    <w:basedOn w:val="Normal"/>
    <w:rsid w:val="005027FD"/>
    <w:pPr>
      <w:pBdr>
        <w:top w:val="single" w:sz="8"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87">
    <w:name w:val="xl87"/>
    <w:basedOn w:val="Normal"/>
    <w:rsid w:val="005027FD"/>
    <w:pPr>
      <w:pBdr>
        <w:left w:val="single" w:sz="4"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88">
    <w:name w:val="xl88"/>
    <w:basedOn w:val="Normal"/>
    <w:rsid w:val="005027FD"/>
    <w:pPr>
      <w:pBdr>
        <w:top w:val="single" w:sz="8" w:space="0" w:color="auto"/>
        <w:left w:val="single" w:sz="8"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89">
    <w:name w:val="xl89"/>
    <w:basedOn w:val="Normal"/>
    <w:rsid w:val="005027FD"/>
    <w:pPr>
      <w:pBdr>
        <w:left w:val="single" w:sz="8" w:space="0" w:color="auto"/>
        <w:bottom w:val="single" w:sz="8"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5027FD"/>
    <w:pPr>
      <w:pBdr>
        <w:top w:val="single" w:sz="8" w:space="0" w:color="auto"/>
        <w:left w:val="single" w:sz="4" w:space="0" w:color="auto"/>
        <w:right w:val="single" w:sz="8"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91">
    <w:name w:val="xl91"/>
    <w:basedOn w:val="Normal"/>
    <w:rsid w:val="005027FD"/>
    <w:pPr>
      <w:pBdr>
        <w:left w:val="single" w:sz="4"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w:eastAsia="Arial Unicode MS" w:hAnsi="Arial" w:cs="Arial"/>
      <w:b/>
      <w:bCs/>
    </w:rPr>
  </w:style>
  <w:style w:type="paragraph" w:customStyle="1" w:styleId="xl92">
    <w:name w:val="xl92"/>
    <w:basedOn w:val="Normal"/>
    <w:rsid w:val="005027FD"/>
    <w:pPr>
      <w:shd w:val="clear" w:color="auto" w:fill="FFFFFF"/>
      <w:spacing w:before="100" w:beforeAutospacing="1" w:after="100" w:afterAutospacing="1"/>
      <w:jc w:val="center"/>
    </w:pPr>
    <w:rPr>
      <w:rFonts w:ascii="Arial" w:eastAsia="Arial Unicode MS" w:hAnsi="Arial" w:cs="Arial"/>
      <w:b/>
      <w:bCs/>
    </w:rPr>
  </w:style>
  <w:style w:type="paragraph" w:customStyle="1" w:styleId="xl93">
    <w:name w:val="xl93"/>
    <w:basedOn w:val="Normal"/>
    <w:rsid w:val="005027FD"/>
    <w:pPr>
      <w:spacing w:before="100" w:beforeAutospacing="1" w:after="100" w:afterAutospacing="1"/>
      <w:jc w:val="center"/>
    </w:pPr>
    <w:rPr>
      <w:rFonts w:ascii="Arial Unicode MS" w:eastAsia="Arial Unicode MS" w:hAnsi="Arial Unicode MS" w:cs="Arial Unicode MS"/>
    </w:rPr>
  </w:style>
  <w:style w:type="paragraph" w:customStyle="1" w:styleId="xl94">
    <w:name w:val="xl94"/>
    <w:basedOn w:val="Normal"/>
    <w:rsid w:val="005027FD"/>
    <w:pPr>
      <w:pBdr>
        <w:top w:val="single" w:sz="8" w:space="0" w:color="auto"/>
        <w:left w:val="single" w:sz="8" w:space="0" w:color="auto"/>
        <w:right w:val="single" w:sz="8" w:space="0" w:color="auto"/>
      </w:pBdr>
      <w:shd w:val="clear" w:color="auto" w:fill="CCFFFF"/>
      <w:spacing w:before="100" w:beforeAutospacing="1" w:after="100" w:afterAutospacing="1"/>
      <w:textAlignment w:val="center"/>
    </w:pPr>
    <w:rPr>
      <w:rFonts w:ascii="Arial" w:eastAsia="Arial Unicode MS" w:hAnsi="Arial" w:cs="Arial"/>
      <w:b/>
      <w:bCs/>
      <w:sz w:val="28"/>
      <w:szCs w:val="28"/>
    </w:rPr>
  </w:style>
  <w:style w:type="paragraph" w:customStyle="1" w:styleId="xl95">
    <w:name w:val="xl95"/>
    <w:basedOn w:val="Normal"/>
    <w:rsid w:val="005027FD"/>
    <w:pPr>
      <w:pBdr>
        <w:left w:val="single" w:sz="8" w:space="0" w:color="auto"/>
        <w:bottom w:val="single" w:sz="8" w:space="0" w:color="auto"/>
        <w:right w:val="single" w:sz="8" w:space="0" w:color="auto"/>
      </w:pBdr>
      <w:shd w:val="clear" w:color="auto" w:fill="CCFFFF"/>
      <w:spacing w:before="100" w:beforeAutospacing="1" w:after="100" w:afterAutospacing="1"/>
      <w:textAlignment w:val="center"/>
    </w:pPr>
    <w:rPr>
      <w:rFonts w:ascii="Arial" w:eastAsia="Arial Unicode MS" w:hAnsi="Arial" w:cs="Arial"/>
      <w:b/>
      <w:bCs/>
      <w:sz w:val="28"/>
      <w:szCs w:val="28"/>
    </w:rPr>
  </w:style>
  <w:style w:type="paragraph" w:customStyle="1" w:styleId="Body">
    <w:name w:val="Body"/>
    <w:rsid w:val="005027FD"/>
    <w:pPr>
      <w:keepLines/>
      <w:overflowPunct w:val="0"/>
      <w:autoSpaceDE w:val="0"/>
      <w:autoSpaceDN w:val="0"/>
      <w:adjustRightInd w:val="0"/>
      <w:spacing w:line="280" w:lineRule="exact"/>
      <w:ind w:firstLine="360"/>
      <w:textAlignment w:val="baseline"/>
    </w:pPr>
    <w:rPr>
      <w:noProof/>
    </w:rPr>
  </w:style>
  <w:style w:type="table" w:styleId="TableGrid">
    <w:name w:val="Table Grid"/>
    <w:basedOn w:val="TableNormal"/>
    <w:rsid w:val="00502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5027FD"/>
    <w:pPr>
      <w:jc w:val="center"/>
    </w:pPr>
    <w:rPr>
      <w:rFonts w:ascii="CG Times (W1)" w:hAnsi="CG Times (W1)"/>
      <w:sz w:val="52"/>
    </w:rPr>
  </w:style>
  <w:style w:type="character" w:customStyle="1" w:styleId="TitleChar">
    <w:name w:val="Title Char"/>
    <w:basedOn w:val="DefaultParagraphFont"/>
    <w:link w:val="Title"/>
    <w:locked/>
    <w:rsid w:val="00AD7214"/>
    <w:rPr>
      <w:rFonts w:ascii="Cambria" w:hAnsi="Cambria" w:cs="Times New Roman"/>
      <w:b/>
      <w:bCs/>
      <w:kern w:val="28"/>
      <w:sz w:val="32"/>
      <w:szCs w:val="32"/>
    </w:rPr>
  </w:style>
  <w:style w:type="paragraph" w:styleId="Subtitle">
    <w:name w:val="Subtitle"/>
    <w:basedOn w:val="Normal"/>
    <w:link w:val="SubtitleChar"/>
    <w:qFormat/>
    <w:rsid w:val="005027FD"/>
    <w:pPr>
      <w:jc w:val="center"/>
    </w:pPr>
    <w:rPr>
      <w:rFonts w:ascii="CG Times (W1)" w:hAnsi="CG Times (W1)"/>
      <w:sz w:val="40"/>
    </w:rPr>
  </w:style>
  <w:style w:type="character" w:customStyle="1" w:styleId="SubtitleChar">
    <w:name w:val="Subtitle Char"/>
    <w:basedOn w:val="DefaultParagraphFont"/>
    <w:link w:val="Subtitle"/>
    <w:locked/>
    <w:rsid w:val="00AD7214"/>
    <w:rPr>
      <w:rFonts w:ascii="Cambria" w:hAnsi="Cambria" w:cs="Times New Roman"/>
      <w:sz w:val="24"/>
      <w:szCs w:val="24"/>
    </w:rPr>
  </w:style>
  <w:style w:type="paragraph" w:customStyle="1" w:styleId="ChapTitleChapNumber">
    <w:name w:val="ChapTitle_ChapNumber"/>
    <w:rsid w:val="005027FD"/>
    <w:pPr>
      <w:tabs>
        <w:tab w:val="center" w:pos="6299"/>
      </w:tabs>
      <w:overflowPunct w:val="0"/>
      <w:autoSpaceDE w:val="0"/>
      <w:autoSpaceDN w:val="0"/>
      <w:adjustRightInd w:val="0"/>
      <w:spacing w:line="780" w:lineRule="exact"/>
      <w:textAlignment w:val="baseline"/>
    </w:pPr>
    <w:rPr>
      <w:b/>
      <w:noProof/>
      <w:sz w:val="56"/>
    </w:rPr>
  </w:style>
  <w:style w:type="paragraph" w:customStyle="1" w:styleId="HeadB">
    <w:name w:val="HeadB"/>
    <w:rsid w:val="005027FD"/>
    <w:pPr>
      <w:keepNext/>
      <w:keepLines/>
      <w:overflowPunct w:val="0"/>
      <w:autoSpaceDE w:val="0"/>
      <w:autoSpaceDN w:val="0"/>
      <w:adjustRightInd w:val="0"/>
      <w:spacing w:before="280" w:after="120" w:line="340" w:lineRule="exact"/>
      <w:textAlignment w:val="baseline"/>
    </w:pPr>
    <w:rPr>
      <w:b/>
      <w:noProof/>
      <w:sz w:val="32"/>
    </w:rPr>
  </w:style>
  <w:style w:type="paragraph" w:customStyle="1" w:styleId="HeadC">
    <w:name w:val="HeadC"/>
    <w:rsid w:val="005027FD"/>
    <w:pPr>
      <w:keepLines/>
      <w:overflowPunct w:val="0"/>
      <w:autoSpaceDE w:val="0"/>
      <w:autoSpaceDN w:val="0"/>
      <w:adjustRightInd w:val="0"/>
      <w:spacing w:before="143" w:line="280" w:lineRule="exact"/>
      <w:textAlignment w:val="baseline"/>
    </w:pPr>
    <w:rPr>
      <w:b/>
      <w:i/>
      <w:noProof/>
      <w:sz w:val="26"/>
    </w:rPr>
  </w:style>
  <w:style w:type="character" w:styleId="Strong">
    <w:name w:val="Strong"/>
    <w:basedOn w:val="DefaultParagraphFont"/>
    <w:qFormat/>
    <w:rsid w:val="005027FD"/>
    <w:rPr>
      <w:rFonts w:cs="Times New Roman"/>
      <w:b/>
      <w:bCs/>
    </w:rPr>
  </w:style>
  <w:style w:type="character" w:styleId="Hyperlink">
    <w:name w:val="Hyperlink"/>
    <w:basedOn w:val="DefaultParagraphFont"/>
    <w:uiPriority w:val="99"/>
    <w:rsid w:val="005027FD"/>
    <w:rPr>
      <w:rFonts w:cs="Times New Roman"/>
      <w:color w:val="0000FF"/>
      <w:u w:val="single"/>
    </w:rPr>
  </w:style>
  <w:style w:type="paragraph" w:customStyle="1" w:styleId="Pa0">
    <w:name w:val="Pa0"/>
    <w:basedOn w:val="Normal"/>
    <w:next w:val="Normal"/>
    <w:rsid w:val="005027FD"/>
    <w:pPr>
      <w:autoSpaceDE w:val="0"/>
      <w:autoSpaceDN w:val="0"/>
      <w:adjustRightInd w:val="0"/>
      <w:spacing w:line="240" w:lineRule="atLeast"/>
    </w:pPr>
    <w:rPr>
      <w:rFonts w:ascii="Times" w:hAnsi="Times"/>
    </w:rPr>
  </w:style>
  <w:style w:type="paragraph" w:customStyle="1" w:styleId="style">
    <w:name w:val="style"/>
    <w:basedOn w:val="Normal"/>
    <w:rsid w:val="005027FD"/>
    <w:pPr>
      <w:autoSpaceDE w:val="0"/>
      <w:autoSpaceDN w:val="0"/>
    </w:pPr>
  </w:style>
  <w:style w:type="paragraph" w:customStyle="1" w:styleId="Default">
    <w:name w:val="Default"/>
    <w:rsid w:val="005027FD"/>
    <w:pPr>
      <w:autoSpaceDE w:val="0"/>
      <w:autoSpaceDN w:val="0"/>
      <w:adjustRightInd w:val="0"/>
    </w:pPr>
    <w:rPr>
      <w:rFonts w:ascii="Helvetica" w:hAnsi="Helvetica" w:cs="Helvetica"/>
      <w:color w:val="000000"/>
      <w:sz w:val="24"/>
      <w:szCs w:val="24"/>
    </w:rPr>
  </w:style>
  <w:style w:type="character" w:customStyle="1" w:styleId="A0">
    <w:name w:val="A0"/>
    <w:rsid w:val="005027FD"/>
    <w:rPr>
      <w:b/>
      <w:color w:val="000000"/>
      <w:sz w:val="28"/>
    </w:rPr>
  </w:style>
  <w:style w:type="character" w:customStyle="1" w:styleId="explanation">
    <w:name w:val="explanation"/>
    <w:basedOn w:val="DefaultParagraphFont"/>
    <w:rsid w:val="005027FD"/>
    <w:rPr>
      <w:rFonts w:cs="Times New Roman"/>
    </w:rPr>
  </w:style>
  <w:style w:type="character" w:customStyle="1" w:styleId="a">
    <w:name w:val="_"/>
    <w:basedOn w:val="DefaultParagraphFont"/>
    <w:rsid w:val="005027FD"/>
    <w:rPr>
      <w:rFonts w:cs="Times New Roman"/>
    </w:rPr>
  </w:style>
  <w:style w:type="paragraph" w:customStyle="1" w:styleId="WPFooter">
    <w:name w:val="WP_Footer"/>
    <w:basedOn w:val="Normal"/>
    <w:rsid w:val="005027FD"/>
    <w:pPr>
      <w:widowControl w:val="0"/>
      <w:tabs>
        <w:tab w:val="left" w:pos="0"/>
        <w:tab w:val="center" w:pos="4320"/>
        <w:tab w:val="right" w:pos="8640"/>
      </w:tabs>
    </w:pPr>
    <w:rPr>
      <w:szCs w:val="20"/>
    </w:rPr>
  </w:style>
  <w:style w:type="character" w:styleId="Emphasis">
    <w:name w:val="Emphasis"/>
    <w:basedOn w:val="DefaultParagraphFont"/>
    <w:uiPriority w:val="20"/>
    <w:qFormat/>
    <w:rsid w:val="007B341A"/>
    <w:rPr>
      <w:rFonts w:cs="Times New Roman"/>
      <w:i/>
      <w:iCs/>
    </w:rPr>
  </w:style>
  <w:style w:type="paragraph" w:styleId="Revision">
    <w:name w:val="Revision"/>
    <w:hidden/>
    <w:semiHidden/>
    <w:rsid w:val="00A965F5"/>
    <w:rPr>
      <w:sz w:val="24"/>
      <w:szCs w:val="24"/>
    </w:rPr>
  </w:style>
  <w:style w:type="paragraph" w:customStyle="1" w:styleId="style34">
    <w:name w:val="style34"/>
    <w:basedOn w:val="Normal"/>
    <w:rsid w:val="00F92506"/>
    <w:pPr>
      <w:spacing w:before="100" w:beforeAutospacing="1" w:after="100" w:afterAutospacing="1"/>
    </w:pPr>
    <w:rPr>
      <w:rFonts w:ascii="Verdana" w:hAnsi="Verdana"/>
      <w:color w:val="000000"/>
      <w:sz w:val="15"/>
      <w:szCs w:val="15"/>
    </w:rPr>
  </w:style>
  <w:style w:type="character" w:customStyle="1" w:styleId="a1">
    <w:name w:val="a"/>
    <w:basedOn w:val="DefaultParagraphFont"/>
    <w:rsid w:val="00F92506"/>
    <w:rPr>
      <w:rFonts w:cs="Times New Roman"/>
    </w:rPr>
  </w:style>
  <w:style w:type="paragraph" w:styleId="Caption">
    <w:name w:val="caption"/>
    <w:basedOn w:val="Normal"/>
    <w:next w:val="Normal"/>
    <w:qFormat/>
    <w:locked/>
    <w:rsid w:val="00F92506"/>
    <w:rPr>
      <w:b/>
      <w:bCs/>
      <w:sz w:val="20"/>
      <w:szCs w:val="20"/>
    </w:rPr>
  </w:style>
  <w:style w:type="paragraph" w:customStyle="1" w:styleId="ATFParagraph">
    <w:name w:val="ATF Paragraph"/>
    <w:basedOn w:val="Normal"/>
    <w:rsid w:val="00F92506"/>
    <w:pPr>
      <w:spacing w:after="240"/>
    </w:pPr>
  </w:style>
  <w:style w:type="paragraph" w:styleId="DocumentMap">
    <w:name w:val="Document Map"/>
    <w:basedOn w:val="Normal"/>
    <w:link w:val="DocumentMapChar"/>
    <w:semiHidden/>
    <w:locked/>
    <w:rsid w:val="00F9250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F92506"/>
    <w:rPr>
      <w:rFonts w:ascii="Tahoma" w:hAnsi="Tahoma" w:cs="Tahoma"/>
      <w:shd w:val="clear" w:color="auto" w:fill="000080"/>
    </w:rPr>
  </w:style>
  <w:style w:type="paragraph" w:customStyle="1" w:styleId="style10">
    <w:name w:val="style10"/>
    <w:basedOn w:val="Normal"/>
    <w:rsid w:val="00F92506"/>
    <w:pPr>
      <w:spacing w:before="100" w:beforeAutospacing="1" w:after="100" w:afterAutospacing="1"/>
    </w:pPr>
    <w:rPr>
      <w:sz w:val="20"/>
      <w:szCs w:val="20"/>
    </w:rPr>
  </w:style>
  <w:style w:type="character" w:styleId="FollowedHyperlink">
    <w:name w:val="FollowedHyperlink"/>
    <w:basedOn w:val="DefaultParagraphFont"/>
    <w:locked/>
    <w:rsid w:val="00D50841"/>
    <w:rPr>
      <w:rFonts w:cs="Times New Roman"/>
      <w:color w:val="800080"/>
      <w:u w:val="single"/>
    </w:rPr>
  </w:style>
  <w:style w:type="paragraph" w:customStyle="1" w:styleId="CM40">
    <w:name w:val="CM40"/>
    <w:basedOn w:val="Default"/>
    <w:next w:val="Default"/>
    <w:rsid w:val="00D50841"/>
    <w:pPr>
      <w:spacing w:after="248"/>
    </w:pPr>
    <w:rPr>
      <w:rFonts w:ascii="Times New Roman" w:hAnsi="Times New Roman" w:cs="Times New Roman"/>
      <w:color w:val="auto"/>
    </w:rPr>
  </w:style>
  <w:style w:type="paragraph" w:customStyle="1" w:styleId="Bullet1">
    <w:name w:val="Bullet 1"/>
    <w:basedOn w:val="Normal"/>
    <w:rsid w:val="00D50841"/>
    <w:pPr>
      <w:tabs>
        <w:tab w:val="num" w:pos="720"/>
      </w:tabs>
      <w:ind w:left="720" w:hanging="360"/>
    </w:pPr>
    <w:rPr>
      <w:rFonts w:ascii="Verdana" w:hAnsi="Verdana"/>
      <w:sz w:val="20"/>
      <w:szCs w:val="20"/>
    </w:rPr>
  </w:style>
  <w:style w:type="paragraph" w:customStyle="1" w:styleId="Pa4">
    <w:name w:val="Pa4"/>
    <w:basedOn w:val="Default"/>
    <w:next w:val="Default"/>
    <w:rsid w:val="00D50841"/>
    <w:pPr>
      <w:spacing w:after="120" w:line="217" w:lineRule="atLeast"/>
    </w:pPr>
    <w:rPr>
      <w:rFonts w:ascii="Times New Roman PS" w:hAnsi="Times New Roman PS" w:cs="Times New Roman"/>
      <w:color w:val="auto"/>
    </w:rPr>
  </w:style>
  <w:style w:type="paragraph" w:styleId="HTMLPreformatted">
    <w:name w:val="HTML Preformatted"/>
    <w:basedOn w:val="Normal"/>
    <w:link w:val="HTMLPreformattedChar"/>
    <w:locked/>
    <w:rsid w:val="0054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54024D"/>
    <w:rPr>
      <w:rFonts w:ascii="Courier New" w:hAnsi="Courier New" w:cs="Courier New"/>
    </w:rPr>
  </w:style>
  <w:style w:type="paragraph" w:customStyle="1" w:styleId="bullet10">
    <w:name w:val="bullet10"/>
    <w:basedOn w:val="Normal"/>
    <w:rsid w:val="0054024D"/>
    <w:pPr>
      <w:tabs>
        <w:tab w:val="num" w:pos="1080"/>
      </w:tabs>
      <w:ind w:left="1080" w:hanging="360"/>
    </w:pPr>
    <w:rPr>
      <w:rFonts w:ascii="Verdana" w:hAnsi="Verdana"/>
      <w:sz w:val="20"/>
      <w:szCs w:val="20"/>
    </w:rPr>
  </w:style>
  <w:style w:type="paragraph" w:styleId="ListParagraph">
    <w:name w:val="List Paragraph"/>
    <w:basedOn w:val="Normal"/>
    <w:link w:val="ListParagraphChar"/>
    <w:uiPriority w:val="34"/>
    <w:qFormat/>
    <w:rsid w:val="000E54A1"/>
    <w:pPr>
      <w:ind w:left="720"/>
      <w:contextualSpacing/>
    </w:pPr>
  </w:style>
  <w:style w:type="character" w:customStyle="1" w:styleId="t110">
    <w:name w:val="t110"/>
    <w:basedOn w:val="DefaultParagraphFont"/>
    <w:rsid w:val="00F72B72"/>
    <w:rPr>
      <w:color w:val="000000"/>
    </w:rPr>
  </w:style>
  <w:style w:type="paragraph" w:customStyle="1" w:styleId="BudgetHeading1">
    <w:name w:val="Budget Heading 1"/>
    <w:basedOn w:val="Normal"/>
    <w:qFormat/>
    <w:rsid w:val="002C47CF"/>
    <w:pPr>
      <w:numPr>
        <w:numId w:val="30"/>
      </w:numPr>
    </w:pPr>
    <w:rPr>
      <w:rFonts w:eastAsia="Calibri"/>
      <w:b/>
      <w:bCs/>
      <w:color w:val="000000"/>
    </w:rPr>
  </w:style>
  <w:style w:type="paragraph" w:customStyle="1" w:styleId="BudgetHeading2">
    <w:name w:val="Budget Heading 2"/>
    <w:basedOn w:val="Normal"/>
    <w:link w:val="BudgetHeading2Char"/>
    <w:qFormat/>
    <w:rsid w:val="002C47CF"/>
    <w:pPr>
      <w:numPr>
        <w:ilvl w:val="1"/>
        <w:numId w:val="30"/>
      </w:numPr>
    </w:pPr>
    <w:rPr>
      <w:rFonts w:eastAsia="Calibri"/>
      <w:b/>
      <w:bCs/>
      <w:color w:val="000000"/>
    </w:rPr>
  </w:style>
  <w:style w:type="character" w:customStyle="1" w:styleId="BudgetHeading2Char">
    <w:name w:val="Budget Heading 2 Char"/>
    <w:basedOn w:val="DefaultParagraphFont"/>
    <w:link w:val="BudgetHeading2"/>
    <w:rsid w:val="002C47CF"/>
    <w:rPr>
      <w:rFonts w:eastAsia="Calibri"/>
      <w:b/>
      <w:bCs/>
      <w:color w:val="000000"/>
      <w:sz w:val="24"/>
      <w:szCs w:val="24"/>
    </w:rPr>
  </w:style>
  <w:style w:type="character" w:customStyle="1" w:styleId="fedli">
    <w:name w:val="fed_li"/>
    <w:basedOn w:val="DefaultParagraphFont"/>
    <w:rsid w:val="00762E8C"/>
  </w:style>
  <w:style w:type="paragraph" w:customStyle="1" w:styleId="Level1">
    <w:name w:val="Level 1"/>
    <w:basedOn w:val="Normal"/>
    <w:uiPriority w:val="99"/>
    <w:rsid w:val="00186E18"/>
    <w:pPr>
      <w:widowControl w:val="0"/>
      <w:ind w:left="1440" w:hanging="720"/>
    </w:pPr>
    <w:rPr>
      <w:snapToGrid w:val="0"/>
      <w:szCs w:val="20"/>
    </w:rPr>
  </w:style>
  <w:style w:type="paragraph" w:styleId="TOCHeading">
    <w:name w:val="TOC Heading"/>
    <w:basedOn w:val="Heading1"/>
    <w:next w:val="Normal"/>
    <w:uiPriority w:val="39"/>
    <w:semiHidden/>
    <w:unhideWhenUsed/>
    <w:qFormat/>
    <w:rsid w:val="00EE5D13"/>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rsid w:val="00EE5D13"/>
    <w:pPr>
      <w:spacing w:after="100"/>
    </w:pPr>
  </w:style>
  <w:style w:type="paragraph" w:styleId="TOC2">
    <w:name w:val="toc 2"/>
    <w:basedOn w:val="Normal"/>
    <w:next w:val="Normal"/>
    <w:autoRedefine/>
    <w:uiPriority w:val="39"/>
    <w:rsid w:val="00EE5D13"/>
    <w:pPr>
      <w:spacing w:after="100"/>
      <w:ind w:left="240"/>
    </w:pPr>
  </w:style>
  <w:style w:type="paragraph" w:styleId="TOC3">
    <w:name w:val="toc 3"/>
    <w:basedOn w:val="Normal"/>
    <w:next w:val="Normal"/>
    <w:autoRedefine/>
    <w:uiPriority w:val="39"/>
    <w:rsid w:val="00EE5D13"/>
    <w:pPr>
      <w:spacing w:after="100"/>
      <w:ind w:left="480"/>
    </w:pPr>
  </w:style>
  <w:style w:type="character" w:customStyle="1" w:styleId="ListParagraphChar">
    <w:name w:val="List Paragraph Char"/>
    <w:basedOn w:val="DefaultParagraphFont"/>
    <w:link w:val="ListParagraph"/>
    <w:uiPriority w:val="34"/>
    <w:locked/>
    <w:rsid w:val="006145F6"/>
    <w:rPr>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7603206">
      <w:bodyDiv w:val="1"/>
      <w:marLeft w:val="0"/>
      <w:marRight w:val="0"/>
      <w:marTop w:val="0"/>
      <w:marBottom w:val="0"/>
      <w:divBdr>
        <w:top w:val="none" w:sz="0" w:space="0" w:color="auto"/>
        <w:left w:val="none" w:sz="0" w:space="0" w:color="auto"/>
        <w:bottom w:val="none" w:sz="0" w:space="0" w:color="auto"/>
        <w:right w:val="none" w:sz="0" w:space="0" w:color="auto"/>
      </w:divBdr>
    </w:div>
    <w:div w:id="252905160">
      <w:bodyDiv w:val="1"/>
      <w:marLeft w:val="0"/>
      <w:marRight w:val="0"/>
      <w:marTop w:val="0"/>
      <w:marBottom w:val="0"/>
      <w:divBdr>
        <w:top w:val="none" w:sz="0" w:space="0" w:color="auto"/>
        <w:left w:val="none" w:sz="0" w:space="0" w:color="auto"/>
        <w:bottom w:val="none" w:sz="0" w:space="0" w:color="auto"/>
        <w:right w:val="none" w:sz="0" w:space="0" w:color="auto"/>
      </w:divBdr>
    </w:div>
    <w:div w:id="279917176">
      <w:bodyDiv w:val="1"/>
      <w:marLeft w:val="0"/>
      <w:marRight w:val="0"/>
      <w:marTop w:val="0"/>
      <w:marBottom w:val="0"/>
      <w:divBdr>
        <w:top w:val="none" w:sz="0" w:space="0" w:color="auto"/>
        <w:left w:val="none" w:sz="0" w:space="0" w:color="auto"/>
        <w:bottom w:val="none" w:sz="0" w:space="0" w:color="auto"/>
        <w:right w:val="none" w:sz="0" w:space="0" w:color="auto"/>
      </w:divBdr>
    </w:div>
    <w:div w:id="293294748">
      <w:bodyDiv w:val="1"/>
      <w:marLeft w:val="0"/>
      <w:marRight w:val="0"/>
      <w:marTop w:val="0"/>
      <w:marBottom w:val="0"/>
      <w:divBdr>
        <w:top w:val="none" w:sz="0" w:space="0" w:color="auto"/>
        <w:left w:val="none" w:sz="0" w:space="0" w:color="auto"/>
        <w:bottom w:val="none" w:sz="0" w:space="0" w:color="auto"/>
        <w:right w:val="none" w:sz="0" w:space="0" w:color="auto"/>
      </w:divBdr>
    </w:div>
    <w:div w:id="348072318">
      <w:bodyDiv w:val="1"/>
      <w:marLeft w:val="0"/>
      <w:marRight w:val="0"/>
      <w:marTop w:val="0"/>
      <w:marBottom w:val="0"/>
      <w:divBdr>
        <w:top w:val="none" w:sz="0" w:space="0" w:color="auto"/>
        <w:left w:val="none" w:sz="0" w:space="0" w:color="auto"/>
        <w:bottom w:val="none" w:sz="0" w:space="0" w:color="auto"/>
        <w:right w:val="none" w:sz="0" w:space="0" w:color="auto"/>
      </w:divBdr>
    </w:div>
    <w:div w:id="411006926">
      <w:bodyDiv w:val="1"/>
      <w:marLeft w:val="0"/>
      <w:marRight w:val="0"/>
      <w:marTop w:val="0"/>
      <w:marBottom w:val="0"/>
      <w:divBdr>
        <w:top w:val="none" w:sz="0" w:space="0" w:color="auto"/>
        <w:left w:val="none" w:sz="0" w:space="0" w:color="auto"/>
        <w:bottom w:val="none" w:sz="0" w:space="0" w:color="auto"/>
        <w:right w:val="none" w:sz="0" w:space="0" w:color="auto"/>
      </w:divBdr>
    </w:div>
    <w:div w:id="432676075">
      <w:bodyDiv w:val="1"/>
      <w:marLeft w:val="0"/>
      <w:marRight w:val="0"/>
      <w:marTop w:val="0"/>
      <w:marBottom w:val="0"/>
      <w:divBdr>
        <w:top w:val="none" w:sz="0" w:space="0" w:color="auto"/>
        <w:left w:val="none" w:sz="0" w:space="0" w:color="auto"/>
        <w:bottom w:val="none" w:sz="0" w:space="0" w:color="auto"/>
        <w:right w:val="none" w:sz="0" w:space="0" w:color="auto"/>
      </w:divBdr>
    </w:div>
    <w:div w:id="502823355">
      <w:bodyDiv w:val="1"/>
      <w:marLeft w:val="0"/>
      <w:marRight w:val="0"/>
      <w:marTop w:val="0"/>
      <w:marBottom w:val="0"/>
      <w:divBdr>
        <w:top w:val="none" w:sz="0" w:space="0" w:color="auto"/>
        <w:left w:val="none" w:sz="0" w:space="0" w:color="auto"/>
        <w:bottom w:val="none" w:sz="0" w:space="0" w:color="auto"/>
        <w:right w:val="none" w:sz="0" w:space="0" w:color="auto"/>
      </w:divBdr>
    </w:div>
    <w:div w:id="922646151">
      <w:bodyDiv w:val="1"/>
      <w:marLeft w:val="0"/>
      <w:marRight w:val="0"/>
      <w:marTop w:val="0"/>
      <w:marBottom w:val="0"/>
      <w:divBdr>
        <w:top w:val="none" w:sz="0" w:space="0" w:color="auto"/>
        <w:left w:val="none" w:sz="0" w:space="0" w:color="auto"/>
        <w:bottom w:val="none" w:sz="0" w:space="0" w:color="auto"/>
        <w:right w:val="none" w:sz="0" w:space="0" w:color="auto"/>
      </w:divBdr>
    </w:div>
    <w:div w:id="925842171">
      <w:bodyDiv w:val="1"/>
      <w:marLeft w:val="0"/>
      <w:marRight w:val="0"/>
      <w:marTop w:val="121"/>
      <w:marBottom w:val="0"/>
      <w:divBdr>
        <w:top w:val="none" w:sz="0" w:space="0" w:color="auto"/>
        <w:left w:val="none" w:sz="0" w:space="0" w:color="auto"/>
        <w:bottom w:val="none" w:sz="0" w:space="0" w:color="auto"/>
        <w:right w:val="none" w:sz="0" w:space="0" w:color="auto"/>
      </w:divBdr>
      <w:divsChild>
        <w:div w:id="2032563366">
          <w:marLeft w:val="0"/>
          <w:marRight w:val="0"/>
          <w:marTop w:val="0"/>
          <w:marBottom w:val="0"/>
          <w:divBdr>
            <w:top w:val="none" w:sz="0" w:space="0" w:color="auto"/>
            <w:left w:val="none" w:sz="0" w:space="0" w:color="auto"/>
            <w:bottom w:val="none" w:sz="0" w:space="0" w:color="auto"/>
            <w:right w:val="none" w:sz="0" w:space="0" w:color="auto"/>
          </w:divBdr>
          <w:divsChild>
            <w:div w:id="1335913483">
              <w:marLeft w:val="0"/>
              <w:marRight w:val="0"/>
              <w:marTop w:val="0"/>
              <w:marBottom w:val="0"/>
              <w:divBdr>
                <w:top w:val="none" w:sz="0" w:space="0" w:color="auto"/>
                <w:left w:val="none" w:sz="0" w:space="0" w:color="auto"/>
                <w:bottom w:val="none" w:sz="0" w:space="0" w:color="auto"/>
                <w:right w:val="none" w:sz="0" w:space="0" w:color="auto"/>
              </w:divBdr>
              <w:divsChild>
                <w:div w:id="2052538284">
                  <w:marLeft w:val="0"/>
                  <w:marRight w:val="0"/>
                  <w:marTop w:val="0"/>
                  <w:marBottom w:val="0"/>
                  <w:divBdr>
                    <w:top w:val="none" w:sz="0" w:space="0" w:color="auto"/>
                    <w:left w:val="none" w:sz="0" w:space="0" w:color="auto"/>
                    <w:bottom w:val="none" w:sz="0" w:space="0" w:color="auto"/>
                    <w:right w:val="none" w:sz="0" w:space="0" w:color="auto"/>
                  </w:divBdr>
                  <w:divsChild>
                    <w:div w:id="1647054342">
                      <w:marLeft w:val="0"/>
                      <w:marRight w:val="0"/>
                      <w:marTop w:val="0"/>
                      <w:marBottom w:val="0"/>
                      <w:divBdr>
                        <w:top w:val="none" w:sz="0" w:space="0" w:color="auto"/>
                        <w:left w:val="none" w:sz="0" w:space="0" w:color="auto"/>
                        <w:bottom w:val="none" w:sz="0" w:space="0" w:color="auto"/>
                        <w:right w:val="none" w:sz="0" w:space="0" w:color="auto"/>
                      </w:divBdr>
                      <w:divsChild>
                        <w:div w:id="1236209981">
                          <w:marLeft w:val="0"/>
                          <w:marRight w:val="0"/>
                          <w:marTop w:val="0"/>
                          <w:marBottom w:val="0"/>
                          <w:divBdr>
                            <w:top w:val="single" w:sz="6" w:space="0" w:color="C0C0C0"/>
                            <w:left w:val="single" w:sz="6" w:space="0" w:color="C0C0C0"/>
                            <w:bottom w:val="single" w:sz="6" w:space="0" w:color="C0C0C0"/>
                            <w:right w:val="single" w:sz="6" w:space="0" w:color="C0C0C0"/>
                          </w:divBdr>
                          <w:divsChild>
                            <w:div w:id="1536961634">
                              <w:marLeft w:val="0"/>
                              <w:marRight w:val="0"/>
                              <w:marTop w:val="0"/>
                              <w:marBottom w:val="0"/>
                              <w:divBdr>
                                <w:top w:val="none" w:sz="0" w:space="0" w:color="auto"/>
                                <w:left w:val="none" w:sz="0" w:space="0" w:color="auto"/>
                                <w:bottom w:val="none" w:sz="0" w:space="0" w:color="auto"/>
                                <w:right w:val="none" w:sz="0" w:space="0" w:color="auto"/>
                              </w:divBdr>
                              <w:divsChild>
                                <w:div w:id="2130780138">
                                  <w:marLeft w:val="0"/>
                                  <w:marRight w:val="0"/>
                                  <w:marTop w:val="0"/>
                                  <w:marBottom w:val="0"/>
                                  <w:divBdr>
                                    <w:top w:val="none" w:sz="0" w:space="0" w:color="auto"/>
                                    <w:left w:val="none" w:sz="0" w:space="0" w:color="auto"/>
                                    <w:bottom w:val="none" w:sz="0" w:space="0" w:color="auto"/>
                                    <w:right w:val="none" w:sz="0" w:space="0" w:color="auto"/>
                                  </w:divBdr>
                                  <w:divsChild>
                                    <w:div w:id="342896970">
                                      <w:marLeft w:val="0"/>
                                      <w:marRight w:val="0"/>
                                      <w:marTop w:val="0"/>
                                      <w:marBottom w:val="0"/>
                                      <w:divBdr>
                                        <w:top w:val="none" w:sz="0" w:space="0" w:color="auto"/>
                                        <w:left w:val="none" w:sz="0" w:space="0" w:color="auto"/>
                                        <w:bottom w:val="none" w:sz="0" w:space="0" w:color="auto"/>
                                        <w:right w:val="none" w:sz="0" w:space="0" w:color="auto"/>
                                      </w:divBdr>
                                      <w:divsChild>
                                        <w:div w:id="1244071626">
                                          <w:marLeft w:val="0"/>
                                          <w:marRight w:val="0"/>
                                          <w:marTop w:val="0"/>
                                          <w:marBottom w:val="0"/>
                                          <w:divBdr>
                                            <w:top w:val="none" w:sz="0" w:space="0" w:color="auto"/>
                                            <w:left w:val="none" w:sz="0" w:space="0" w:color="auto"/>
                                            <w:bottom w:val="none" w:sz="0" w:space="0" w:color="auto"/>
                                            <w:right w:val="none" w:sz="0" w:space="0" w:color="auto"/>
                                          </w:divBdr>
                                          <w:divsChild>
                                            <w:div w:id="631133579">
                                              <w:marLeft w:val="0"/>
                                              <w:marRight w:val="0"/>
                                              <w:marTop w:val="0"/>
                                              <w:marBottom w:val="0"/>
                                              <w:divBdr>
                                                <w:top w:val="none" w:sz="0" w:space="0" w:color="auto"/>
                                                <w:left w:val="none" w:sz="0" w:space="0" w:color="auto"/>
                                                <w:bottom w:val="none" w:sz="0" w:space="0" w:color="auto"/>
                                                <w:right w:val="none" w:sz="0" w:space="0" w:color="auto"/>
                                              </w:divBdr>
                                              <w:divsChild>
                                                <w:div w:id="1226642121">
                                                  <w:marLeft w:val="0"/>
                                                  <w:marRight w:val="0"/>
                                                  <w:marTop w:val="0"/>
                                                  <w:marBottom w:val="0"/>
                                                  <w:divBdr>
                                                    <w:top w:val="none" w:sz="0" w:space="0" w:color="auto"/>
                                                    <w:left w:val="none" w:sz="0" w:space="0" w:color="auto"/>
                                                    <w:bottom w:val="none" w:sz="0" w:space="0" w:color="auto"/>
                                                    <w:right w:val="none" w:sz="0" w:space="0" w:color="auto"/>
                                                  </w:divBdr>
                                                  <w:divsChild>
                                                    <w:div w:id="1974603638">
                                                      <w:marLeft w:val="0"/>
                                                      <w:marRight w:val="0"/>
                                                      <w:marTop w:val="0"/>
                                                      <w:marBottom w:val="0"/>
                                                      <w:divBdr>
                                                        <w:top w:val="none" w:sz="0" w:space="0" w:color="auto"/>
                                                        <w:left w:val="none" w:sz="0" w:space="0" w:color="auto"/>
                                                        <w:bottom w:val="none" w:sz="0" w:space="0" w:color="auto"/>
                                                        <w:right w:val="none" w:sz="0" w:space="0" w:color="auto"/>
                                                      </w:divBdr>
                                                      <w:divsChild>
                                                        <w:div w:id="1877421899">
                                                          <w:marLeft w:val="0"/>
                                                          <w:marRight w:val="0"/>
                                                          <w:marTop w:val="0"/>
                                                          <w:marBottom w:val="0"/>
                                                          <w:divBdr>
                                                            <w:top w:val="none" w:sz="0" w:space="0" w:color="auto"/>
                                                            <w:left w:val="none" w:sz="0" w:space="0" w:color="auto"/>
                                                            <w:bottom w:val="none" w:sz="0" w:space="0" w:color="auto"/>
                                                            <w:right w:val="none" w:sz="0" w:space="0" w:color="auto"/>
                                                          </w:divBdr>
                                                        </w:div>
                                                      </w:divsChild>
                                                    </w:div>
                                                    <w:div w:id="912858293">
                                                      <w:marLeft w:val="0"/>
                                                      <w:marRight w:val="0"/>
                                                      <w:marTop w:val="0"/>
                                                      <w:marBottom w:val="0"/>
                                                      <w:divBdr>
                                                        <w:top w:val="none" w:sz="0" w:space="0" w:color="auto"/>
                                                        <w:left w:val="none" w:sz="0" w:space="0" w:color="auto"/>
                                                        <w:bottom w:val="none" w:sz="0" w:space="0" w:color="auto"/>
                                                        <w:right w:val="none" w:sz="0" w:space="0" w:color="auto"/>
                                                      </w:divBdr>
                                                    </w:div>
                                                    <w:div w:id="1118066508">
                                                      <w:marLeft w:val="0"/>
                                                      <w:marRight w:val="0"/>
                                                      <w:marTop w:val="0"/>
                                                      <w:marBottom w:val="0"/>
                                                      <w:divBdr>
                                                        <w:top w:val="none" w:sz="0" w:space="0" w:color="auto"/>
                                                        <w:left w:val="none" w:sz="0" w:space="0" w:color="auto"/>
                                                        <w:bottom w:val="none" w:sz="0" w:space="0" w:color="auto"/>
                                                        <w:right w:val="none" w:sz="0" w:space="0" w:color="auto"/>
                                                      </w:divBdr>
                                                      <w:divsChild>
                                                        <w:div w:id="919486909">
                                                          <w:marLeft w:val="0"/>
                                                          <w:marRight w:val="0"/>
                                                          <w:marTop w:val="0"/>
                                                          <w:marBottom w:val="0"/>
                                                          <w:divBdr>
                                                            <w:top w:val="none" w:sz="0" w:space="0" w:color="auto"/>
                                                            <w:left w:val="none" w:sz="0" w:space="0" w:color="auto"/>
                                                            <w:bottom w:val="none" w:sz="0" w:space="0" w:color="auto"/>
                                                            <w:right w:val="none" w:sz="0" w:space="0" w:color="auto"/>
                                                          </w:divBdr>
                                                          <w:divsChild>
                                                            <w:div w:id="981891015">
                                                              <w:marLeft w:val="0"/>
                                                              <w:marRight w:val="0"/>
                                                              <w:marTop w:val="0"/>
                                                              <w:marBottom w:val="0"/>
                                                              <w:divBdr>
                                                                <w:top w:val="none" w:sz="0" w:space="0" w:color="auto"/>
                                                                <w:left w:val="none" w:sz="0" w:space="0" w:color="auto"/>
                                                                <w:bottom w:val="none" w:sz="0" w:space="0" w:color="auto"/>
                                                                <w:right w:val="none" w:sz="0" w:space="0" w:color="auto"/>
                                                              </w:divBdr>
                                                              <w:divsChild>
                                                                <w:div w:id="1035351455">
                                                                  <w:marLeft w:val="0"/>
                                                                  <w:marRight w:val="0"/>
                                                                  <w:marTop w:val="0"/>
                                                                  <w:marBottom w:val="0"/>
                                                                  <w:divBdr>
                                                                    <w:top w:val="none" w:sz="0" w:space="0" w:color="auto"/>
                                                                    <w:left w:val="none" w:sz="0" w:space="0" w:color="auto"/>
                                                                    <w:bottom w:val="none" w:sz="0" w:space="0" w:color="auto"/>
                                                                    <w:right w:val="none" w:sz="0" w:space="0" w:color="auto"/>
                                                                  </w:divBdr>
                                                                  <w:divsChild>
                                                                    <w:div w:id="1623925467">
                                                                      <w:marLeft w:val="0"/>
                                                                      <w:marRight w:val="0"/>
                                                                      <w:marTop w:val="0"/>
                                                                      <w:marBottom w:val="0"/>
                                                                      <w:divBdr>
                                                                        <w:top w:val="none" w:sz="0" w:space="0" w:color="auto"/>
                                                                        <w:left w:val="none" w:sz="0" w:space="0" w:color="auto"/>
                                                                        <w:bottom w:val="none" w:sz="0" w:space="0" w:color="auto"/>
                                                                        <w:right w:val="none" w:sz="0" w:space="0" w:color="auto"/>
                                                                      </w:divBdr>
                                                                    </w:div>
                                                                    <w:div w:id="84197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19908">
                                                          <w:marLeft w:val="0"/>
                                                          <w:marRight w:val="0"/>
                                                          <w:marTop w:val="0"/>
                                                          <w:marBottom w:val="0"/>
                                                          <w:divBdr>
                                                            <w:top w:val="none" w:sz="0" w:space="0" w:color="auto"/>
                                                            <w:left w:val="none" w:sz="0" w:space="0" w:color="auto"/>
                                                            <w:bottom w:val="none" w:sz="0" w:space="0" w:color="auto"/>
                                                            <w:right w:val="none" w:sz="0" w:space="0" w:color="auto"/>
                                                          </w:divBdr>
                                                          <w:divsChild>
                                                            <w:div w:id="1591232420">
                                                              <w:marLeft w:val="0"/>
                                                              <w:marRight w:val="0"/>
                                                              <w:marTop w:val="0"/>
                                                              <w:marBottom w:val="0"/>
                                                              <w:divBdr>
                                                                <w:top w:val="none" w:sz="0" w:space="0" w:color="auto"/>
                                                                <w:left w:val="none" w:sz="0" w:space="0" w:color="auto"/>
                                                                <w:bottom w:val="none" w:sz="0" w:space="0" w:color="auto"/>
                                                                <w:right w:val="none" w:sz="0" w:space="0" w:color="auto"/>
                                                              </w:divBdr>
                                                              <w:divsChild>
                                                                <w:div w:id="550923024">
                                                                  <w:marLeft w:val="0"/>
                                                                  <w:marRight w:val="0"/>
                                                                  <w:marTop w:val="0"/>
                                                                  <w:marBottom w:val="0"/>
                                                                  <w:divBdr>
                                                                    <w:top w:val="none" w:sz="0" w:space="0" w:color="auto"/>
                                                                    <w:left w:val="none" w:sz="0" w:space="0" w:color="auto"/>
                                                                    <w:bottom w:val="none" w:sz="0" w:space="0" w:color="auto"/>
                                                                    <w:right w:val="none" w:sz="0" w:space="0" w:color="auto"/>
                                                                  </w:divBdr>
                                                                  <w:divsChild>
                                                                    <w:div w:id="741874133">
                                                                      <w:marLeft w:val="0"/>
                                                                      <w:marRight w:val="0"/>
                                                                      <w:marTop w:val="0"/>
                                                                      <w:marBottom w:val="0"/>
                                                                      <w:divBdr>
                                                                        <w:top w:val="none" w:sz="0" w:space="0" w:color="auto"/>
                                                                        <w:left w:val="none" w:sz="0" w:space="0" w:color="auto"/>
                                                                        <w:bottom w:val="none" w:sz="0" w:space="0" w:color="auto"/>
                                                                        <w:right w:val="none" w:sz="0" w:space="0" w:color="auto"/>
                                                                      </w:divBdr>
                                                                      <w:divsChild>
                                                                        <w:div w:id="106522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88121">
                                                      <w:marLeft w:val="0"/>
                                                      <w:marRight w:val="0"/>
                                                      <w:marTop w:val="0"/>
                                                      <w:marBottom w:val="0"/>
                                                      <w:divBdr>
                                                        <w:top w:val="none" w:sz="0" w:space="0" w:color="auto"/>
                                                        <w:left w:val="none" w:sz="0" w:space="0" w:color="auto"/>
                                                        <w:bottom w:val="none" w:sz="0" w:space="0" w:color="auto"/>
                                                        <w:right w:val="none" w:sz="0" w:space="0" w:color="auto"/>
                                                      </w:divBdr>
                                                      <w:divsChild>
                                                        <w:div w:id="1832863671">
                                                          <w:marLeft w:val="0"/>
                                                          <w:marRight w:val="0"/>
                                                          <w:marTop w:val="0"/>
                                                          <w:marBottom w:val="0"/>
                                                          <w:divBdr>
                                                            <w:top w:val="none" w:sz="0" w:space="0" w:color="auto"/>
                                                            <w:left w:val="none" w:sz="0" w:space="0" w:color="auto"/>
                                                            <w:bottom w:val="none" w:sz="0" w:space="0" w:color="auto"/>
                                                            <w:right w:val="none" w:sz="0" w:space="0" w:color="auto"/>
                                                          </w:divBdr>
                                                          <w:divsChild>
                                                            <w:div w:id="744259302">
                                                              <w:marLeft w:val="0"/>
                                                              <w:marRight w:val="0"/>
                                                              <w:marTop w:val="0"/>
                                                              <w:marBottom w:val="0"/>
                                                              <w:divBdr>
                                                                <w:top w:val="none" w:sz="0" w:space="0" w:color="auto"/>
                                                                <w:left w:val="none" w:sz="0" w:space="0" w:color="auto"/>
                                                                <w:bottom w:val="none" w:sz="0" w:space="0" w:color="auto"/>
                                                                <w:right w:val="none" w:sz="0" w:space="0" w:color="auto"/>
                                                              </w:divBdr>
                                                              <w:divsChild>
                                                                <w:div w:id="359824844">
                                                                  <w:marLeft w:val="0"/>
                                                                  <w:marRight w:val="0"/>
                                                                  <w:marTop w:val="0"/>
                                                                  <w:marBottom w:val="0"/>
                                                                  <w:divBdr>
                                                                    <w:top w:val="none" w:sz="0" w:space="0" w:color="auto"/>
                                                                    <w:left w:val="none" w:sz="0" w:space="0" w:color="auto"/>
                                                                    <w:bottom w:val="none" w:sz="0" w:space="0" w:color="auto"/>
                                                                    <w:right w:val="none" w:sz="0" w:space="0" w:color="auto"/>
                                                                  </w:divBdr>
                                                                  <w:divsChild>
                                                                    <w:div w:id="506604792">
                                                                      <w:marLeft w:val="0"/>
                                                                      <w:marRight w:val="0"/>
                                                                      <w:marTop w:val="0"/>
                                                                      <w:marBottom w:val="0"/>
                                                                      <w:divBdr>
                                                                        <w:top w:val="none" w:sz="0" w:space="0" w:color="auto"/>
                                                                        <w:left w:val="none" w:sz="0" w:space="0" w:color="auto"/>
                                                                        <w:bottom w:val="none" w:sz="0" w:space="0" w:color="auto"/>
                                                                        <w:right w:val="none" w:sz="0" w:space="0" w:color="auto"/>
                                                                      </w:divBdr>
                                                                    </w:div>
                                                                    <w:div w:id="8025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5989">
                                                          <w:marLeft w:val="0"/>
                                                          <w:marRight w:val="0"/>
                                                          <w:marTop w:val="0"/>
                                                          <w:marBottom w:val="0"/>
                                                          <w:divBdr>
                                                            <w:top w:val="none" w:sz="0" w:space="0" w:color="auto"/>
                                                            <w:left w:val="none" w:sz="0" w:space="0" w:color="auto"/>
                                                            <w:bottom w:val="none" w:sz="0" w:space="0" w:color="auto"/>
                                                            <w:right w:val="none" w:sz="0" w:space="0" w:color="auto"/>
                                                          </w:divBdr>
                                                          <w:divsChild>
                                                            <w:div w:id="1938055407">
                                                              <w:marLeft w:val="0"/>
                                                              <w:marRight w:val="0"/>
                                                              <w:marTop w:val="0"/>
                                                              <w:marBottom w:val="0"/>
                                                              <w:divBdr>
                                                                <w:top w:val="none" w:sz="0" w:space="0" w:color="auto"/>
                                                                <w:left w:val="none" w:sz="0" w:space="0" w:color="auto"/>
                                                                <w:bottom w:val="none" w:sz="0" w:space="0" w:color="auto"/>
                                                                <w:right w:val="none" w:sz="0" w:space="0" w:color="auto"/>
                                                              </w:divBdr>
                                                              <w:divsChild>
                                                                <w:div w:id="296183117">
                                                                  <w:marLeft w:val="0"/>
                                                                  <w:marRight w:val="0"/>
                                                                  <w:marTop w:val="0"/>
                                                                  <w:marBottom w:val="0"/>
                                                                  <w:divBdr>
                                                                    <w:top w:val="none" w:sz="0" w:space="0" w:color="auto"/>
                                                                    <w:left w:val="none" w:sz="0" w:space="0" w:color="auto"/>
                                                                    <w:bottom w:val="none" w:sz="0" w:space="0" w:color="auto"/>
                                                                    <w:right w:val="none" w:sz="0" w:space="0" w:color="auto"/>
                                                                  </w:divBdr>
                                                                  <w:divsChild>
                                                                    <w:div w:id="1671833350">
                                                                      <w:marLeft w:val="0"/>
                                                                      <w:marRight w:val="0"/>
                                                                      <w:marTop w:val="0"/>
                                                                      <w:marBottom w:val="0"/>
                                                                      <w:divBdr>
                                                                        <w:top w:val="none" w:sz="0" w:space="0" w:color="auto"/>
                                                                        <w:left w:val="none" w:sz="0" w:space="0" w:color="auto"/>
                                                                        <w:bottom w:val="none" w:sz="0" w:space="0" w:color="auto"/>
                                                                        <w:right w:val="none" w:sz="0" w:space="0" w:color="auto"/>
                                                                      </w:divBdr>
                                                                      <w:divsChild>
                                                                        <w:div w:id="1715696686">
                                                                          <w:marLeft w:val="0"/>
                                                                          <w:marRight w:val="0"/>
                                                                          <w:marTop w:val="0"/>
                                                                          <w:marBottom w:val="0"/>
                                                                          <w:divBdr>
                                                                            <w:top w:val="none" w:sz="0" w:space="0" w:color="auto"/>
                                                                            <w:left w:val="none" w:sz="0" w:space="0" w:color="auto"/>
                                                                            <w:bottom w:val="none" w:sz="0" w:space="0" w:color="auto"/>
                                                                            <w:right w:val="none" w:sz="0" w:space="0" w:color="auto"/>
                                                                          </w:divBdr>
                                                                        </w:div>
                                                                        <w:div w:id="1047603752">
                                                                          <w:marLeft w:val="0"/>
                                                                          <w:marRight w:val="0"/>
                                                                          <w:marTop w:val="0"/>
                                                                          <w:marBottom w:val="0"/>
                                                                          <w:divBdr>
                                                                            <w:top w:val="none" w:sz="0" w:space="0" w:color="auto"/>
                                                                            <w:left w:val="none" w:sz="0" w:space="0" w:color="auto"/>
                                                                            <w:bottom w:val="none" w:sz="0" w:space="0" w:color="auto"/>
                                                                            <w:right w:val="none" w:sz="0" w:space="0" w:color="auto"/>
                                                                          </w:divBdr>
                                                                        </w:div>
                                                                        <w:div w:id="212081000">
                                                                          <w:marLeft w:val="0"/>
                                                                          <w:marRight w:val="0"/>
                                                                          <w:marTop w:val="0"/>
                                                                          <w:marBottom w:val="0"/>
                                                                          <w:divBdr>
                                                                            <w:top w:val="none" w:sz="0" w:space="0" w:color="auto"/>
                                                                            <w:left w:val="none" w:sz="0" w:space="0" w:color="auto"/>
                                                                            <w:bottom w:val="none" w:sz="0" w:space="0" w:color="auto"/>
                                                                            <w:right w:val="none" w:sz="0" w:space="0" w:color="auto"/>
                                                                          </w:divBdr>
                                                                          <w:divsChild>
                                                                            <w:div w:id="1749299998">
                                                                              <w:marLeft w:val="0"/>
                                                                              <w:marRight w:val="0"/>
                                                                              <w:marTop w:val="0"/>
                                                                              <w:marBottom w:val="0"/>
                                                                              <w:divBdr>
                                                                                <w:top w:val="none" w:sz="0" w:space="0" w:color="auto"/>
                                                                                <w:left w:val="none" w:sz="0" w:space="0" w:color="auto"/>
                                                                                <w:bottom w:val="none" w:sz="0" w:space="0" w:color="auto"/>
                                                                                <w:right w:val="none" w:sz="0" w:space="0" w:color="auto"/>
                                                                              </w:divBdr>
                                                                              <w:divsChild>
                                                                                <w:div w:id="1306663931">
                                                                                  <w:marLeft w:val="0"/>
                                                                                  <w:marRight w:val="0"/>
                                                                                  <w:marTop w:val="0"/>
                                                                                  <w:marBottom w:val="0"/>
                                                                                  <w:divBdr>
                                                                                    <w:top w:val="none" w:sz="0" w:space="0" w:color="auto"/>
                                                                                    <w:left w:val="none" w:sz="0" w:space="0" w:color="auto"/>
                                                                                    <w:bottom w:val="none" w:sz="0" w:space="0" w:color="auto"/>
                                                                                    <w:right w:val="none" w:sz="0" w:space="0" w:color="auto"/>
                                                                                  </w:divBdr>
                                                                                </w:div>
                                                                                <w:div w:id="205746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2299">
                                                                          <w:marLeft w:val="0"/>
                                                                          <w:marRight w:val="0"/>
                                                                          <w:marTop w:val="0"/>
                                                                          <w:marBottom w:val="0"/>
                                                                          <w:divBdr>
                                                                            <w:top w:val="none" w:sz="0" w:space="0" w:color="auto"/>
                                                                            <w:left w:val="none" w:sz="0" w:space="0" w:color="auto"/>
                                                                            <w:bottom w:val="none" w:sz="0" w:space="0" w:color="auto"/>
                                                                            <w:right w:val="none" w:sz="0" w:space="0" w:color="auto"/>
                                                                          </w:divBdr>
                                                                        </w:div>
                                                                        <w:div w:id="937951359">
                                                                          <w:marLeft w:val="0"/>
                                                                          <w:marRight w:val="0"/>
                                                                          <w:marTop w:val="0"/>
                                                                          <w:marBottom w:val="0"/>
                                                                          <w:divBdr>
                                                                            <w:top w:val="none" w:sz="0" w:space="0" w:color="auto"/>
                                                                            <w:left w:val="none" w:sz="0" w:space="0" w:color="auto"/>
                                                                            <w:bottom w:val="none" w:sz="0" w:space="0" w:color="auto"/>
                                                                            <w:right w:val="none" w:sz="0" w:space="0" w:color="auto"/>
                                                                          </w:divBdr>
                                                                        </w:div>
                                                                        <w:div w:id="120154531">
                                                                          <w:marLeft w:val="0"/>
                                                                          <w:marRight w:val="0"/>
                                                                          <w:marTop w:val="0"/>
                                                                          <w:marBottom w:val="0"/>
                                                                          <w:divBdr>
                                                                            <w:top w:val="none" w:sz="0" w:space="0" w:color="auto"/>
                                                                            <w:left w:val="none" w:sz="0" w:space="0" w:color="auto"/>
                                                                            <w:bottom w:val="none" w:sz="0" w:space="0" w:color="auto"/>
                                                                            <w:right w:val="none" w:sz="0" w:space="0" w:color="auto"/>
                                                                          </w:divBdr>
                                                                          <w:divsChild>
                                                                            <w:div w:id="653605051">
                                                                              <w:marLeft w:val="0"/>
                                                                              <w:marRight w:val="0"/>
                                                                              <w:marTop w:val="0"/>
                                                                              <w:marBottom w:val="0"/>
                                                                              <w:divBdr>
                                                                                <w:top w:val="none" w:sz="0" w:space="0" w:color="auto"/>
                                                                                <w:left w:val="none" w:sz="0" w:space="0" w:color="auto"/>
                                                                                <w:bottom w:val="none" w:sz="0" w:space="0" w:color="auto"/>
                                                                                <w:right w:val="none" w:sz="0" w:space="0" w:color="auto"/>
                                                                              </w:divBdr>
                                                                              <w:divsChild>
                                                                                <w:div w:id="546648312">
                                                                                  <w:marLeft w:val="0"/>
                                                                                  <w:marRight w:val="0"/>
                                                                                  <w:marTop w:val="0"/>
                                                                                  <w:marBottom w:val="0"/>
                                                                                  <w:divBdr>
                                                                                    <w:top w:val="none" w:sz="0" w:space="0" w:color="auto"/>
                                                                                    <w:left w:val="none" w:sz="0" w:space="0" w:color="auto"/>
                                                                                    <w:bottom w:val="none" w:sz="0" w:space="0" w:color="auto"/>
                                                                                    <w:right w:val="none" w:sz="0" w:space="0" w:color="auto"/>
                                                                                  </w:divBdr>
                                                                                </w:div>
                                                                                <w:div w:id="6223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11334">
                                                                          <w:marLeft w:val="0"/>
                                                                          <w:marRight w:val="0"/>
                                                                          <w:marTop w:val="0"/>
                                                                          <w:marBottom w:val="0"/>
                                                                          <w:divBdr>
                                                                            <w:top w:val="none" w:sz="0" w:space="0" w:color="auto"/>
                                                                            <w:left w:val="none" w:sz="0" w:space="0" w:color="auto"/>
                                                                            <w:bottom w:val="none" w:sz="0" w:space="0" w:color="auto"/>
                                                                            <w:right w:val="none" w:sz="0" w:space="0" w:color="auto"/>
                                                                          </w:divBdr>
                                                                        </w:div>
                                                                        <w:div w:id="1738935888">
                                                                          <w:marLeft w:val="0"/>
                                                                          <w:marRight w:val="0"/>
                                                                          <w:marTop w:val="0"/>
                                                                          <w:marBottom w:val="0"/>
                                                                          <w:divBdr>
                                                                            <w:top w:val="none" w:sz="0" w:space="0" w:color="auto"/>
                                                                            <w:left w:val="none" w:sz="0" w:space="0" w:color="auto"/>
                                                                            <w:bottom w:val="none" w:sz="0" w:space="0" w:color="auto"/>
                                                                            <w:right w:val="none" w:sz="0" w:space="0" w:color="auto"/>
                                                                          </w:divBdr>
                                                                        </w:div>
                                                                        <w:div w:id="2024819069">
                                                                          <w:marLeft w:val="0"/>
                                                                          <w:marRight w:val="0"/>
                                                                          <w:marTop w:val="0"/>
                                                                          <w:marBottom w:val="0"/>
                                                                          <w:divBdr>
                                                                            <w:top w:val="none" w:sz="0" w:space="0" w:color="auto"/>
                                                                            <w:left w:val="none" w:sz="0" w:space="0" w:color="auto"/>
                                                                            <w:bottom w:val="none" w:sz="0" w:space="0" w:color="auto"/>
                                                                            <w:right w:val="none" w:sz="0" w:space="0" w:color="auto"/>
                                                                          </w:divBdr>
                                                                          <w:divsChild>
                                                                            <w:div w:id="811336283">
                                                                              <w:marLeft w:val="0"/>
                                                                              <w:marRight w:val="0"/>
                                                                              <w:marTop w:val="0"/>
                                                                              <w:marBottom w:val="0"/>
                                                                              <w:divBdr>
                                                                                <w:top w:val="none" w:sz="0" w:space="0" w:color="auto"/>
                                                                                <w:left w:val="none" w:sz="0" w:space="0" w:color="auto"/>
                                                                                <w:bottom w:val="none" w:sz="0" w:space="0" w:color="auto"/>
                                                                                <w:right w:val="none" w:sz="0" w:space="0" w:color="auto"/>
                                                                              </w:divBdr>
                                                                              <w:divsChild>
                                                                                <w:div w:id="590627883">
                                                                                  <w:marLeft w:val="0"/>
                                                                                  <w:marRight w:val="0"/>
                                                                                  <w:marTop w:val="0"/>
                                                                                  <w:marBottom w:val="0"/>
                                                                                  <w:divBdr>
                                                                                    <w:top w:val="none" w:sz="0" w:space="0" w:color="auto"/>
                                                                                    <w:left w:val="none" w:sz="0" w:space="0" w:color="auto"/>
                                                                                    <w:bottom w:val="none" w:sz="0" w:space="0" w:color="auto"/>
                                                                                    <w:right w:val="none" w:sz="0" w:space="0" w:color="auto"/>
                                                                                  </w:divBdr>
                                                                                </w:div>
                                                                                <w:div w:id="9581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89061">
                                                      <w:marLeft w:val="0"/>
                                                      <w:marRight w:val="0"/>
                                                      <w:marTop w:val="0"/>
                                                      <w:marBottom w:val="0"/>
                                                      <w:divBdr>
                                                        <w:top w:val="none" w:sz="0" w:space="0" w:color="auto"/>
                                                        <w:left w:val="none" w:sz="0" w:space="0" w:color="auto"/>
                                                        <w:bottom w:val="none" w:sz="0" w:space="0" w:color="auto"/>
                                                        <w:right w:val="none" w:sz="0" w:space="0" w:color="auto"/>
                                                      </w:divBdr>
                                                    </w:div>
                                                    <w:div w:id="10015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53558">
                                          <w:marLeft w:val="0"/>
                                          <w:marRight w:val="0"/>
                                          <w:marTop w:val="0"/>
                                          <w:marBottom w:val="0"/>
                                          <w:divBdr>
                                            <w:top w:val="none" w:sz="0" w:space="0" w:color="auto"/>
                                            <w:left w:val="none" w:sz="0" w:space="0" w:color="auto"/>
                                            <w:bottom w:val="none" w:sz="0" w:space="0" w:color="auto"/>
                                            <w:right w:val="none" w:sz="0" w:space="0" w:color="auto"/>
                                          </w:divBdr>
                                          <w:divsChild>
                                            <w:div w:id="305357966">
                                              <w:marLeft w:val="0"/>
                                              <w:marRight w:val="0"/>
                                              <w:marTop w:val="0"/>
                                              <w:marBottom w:val="0"/>
                                              <w:divBdr>
                                                <w:top w:val="none" w:sz="0" w:space="0" w:color="auto"/>
                                                <w:left w:val="none" w:sz="0" w:space="0" w:color="auto"/>
                                                <w:bottom w:val="none" w:sz="0" w:space="0" w:color="auto"/>
                                                <w:right w:val="none" w:sz="0" w:space="0" w:color="auto"/>
                                              </w:divBdr>
                                              <w:divsChild>
                                                <w:div w:id="552933094">
                                                  <w:marLeft w:val="0"/>
                                                  <w:marRight w:val="0"/>
                                                  <w:marTop w:val="0"/>
                                                  <w:marBottom w:val="0"/>
                                                  <w:divBdr>
                                                    <w:top w:val="none" w:sz="0" w:space="0" w:color="auto"/>
                                                    <w:left w:val="none" w:sz="0" w:space="0" w:color="auto"/>
                                                    <w:bottom w:val="none" w:sz="0" w:space="0" w:color="auto"/>
                                                    <w:right w:val="none" w:sz="0" w:space="0" w:color="auto"/>
                                                  </w:divBdr>
                                                  <w:divsChild>
                                                    <w:div w:id="455635606">
                                                      <w:marLeft w:val="0"/>
                                                      <w:marRight w:val="0"/>
                                                      <w:marTop w:val="0"/>
                                                      <w:marBottom w:val="0"/>
                                                      <w:divBdr>
                                                        <w:top w:val="none" w:sz="0" w:space="0" w:color="auto"/>
                                                        <w:left w:val="none" w:sz="0" w:space="0" w:color="auto"/>
                                                        <w:bottom w:val="none" w:sz="0" w:space="0" w:color="auto"/>
                                                        <w:right w:val="none" w:sz="0" w:space="0" w:color="auto"/>
                                                      </w:divBdr>
                                                      <w:divsChild>
                                                        <w:div w:id="237373688">
                                                          <w:marLeft w:val="0"/>
                                                          <w:marRight w:val="0"/>
                                                          <w:marTop w:val="0"/>
                                                          <w:marBottom w:val="0"/>
                                                          <w:divBdr>
                                                            <w:top w:val="none" w:sz="0" w:space="0" w:color="auto"/>
                                                            <w:left w:val="none" w:sz="0" w:space="0" w:color="auto"/>
                                                            <w:bottom w:val="none" w:sz="0" w:space="0" w:color="auto"/>
                                                            <w:right w:val="none" w:sz="0" w:space="0" w:color="auto"/>
                                                          </w:divBdr>
                                                          <w:divsChild>
                                                            <w:div w:id="1882477317">
                                                              <w:marLeft w:val="0"/>
                                                              <w:marRight w:val="0"/>
                                                              <w:marTop w:val="0"/>
                                                              <w:marBottom w:val="0"/>
                                                              <w:divBdr>
                                                                <w:top w:val="none" w:sz="0" w:space="0" w:color="auto"/>
                                                                <w:left w:val="none" w:sz="0" w:space="0" w:color="auto"/>
                                                                <w:bottom w:val="none" w:sz="0" w:space="0" w:color="auto"/>
                                                                <w:right w:val="none" w:sz="0" w:space="0" w:color="auto"/>
                                                              </w:divBdr>
                                                            </w:div>
                                                            <w:div w:id="484787412">
                                                              <w:marLeft w:val="0"/>
                                                              <w:marRight w:val="0"/>
                                                              <w:marTop w:val="0"/>
                                                              <w:marBottom w:val="0"/>
                                                              <w:divBdr>
                                                                <w:top w:val="none" w:sz="0" w:space="0" w:color="auto"/>
                                                                <w:left w:val="none" w:sz="0" w:space="0" w:color="auto"/>
                                                                <w:bottom w:val="none" w:sz="0" w:space="0" w:color="auto"/>
                                                                <w:right w:val="none" w:sz="0" w:space="0" w:color="auto"/>
                                                              </w:divBdr>
                                                              <w:divsChild>
                                                                <w:div w:id="1827361128">
                                                                  <w:marLeft w:val="0"/>
                                                                  <w:marRight w:val="0"/>
                                                                  <w:marTop w:val="0"/>
                                                                  <w:marBottom w:val="0"/>
                                                                  <w:divBdr>
                                                                    <w:top w:val="none" w:sz="0" w:space="0" w:color="auto"/>
                                                                    <w:left w:val="none" w:sz="0" w:space="0" w:color="auto"/>
                                                                    <w:bottom w:val="none" w:sz="0" w:space="0" w:color="auto"/>
                                                                    <w:right w:val="none" w:sz="0" w:space="0" w:color="auto"/>
                                                                  </w:divBdr>
                                                                  <w:divsChild>
                                                                    <w:div w:id="807362910">
                                                                      <w:marLeft w:val="0"/>
                                                                      <w:marRight w:val="0"/>
                                                                      <w:marTop w:val="0"/>
                                                                      <w:marBottom w:val="0"/>
                                                                      <w:divBdr>
                                                                        <w:top w:val="none" w:sz="0" w:space="0" w:color="auto"/>
                                                                        <w:left w:val="none" w:sz="0" w:space="0" w:color="auto"/>
                                                                        <w:bottom w:val="none" w:sz="0" w:space="0" w:color="auto"/>
                                                                        <w:right w:val="none" w:sz="0" w:space="0" w:color="auto"/>
                                                                      </w:divBdr>
                                                                      <w:divsChild>
                                                                        <w:div w:id="1930040376">
                                                                          <w:marLeft w:val="0"/>
                                                                          <w:marRight w:val="0"/>
                                                                          <w:marTop w:val="0"/>
                                                                          <w:marBottom w:val="0"/>
                                                                          <w:divBdr>
                                                                            <w:top w:val="none" w:sz="0" w:space="0" w:color="auto"/>
                                                                            <w:left w:val="none" w:sz="0" w:space="0" w:color="auto"/>
                                                                            <w:bottom w:val="none" w:sz="0" w:space="0" w:color="auto"/>
                                                                            <w:right w:val="none" w:sz="0" w:space="0" w:color="auto"/>
                                                                          </w:divBdr>
                                                                          <w:divsChild>
                                                                            <w:div w:id="1174340614">
                                                                              <w:marLeft w:val="0"/>
                                                                              <w:marRight w:val="0"/>
                                                                              <w:marTop w:val="0"/>
                                                                              <w:marBottom w:val="0"/>
                                                                              <w:divBdr>
                                                                                <w:top w:val="none" w:sz="0" w:space="0" w:color="auto"/>
                                                                                <w:left w:val="none" w:sz="0" w:space="0" w:color="auto"/>
                                                                                <w:bottom w:val="none" w:sz="0" w:space="0" w:color="auto"/>
                                                                                <w:right w:val="none" w:sz="0" w:space="0" w:color="auto"/>
                                                                              </w:divBdr>
                                                                              <w:divsChild>
                                                                                <w:div w:id="20281324">
                                                                                  <w:marLeft w:val="0"/>
                                                                                  <w:marRight w:val="0"/>
                                                                                  <w:marTop w:val="0"/>
                                                                                  <w:marBottom w:val="0"/>
                                                                                  <w:divBdr>
                                                                                    <w:top w:val="none" w:sz="0" w:space="0" w:color="auto"/>
                                                                                    <w:left w:val="none" w:sz="0" w:space="0" w:color="auto"/>
                                                                                    <w:bottom w:val="none" w:sz="0" w:space="0" w:color="auto"/>
                                                                                    <w:right w:val="none" w:sz="0" w:space="0" w:color="auto"/>
                                                                                  </w:divBdr>
                                                                                  <w:divsChild>
                                                                                    <w:div w:id="332296186">
                                                                                      <w:marLeft w:val="0"/>
                                                                                      <w:marRight w:val="0"/>
                                                                                      <w:marTop w:val="0"/>
                                                                                      <w:marBottom w:val="0"/>
                                                                                      <w:divBdr>
                                                                                        <w:top w:val="none" w:sz="0" w:space="0" w:color="auto"/>
                                                                                        <w:left w:val="none" w:sz="0" w:space="0" w:color="auto"/>
                                                                                        <w:bottom w:val="none" w:sz="0" w:space="0" w:color="auto"/>
                                                                                        <w:right w:val="none" w:sz="0" w:space="0" w:color="auto"/>
                                                                                      </w:divBdr>
                                                                                    </w:div>
                                                                                    <w:div w:id="16365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8488608">
      <w:bodyDiv w:val="1"/>
      <w:marLeft w:val="0"/>
      <w:marRight w:val="0"/>
      <w:marTop w:val="0"/>
      <w:marBottom w:val="0"/>
      <w:divBdr>
        <w:top w:val="none" w:sz="0" w:space="0" w:color="auto"/>
        <w:left w:val="none" w:sz="0" w:space="0" w:color="auto"/>
        <w:bottom w:val="none" w:sz="0" w:space="0" w:color="auto"/>
        <w:right w:val="none" w:sz="0" w:space="0" w:color="auto"/>
      </w:divBdr>
    </w:div>
    <w:div w:id="1047142522">
      <w:bodyDiv w:val="1"/>
      <w:marLeft w:val="0"/>
      <w:marRight w:val="0"/>
      <w:marTop w:val="0"/>
      <w:marBottom w:val="0"/>
      <w:divBdr>
        <w:top w:val="none" w:sz="0" w:space="0" w:color="auto"/>
        <w:left w:val="none" w:sz="0" w:space="0" w:color="auto"/>
        <w:bottom w:val="none" w:sz="0" w:space="0" w:color="auto"/>
        <w:right w:val="none" w:sz="0" w:space="0" w:color="auto"/>
      </w:divBdr>
    </w:div>
    <w:div w:id="1310405849">
      <w:bodyDiv w:val="1"/>
      <w:marLeft w:val="0"/>
      <w:marRight w:val="0"/>
      <w:marTop w:val="0"/>
      <w:marBottom w:val="0"/>
      <w:divBdr>
        <w:top w:val="none" w:sz="0" w:space="0" w:color="auto"/>
        <w:left w:val="none" w:sz="0" w:space="0" w:color="auto"/>
        <w:bottom w:val="none" w:sz="0" w:space="0" w:color="auto"/>
        <w:right w:val="none" w:sz="0" w:space="0" w:color="auto"/>
      </w:divBdr>
    </w:div>
    <w:div w:id="1395468023">
      <w:bodyDiv w:val="1"/>
      <w:marLeft w:val="0"/>
      <w:marRight w:val="0"/>
      <w:marTop w:val="0"/>
      <w:marBottom w:val="0"/>
      <w:divBdr>
        <w:top w:val="none" w:sz="0" w:space="0" w:color="auto"/>
        <w:left w:val="none" w:sz="0" w:space="0" w:color="auto"/>
        <w:bottom w:val="none" w:sz="0" w:space="0" w:color="auto"/>
        <w:right w:val="none" w:sz="0" w:space="0" w:color="auto"/>
      </w:divBdr>
    </w:div>
    <w:div w:id="1676371837">
      <w:bodyDiv w:val="1"/>
      <w:marLeft w:val="0"/>
      <w:marRight w:val="0"/>
      <w:marTop w:val="0"/>
      <w:marBottom w:val="0"/>
      <w:divBdr>
        <w:top w:val="none" w:sz="0" w:space="0" w:color="auto"/>
        <w:left w:val="none" w:sz="0" w:space="0" w:color="auto"/>
        <w:bottom w:val="none" w:sz="0" w:space="0" w:color="auto"/>
        <w:right w:val="none" w:sz="0" w:space="0" w:color="auto"/>
      </w:divBdr>
    </w:div>
    <w:div w:id="1686054925">
      <w:bodyDiv w:val="1"/>
      <w:marLeft w:val="0"/>
      <w:marRight w:val="0"/>
      <w:marTop w:val="0"/>
      <w:marBottom w:val="0"/>
      <w:divBdr>
        <w:top w:val="none" w:sz="0" w:space="0" w:color="auto"/>
        <w:left w:val="none" w:sz="0" w:space="0" w:color="auto"/>
        <w:bottom w:val="none" w:sz="0" w:space="0" w:color="auto"/>
        <w:right w:val="none" w:sz="0" w:space="0" w:color="auto"/>
      </w:divBdr>
    </w:div>
    <w:div w:id="1777944841">
      <w:bodyDiv w:val="1"/>
      <w:marLeft w:val="0"/>
      <w:marRight w:val="0"/>
      <w:marTop w:val="0"/>
      <w:marBottom w:val="0"/>
      <w:divBdr>
        <w:top w:val="none" w:sz="0" w:space="0" w:color="auto"/>
        <w:left w:val="none" w:sz="0" w:space="0" w:color="auto"/>
        <w:bottom w:val="none" w:sz="0" w:space="0" w:color="auto"/>
        <w:right w:val="none" w:sz="0" w:space="0" w:color="auto"/>
      </w:divBdr>
    </w:div>
    <w:div w:id="1783261216">
      <w:bodyDiv w:val="1"/>
      <w:marLeft w:val="0"/>
      <w:marRight w:val="0"/>
      <w:marTop w:val="0"/>
      <w:marBottom w:val="0"/>
      <w:divBdr>
        <w:top w:val="none" w:sz="0" w:space="0" w:color="auto"/>
        <w:left w:val="none" w:sz="0" w:space="0" w:color="auto"/>
        <w:bottom w:val="none" w:sz="0" w:space="0" w:color="auto"/>
        <w:right w:val="none" w:sz="0" w:space="0" w:color="auto"/>
      </w:divBdr>
    </w:div>
    <w:div w:id="1969897965">
      <w:bodyDiv w:val="1"/>
      <w:marLeft w:val="0"/>
      <w:marRight w:val="0"/>
      <w:marTop w:val="0"/>
      <w:marBottom w:val="0"/>
      <w:divBdr>
        <w:top w:val="none" w:sz="0" w:space="0" w:color="auto"/>
        <w:left w:val="none" w:sz="0" w:space="0" w:color="auto"/>
        <w:bottom w:val="none" w:sz="0" w:space="0" w:color="auto"/>
        <w:right w:val="none" w:sz="0" w:space="0" w:color="auto"/>
      </w:divBdr>
    </w:div>
    <w:div w:id="2039626722">
      <w:bodyDiv w:val="1"/>
      <w:marLeft w:val="0"/>
      <w:marRight w:val="0"/>
      <w:marTop w:val="0"/>
      <w:marBottom w:val="0"/>
      <w:divBdr>
        <w:top w:val="none" w:sz="0" w:space="0" w:color="auto"/>
        <w:left w:val="none" w:sz="0" w:space="0" w:color="auto"/>
        <w:bottom w:val="none" w:sz="0" w:space="0" w:color="auto"/>
        <w:right w:val="none" w:sz="0" w:space="0" w:color="auto"/>
      </w:divBdr>
    </w:div>
    <w:div w:id="21096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ustice.gov/02organizations/bpp.htm" TargetMode="External"/><Relationship Id="rId18" Type="http://schemas.openxmlformats.org/officeDocument/2006/relationships/image" Target="media/image3.png"/><Relationship Id="rId26" Type="http://schemas.openxmlformats.org/officeDocument/2006/relationships/image" Target="media/image11.gif"/><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eader" Target="header4.xml"/><Relationship Id="rId42"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usdoj.gov\jmd\ep" TargetMode="External"/><Relationship Id="rId25" Type="http://schemas.openxmlformats.org/officeDocument/2006/relationships/image" Target="media/image10.gif"/><Relationship Id="rId33" Type="http://schemas.openxmlformats.org/officeDocument/2006/relationships/header" Target="header3.xml"/><Relationship Id="rId38" Type="http://schemas.openxmlformats.org/officeDocument/2006/relationships/header" Target="header7.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image" Target="media/image5.png"/><Relationship Id="rId29" Type="http://schemas.openxmlformats.org/officeDocument/2006/relationships/image" Target="media/image14.emf"/><Relationship Id="rId41" Type="http://schemas.openxmlformats.org/officeDocument/2006/relationships/image" Target="media/image1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gif"/><Relationship Id="rId32" Type="http://schemas.openxmlformats.org/officeDocument/2006/relationships/image" Target="media/image17.jpeg"/><Relationship Id="rId37" Type="http://schemas.openxmlformats.org/officeDocument/2006/relationships/header" Target="header6.xml"/><Relationship Id="rId40" Type="http://schemas.openxmlformats.org/officeDocument/2006/relationships/header" Target="header8.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tf.gov/publications/general/strategic-plan" TargetMode="External"/><Relationship Id="rId23" Type="http://schemas.openxmlformats.org/officeDocument/2006/relationships/image" Target="media/image8.png"/><Relationship Id="rId28" Type="http://schemas.openxmlformats.org/officeDocument/2006/relationships/image" Target="media/image13.emf"/><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image" Target="media/image16.jpeg"/><Relationship Id="rId44"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7.png"/><Relationship Id="rId27" Type="http://schemas.openxmlformats.org/officeDocument/2006/relationships/image" Target="media/image12.gif"/><Relationship Id="rId30" Type="http://schemas.openxmlformats.org/officeDocument/2006/relationships/image" Target="media/image15.jpeg"/><Relationship Id="rId35" Type="http://schemas.openxmlformats.org/officeDocument/2006/relationships/footer" Target="footer3.xml"/><Relationship Id="rId43"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7B662-8FEE-4D04-B4FF-895F93A3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22716</Words>
  <Characters>129484</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Congressional Budget Submission</vt:lpstr>
    </vt:vector>
  </TitlesOfParts>
  <Company>EOP</Company>
  <LinksUpToDate>false</LinksUpToDate>
  <CharactersWithSpaces>151897</CharactersWithSpaces>
  <SharedDoc>false</SharedDoc>
  <HLinks>
    <vt:vector size="12" baseType="variant">
      <vt:variant>
        <vt:i4>4521994</vt:i4>
      </vt:variant>
      <vt:variant>
        <vt:i4>3</vt:i4>
      </vt:variant>
      <vt:variant>
        <vt:i4>0</vt:i4>
      </vt:variant>
      <vt:variant>
        <vt:i4>5</vt:i4>
      </vt:variant>
      <vt:variant>
        <vt:lpwstr>http://www.epeat.net/</vt:lpwstr>
      </vt:variant>
      <vt:variant>
        <vt:lpwstr/>
      </vt:variant>
      <vt:variant>
        <vt:i4>3342462</vt:i4>
      </vt:variant>
      <vt:variant>
        <vt:i4>0</vt:i4>
      </vt:variant>
      <vt:variant>
        <vt:i4>0</vt:i4>
      </vt:variant>
      <vt:variant>
        <vt:i4>5</vt:i4>
      </vt:variant>
      <vt:variant>
        <vt:lpwstr>http://www.usdoj.gov/jmd/2011justification/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Congressional Budget Submission</dc:title>
  <dc:creator>Williams_M</dc:creator>
  <cp:lastModifiedBy>Ryan D Greenfield</cp:lastModifiedBy>
  <cp:revision>2</cp:revision>
  <cp:lastPrinted>2012-02-08T14:20:00Z</cp:lastPrinted>
  <dcterms:created xsi:type="dcterms:W3CDTF">2012-02-08T20:50:00Z</dcterms:created>
  <dcterms:modified xsi:type="dcterms:W3CDTF">2012-02-08T20:50:00Z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