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03" w:rsidRDefault="00832B03">
      <w:pPr>
        <w:rPr>
          <w:b/>
          <w:sz w:val="22"/>
          <w:szCs w:val="22"/>
        </w:rPr>
      </w:pPr>
      <w:bookmarkStart w:id="0" w:name="_GoBack"/>
      <w:bookmarkStart w:id="1" w:name="_Toc224026857"/>
      <w:bookmarkStart w:id="2" w:name="_Toc224026858"/>
      <w:bookmarkEnd w:id="0"/>
    </w:p>
    <w:p w:rsidR="00832B03" w:rsidRPr="00762F09" w:rsidRDefault="0037659D" w:rsidP="004B7C22">
      <w:pPr>
        <w:pStyle w:val="Title"/>
        <w:spacing w:before="100" w:beforeAutospacing="1" w:after="100" w:afterAutospacing="1"/>
        <w:rPr>
          <w:rFonts w:ascii="Times New Roman" w:hAnsi="Times New Roman"/>
          <w:b/>
          <w:szCs w:val="52"/>
        </w:rPr>
      </w:pPr>
      <w:r>
        <w:rPr>
          <w:rFonts w:ascii="Times New Roman" w:hAnsi="Times New Roman"/>
          <w:b/>
          <w:szCs w:val="52"/>
        </w:rPr>
        <w:t xml:space="preserve">Congressional </w:t>
      </w:r>
      <w:r w:rsidR="00832B03">
        <w:rPr>
          <w:rFonts w:ascii="Times New Roman" w:hAnsi="Times New Roman"/>
          <w:b/>
          <w:szCs w:val="52"/>
        </w:rPr>
        <w:t>Budget Submission</w:t>
      </w:r>
    </w:p>
    <w:p w:rsidR="00832B03" w:rsidRPr="008216C3" w:rsidRDefault="00832B03" w:rsidP="00832B03">
      <w:pPr>
        <w:pStyle w:val="Title"/>
        <w:spacing w:before="100" w:beforeAutospacing="1" w:after="100" w:afterAutospacing="1"/>
        <w:rPr>
          <w:rFonts w:ascii="Times New Roman" w:hAnsi="Times New Roman"/>
          <w:szCs w:val="52"/>
        </w:rPr>
      </w:pPr>
      <w:r w:rsidRPr="008216C3">
        <w:rPr>
          <w:rFonts w:ascii="Times New Roman" w:hAnsi="Times New Roman"/>
          <w:szCs w:val="52"/>
        </w:rPr>
        <w:t>Fiscal Year 201</w:t>
      </w:r>
      <w:r>
        <w:rPr>
          <w:rFonts w:ascii="Times New Roman" w:hAnsi="Times New Roman"/>
          <w:szCs w:val="52"/>
        </w:rPr>
        <w:t>4</w:t>
      </w:r>
      <w:r w:rsidRPr="008216C3">
        <w:rPr>
          <w:rFonts w:ascii="Times New Roman" w:hAnsi="Times New Roman"/>
          <w:szCs w:val="52"/>
        </w:rPr>
        <w:t xml:space="preserve"> </w:t>
      </w:r>
    </w:p>
    <w:p w:rsidR="00832B03" w:rsidRPr="004A69B2" w:rsidRDefault="00832B03" w:rsidP="00832B03">
      <w:pPr>
        <w:pStyle w:val="Subtitle"/>
        <w:spacing w:before="100" w:beforeAutospacing="1" w:after="100" w:afterAutospacing="1"/>
        <w:rPr>
          <w:rFonts w:ascii="Times New Roman" w:hAnsi="Times New Roman"/>
          <w:b/>
          <w:sz w:val="48"/>
          <w:szCs w:val="48"/>
        </w:rPr>
      </w:pPr>
      <w:r>
        <w:rPr>
          <w:b/>
          <w:noProof/>
        </w:rPr>
        <w:drawing>
          <wp:anchor distT="0" distB="0" distL="114300" distR="114300" simplePos="0" relativeHeight="251705344" behindDoc="1" locked="0" layoutInCell="1" allowOverlap="1">
            <wp:simplePos x="0" y="0"/>
            <wp:positionH relativeFrom="column">
              <wp:posOffset>885324</wp:posOffset>
            </wp:positionH>
            <wp:positionV relativeFrom="paragraph">
              <wp:posOffset>374026</wp:posOffset>
            </wp:positionV>
            <wp:extent cx="4167939" cy="3108960"/>
            <wp:effectExtent l="19050" t="0" r="4011" b="0"/>
            <wp:wrapNone/>
            <wp:docPr id="3" name="Picture 28" descr="This is the official seal of the Bureau of Alcohol, Tobacco, Firearms and Explos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is is the official seal of the Bureau of Alcohol, Tobacco, Firearms and Explosives."/>
                    <pic:cNvPicPr>
                      <a:picLocks noChangeAspect="1" noChangeArrowheads="1"/>
                    </pic:cNvPicPr>
                  </pic:nvPicPr>
                  <pic:blipFill>
                    <a:blip r:embed="rId8" cstate="print"/>
                    <a:srcRect/>
                    <a:stretch>
                      <a:fillRect/>
                    </a:stretch>
                  </pic:blipFill>
                  <pic:spPr bwMode="auto">
                    <a:xfrm>
                      <a:off x="0" y="0"/>
                      <a:ext cx="4167939" cy="3108960"/>
                    </a:xfrm>
                    <a:prstGeom prst="rect">
                      <a:avLst/>
                    </a:prstGeom>
                    <a:noFill/>
                    <a:ln w="9525">
                      <a:noFill/>
                      <a:miter lim="800000"/>
                      <a:headEnd/>
                      <a:tailEnd/>
                    </a:ln>
                  </pic:spPr>
                </pic:pic>
              </a:graphicData>
            </a:graphic>
          </wp:anchor>
        </w:drawing>
      </w:r>
    </w:p>
    <w:p w:rsidR="00832B03" w:rsidRPr="00DA74D0" w:rsidRDefault="00832B03" w:rsidP="00832B03">
      <w:pPr>
        <w:pStyle w:val="Subtitle"/>
        <w:spacing w:before="100" w:beforeAutospacing="1" w:after="100" w:afterAutospacing="1"/>
        <w:rPr>
          <w:rFonts w:ascii="Times New Roman" w:hAnsi="Times New Roman"/>
          <w:sz w:val="48"/>
          <w:szCs w:val="48"/>
        </w:rPr>
      </w:pPr>
    </w:p>
    <w:p w:rsidR="00832B03" w:rsidRDefault="00832B03" w:rsidP="00832B03">
      <w:pPr>
        <w:pStyle w:val="Subtitle"/>
        <w:tabs>
          <w:tab w:val="left" w:pos="6480"/>
          <w:tab w:val="left" w:pos="6660"/>
        </w:tabs>
        <w:spacing w:before="100" w:beforeAutospacing="1" w:after="100" w:afterAutospacing="1"/>
        <w:rPr>
          <w:rFonts w:ascii="Arial Black" w:hAnsi="Arial Black"/>
          <w:outline/>
          <w:szCs w:val="40"/>
        </w:rPr>
      </w:pPr>
    </w:p>
    <w:p w:rsidR="00832B03" w:rsidRDefault="00832B03" w:rsidP="00832B03">
      <w:pPr>
        <w:pStyle w:val="Subtitle"/>
        <w:tabs>
          <w:tab w:val="left" w:pos="6480"/>
          <w:tab w:val="left" w:pos="6660"/>
        </w:tabs>
        <w:spacing w:before="100" w:beforeAutospacing="1" w:after="100" w:afterAutospacing="1"/>
        <w:rPr>
          <w:rFonts w:ascii="Arial Black" w:hAnsi="Arial Black"/>
          <w:outline/>
          <w:szCs w:val="40"/>
        </w:rPr>
      </w:pPr>
    </w:p>
    <w:p w:rsidR="00832B03" w:rsidRDefault="00832B03" w:rsidP="00832B03">
      <w:pPr>
        <w:pStyle w:val="Subtitle"/>
        <w:tabs>
          <w:tab w:val="left" w:pos="6480"/>
          <w:tab w:val="left" w:pos="6660"/>
        </w:tabs>
        <w:spacing w:before="100" w:beforeAutospacing="1" w:after="100" w:afterAutospacing="1"/>
        <w:rPr>
          <w:rFonts w:ascii="Arial Black" w:hAnsi="Arial Black"/>
          <w:outline/>
          <w:szCs w:val="40"/>
        </w:rPr>
      </w:pPr>
    </w:p>
    <w:p w:rsidR="00832B03" w:rsidRPr="00DA74D0" w:rsidRDefault="00832B03" w:rsidP="00832B03">
      <w:pPr>
        <w:pStyle w:val="Subtitle"/>
        <w:tabs>
          <w:tab w:val="left" w:pos="6480"/>
          <w:tab w:val="left" w:pos="6660"/>
        </w:tabs>
        <w:spacing w:before="100" w:beforeAutospacing="1" w:after="100" w:afterAutospacing="1"/>
        <w:rPr>
          <w:rFonts w:ascii="Arial Black" w:hAnsi="Arial Black"/>
          <w:outline/>
          <w:szCs w:val="40"/>
        </w:rPr>
      </w:pPr>
    </w:p>
    <w:p w:rsidR="00832B03" w:rsidRPr="00707739" w:rsidRDefault="0032687B" w:rsidP="00832B03">
      <w:pPr>
        <w:pStyle w:val="Subtitle"/>
        <w:tabs>
          <w:tab w:val="left" w:pos="6480"/>
          <w:tab w:val="left" w:pos="6660"/>
        </w:tabs>
        <w:spacing w:before="100" w:beforeAutospacing="1" w:after="100" w:afterAutospacing="1"/>
        <w:rPr>
          <w:rFonts w:ascii="Times New Roman" w:hAnsi="Times New Roman"/>
          <w:i/>
          <w:sz w:val="340"/>
          <w:szCs w:val="340"/>
        </w:rPr>
      </w:pPr>
      <w:r w:rsidRPr="0032687B">
        <w:rPr>
          <w:noProof/>
          <w:sz w:val="340"/>
          <w:szCs w:val="340"/>
        </w:rPr>
        <w:pict>
          <v:shapetype id="_x0000_t202" coordsize="21600,21600" o:spt="202" path="m,l,21600r21600,l21600,xe">
            <v:stroke joinstyle="miter"/>
            <v:path gradientshapeok="t" o:connecttype="rect"/>
          </v:shapetype>
          <v:shape id="_x0000_s3858" type="#_x0000_t202" style="position:absolute;left:0;text-align:left;margin-left:6.75pt;margin-top:247.45pt;width:459pt;height:80.2pt;z-index:-251610112" wrapcoords="-35 -138 -35 21462 21635 21462 21635 -138 -35 -138">
            <v:textbox style="mso-next-textbox:#_x0000_s3858">
              <w:txbxContent>
                <w:p w:rsidR="00E01243" w:rsidRDefault="00E01243" w:rsidP="00832B03">
                  <w:pPr>
                    <w:pStyle w:val="Subtitle"/>
                    <w:rPr>
                      <w:rFonts w:ascii="Times New Roman" w:hAnsi="Times New Roman"/>
                      <w:b/>
                      <w:bCs/>
                      <w:sz w:val="24"/>
                    </w:rPr>
                  </w:pPr>
                  <w:r>
                    <w:rPr>
                      <w:rFonts w:ascii="Times New Roman" w:hAnsi="Times New Roman"/>
                      <w:b/>
                      <w:sz w:val="24"/>
                    </w:rPr>
                    <w:t xml:space="preserve">UNITED STATES </w:t>
                  </w:r>
                  <w:r w:rsidRPr="00245DA2">
                    <w:rPr>
                      <w:rFonts w:ascii="Times New Roman" w:hAnsi="Times New Roman"/>
                      <w:b/>
                      <w:sz w:val="24"/>
                    </w:rPr>
                    <w:t>DEPARTMENT OF JUSTICE</w:t>
                  </w:r>
                  <w:r w:rsidRPr="00245DA2">
                    <w:rPr>
                      <w:rFonts w:ascii="Times New Roman" w:hAnsi="Times New Roman"/>
                      <w:b/>
                      <w:sz w:val="24"/>
                    </w:rPr>
                    <w:br/>
                  </w:r>
                  <w:r w:rsidRPr="00245DA2">
                    <w:rPr>
                      <w:rFonts w:ascii="Times New Roman" w:hAnsi="Times New Roman"/>
                      <w:b/>
                      <w:bCs/>
                      <w:sz w:val="24"/>
                    </w:rPr>
                    <w:t>BUREAU OF ALCOHOL, TOBACCO, FIREARMS AND EXPLOSIVES</w:t>
                  </w:r>
                </w:p>
                <w:p w:rsidR="00E01243" w:rsidRPr="0011657D" w:rsidRDefault="00E01243" w:rsidP="00832B03">
                  <w:pPr>
                    <w:pStyle w:val="Subtitle"/>
                    <w:rPr>
                      <w:rFonts w:ascii="Times New Roman" w:hAnsi="Times New Roman"/>
                      <w:b/>
                      <w:i/>
                      <w:shadow/>
                      <w:szCs w:val="40"/>
                    </w:rPr>
                  </w:pPr>
                  <w:r>
                    <w:rPr>
                      <w:rFonts w:ascii="Times New Roman" w:hAnsi="Times New Roman"/>
                      <w:b/>
                      <w:i/>
                      <w:emboss/>
                      <w:color w:val="0000FF"/>
                      <w:szCs w:val="40"/>
                    </w:rPr>
                    <w:t>A</w:t>
                  </w:r>
                  <w:r w:rsidRPr="006046B0">
                    <w:rPr>
                      <w:rFonts w:ascii="Times New Roman" w:hAnsi="Times New Roman"/>
                      <w:b/>
                      <w:i/>
                      <w:emboss/>
                      <w:szCs w:val="40"/>
                    </w:rPr>
                    <w:t>t</w:t>
                  </w:r>
                  <w:r>
                    <w:rPr>
                      <w:rFonts w:ascii="Times New Roman" w:hAnsi="Times New Roman"/>
                      <w:b/>
                      <w:i/>
                      <w:emboss/>
                      <w:color w:val="0000FF"/>
                      <w:szCs w:val="40"/>
                    </w:rPr>
                    <w:t xml:space="preserve"> T</w:t>
                  </w:r>
                  <w:r w:rsidRPr="006046B0">
                    <w:rPr>
                      <w:rFonts w:ascii="Times New Roman" w:hAnsi="Times New Roman"/>
                      <w:b/>
                      <w:i/>
                      <w:emboss/>
                      <w:szCs w:val="40"/>
                    </w:rPr>
                    <w:t>he</w:t>
                  </w:r>
                  <w:r>
                    <w:rPr>
                      <w:rFonts w:ascii="Times New Roman" w:hAnsi="Times New Roman"/>
                      <w:b/>
                      <w:i/>
                      <w:emboss/>
                      <w:color w:val="0000FF"/>
                      <w:szCs w:val="40"/>
                    </w:rPr>
                    <w:t xml:space="preserve"> F</w:t>
                  </w:r>
                  <w:r w:rsidRPr="006046B0">
                    <w:rPr>
                      <w:rFonts w:ascii="Times New Roman" w:hAnsi="Times New Roman"/>
                      <w:b/>
                      <w:i/>
                      <w:emboss/>
                      <w:szCs w:val="40"/>
                    </w:rPr>
                    <w:t>rontline</w:t>
                  </w:r>
                  <w:r>
                    <w:rPr>
                      <w:rFonts w:ascii="Times New Roman" w:hAnsi="Times New Roman"/>
                      <w:b/>
                      <w:i/>
                      <w:emboss/>
                      <w:color w:val="0000FF"/>
                      <w:szCs w:val="40"/>
                    </w:rPr>
                    <w:t xml:space="preserve"> </w:t>
                  </w:r>
                  <w:r w:rsidRPr="006046B0">
                    <w:rPr>
                      <w:rFonts w:ascii="Times New Roman" w:hAnsi="Times New Roman"/>
                      <w:b/>
                      <w:i/>
                      <w:emboss/>
                      <w:szCs w:val="40"/>
                    </w:rPr>
                    <w:t>- Against Violent Crime</w:t>
                  </w:r>
                </w:p>
                <w:p w:rsidR="00E01243" w:rsidRDefault="00E01243" w:rsidP="00832B03">
                  <w:pPr>
                    <w:pStyle w:val="Subtitle"/>
                    <w:spacing w:before="120" w:after="120"/>
                    <w:rPr>
                      <w:rFonts w:ascii="Times New Roman" w:hAnsi="Times New Roman"/>
                      <w:b/>
                      <w:sz w:val="24"/>
                    </w:rPr>
                  </w:pPr>
                  <w:r>
                    <w:rPr>
                      <w:rFonts w:ascii="Times New Roman" w:hAnsi="Times New Roman"/>
                      <w:b/>
                      <w:sz w:val="24"/>
                    </w:rPr>
                    <w:t>April 2013</w:t>
                  </w:r>
                </w:p>
                <w:p w:rsidR="00E01243" w:rsidRPr="00245DA2" w:rsidRDefault="00E01243" w:rsidP="00832B03">
                  <w:pPr>
                    <w:pStyle w:val="Subtitle"/>
                    <w:spacing w:before="120" w:after="120"/>
                    <w:rPr>
                      <w:rFonts w:ascii="Times New Roman" w:hAnsi="Times New Roman"/>
                      <w:b/>
                      <w:bCs/>
                      <w:sz w:val="24"/>
                    </w:rPr>
                  </w:pPr>
                  <w:r>
                    <w:rPr>
                      <w:rFonts w:ascii="Times New Roman" w:hAnsi="Times New Roman"/>
                      <w:b/>
                      <w:sz w:val="24"/>
                    </w:rPr>
                    <w:t xml:space="preserve"> </w:t>
                  </w:r>
                </w:p>
              </w:txbxContent>
            </v:textbox>
            <w10:wrap type="tight"/>
          </v:shape>
        </w:pict>
      </w:r>
      <w:r w:rsidR="00832B03" w:rsidRPr="00707739">
        <w:rPr>
          <w:rFonts w:ascii="Arial Black" w:hAnsi="Arial Black"/>
          <w:outline/>
          <w:color w:val="000080"/>
          <w:sz w:val="340"/>
          <w:szCs w:val="340"/>
        </w:rPr>
        <w:t>ATF</w:t>
      </w:r>
    </w:p>
    <w:p w:rsidR="00832B03" w:rsidRDefault="00832B03" w:rsidP="00832B03">
      <w:pPr>
        <w:pStyle w:val="xl19"/>
        <w:tabs>
          <w:tab w:val="right" w:pos="8730"/>
        </w:tabs>
        <w:spacing w:before="100" w:beforeAutospacing="1" w:after="100" w:afterAutospacing="1"/>
        <w:outlineLvl w:val="0"/>
        <w:rPr>
          <w:b/>
        </w:rPr>
      </w:pPr>
    </w:p>
    <w:p w:rsidR="00832B03" w:rsidRDefault="00832B03" w:rsidP="00832B03">
      <w:pPr>
        <w:pStyle w:val="xl19"/>
        <w:tabs>
          <w:tab w:val="right" w:pos="8730"/>
        </w:tabs>
        <w:spacing w:before="100" w:beforeAutospacing="1" w:after="100" w:afterAutospacing="1"/>
        <w:jc w:val="center"/>
        <w:outlineLvl w:val="0"/>
        <w:rPr>
          <w:b/>
          <w:sz w:val="40"/>
          <w:szCs w:val="40"/>
        </w:rPr>
      </w:pPr>
      <w:r w:rsidRPr="00C63B4A">
        <w:rPr>
          <w:b/>
          <w:sz w:val="40"/>
          <w:szCs w:val="40"/>
        </w:rPr>
        <w:t>This page intentionally</w:t>
      </w:r>
      <w:r>
        <w:rPr>
          <w:b/>
          <w:sz w:val="40"/>
          <w:szCs w:val="40"/>
        </w:rPr>
        <w:t xml:space="preserve"> left</w:t>
      </w:r>
      <w:r w:rsidRPr="00C63B4A">
        <w:rPr>
          <w:b/>
          <w:sz w:val="40"/>
          <w:szCs w:val="40"/>
        </w:rPr>
        <w:t xml:space="preserve"> blank</w:t>
      </w:r>
    </w:p>
    <w:p w:rsidR="00832B03" w:rsidRDefault="00832B03">
      <w:pPr>
        <w:rPr>
          <w:b/>
          <w:sz w:val="40"/>
          <w:szCs w:val="40"/>
        </w:rPr>
      </w:pPr>
      <w:r>
        <w:rPr>
          <w:b/>
          <w:sz w:val="40"/>
          <w:szCs w:val="40"/>
        </w:rPr>
        <w:br w:type="page"/>
      </w:r>
    </w:p>
    <w:p w:rsidR="00FA2AAB" w:rsidRPr="00790C92" w:rsidRDefault="00FA2AAB" w:rsidP="00832B03">
      <w:pPr>
        <w:pStyle w:val="xl19"/>
        <w:tabs>
          <w:tab w:val="right" w:pos="8730"/>
        </w:tabs>
        <w:spacing w:before="100" w:beforeAutospacing="1" w:after="100" w:afterAutospacing="1"/>
        <w:jc w:val="center"/>
        <w:outlineLvl w:val="0"/>
        <w:rPr>
          <w:b/>
          <w:color w:val="FF0000"/>
        </w:rPr>
      </w:pPr>
      <w:r w:rsidRPr="00790C92">
        <w:rPr>
          <w:b/>
        </w:rPr>
        <w:lastRenderedPageBreak/>
        <w:t>Table of Contents</w:t>
      </w:r>
      <w:bookmarkEnd w:id="1"/>
      <w:r w:rsidR="001241FF" w:rsidRPr="00790C92">
        <w:rPr>
          <w:b/>
        </w:rPr>
        <w:t xml:space="preserve"> </w:t>
      </w:r>
    </w:p>
    <w:p w:rsidR="00FA2AAB" w:rsidRPr="00790C92" w:rsidRDefault="00FA2AAB" w:rsidP="005027FD">
      <w:pPr>
        <w:pStyle w:val="xl19"/>
        <w:tabs>
          <w:tab w:val="left" w:pos="7740"/>
          <w:tab w:val="right" w:pos="8730"/>
        </w:tabs>
        <w:spacing w:before="100" w:beforeAutospacing="1" w:after="100" w:afterAutospacing="1"/>
        <w:jc w:val="center"/>
        <w:outlineLvl w:val="0"/>
        <w:rPr>
          <w:bCs/>
        </w:rPr>
      </w:pPr>
      <w:r w:rsidRPr="00790C92">
        <w:rPr>
          <w:bCs/>
        </w:rPr>
        <w:tab/>
        <w:t>Page No.</w:t>
      </w:r>
      <w:bookmarkEnd w:id="2"/>
    </w:p>
    <w:p w:rsidR="00FA2AAB" w:rsidRPr="00790C92" w:rsidRDefault="00FA2AAB" w:rsidP="005027FD">
      <w:pPr>
        <w:pStyle w:val="xl19"/>
        <w:tabs>
          <w:tab w:val="left" w:leader="dot" w:pos="8100"/>
          <w:tab w:val="right" w:pos="8640"/>
        </w:tabs>
        <w:spacing w:before="100" w:beforeAutospacing="1" w:after="100" w:afterAutospacing="1"/>
      </w:pPr>
      <w:r w:rsidRPr="00790C92">
        <w:rPr>
          <w:b/>
          <w:bCs/>
        </w:rPr>
        <w:t xml:space="preserve">I.     Overview </w:t>
      </w:r>
      <w:r w:rsidRPr="00790C92">
        <w:tab/>
      </w:r>
      <w:r w:rsidRPr="00790C92">
        <w:rPr>
          <w:b/>
          <w:bCs/>
        </w:rPr>
        <w:t xml:space="preserve"> </w:t>
      </w:r>
      <w:r w:rsidR="00FA750F" w:rsidRPr="00790C92">
        <w:rPr>
          <w:bCs/>
        </w:rPr>
        <w:t>1</w:t>
      </w:r>
    </w:p>
    <w:p w:rsidR="00FA2AAB" w:rsidRPr="00790C92" w:rsidRDefault="00FA2AAB" w:rsidP="006B1557">
      <w:pPr>
        <w:pStyle w:val="xl19"/>
        <w:tabs>
          <w:tab w:val="center" w:pos="360"/>
          <w:tab w:val="left" w:leader="dot" w:pos="8100"/>
          <w:tab w:val="right" w:pos="8640"/>
        </w:tabs>
        <w:spacing w:before="100" w:beforeAutospacing="1" w:after="100" w:afterAutospacing="1"/>
        <w:rPr>
          <w:bCs/>
        </w:rPr>
      </w:pPr>
      <w:r w:rsidRPr="00790C92">
        <w:rPr>
          <w:b/>
          <w:bCs/>
        </w:rPr>
        <w:t xml:space="preserve">II.    Summary of </w:t>
      </w:r>
      <w:r w:rsidRPr="00790C92">
        <w:rPr>
          <w:b/>
        </w:rPr>
        <w:t xml:space="preserve">Program </w:t>
      </w:r>
      <w:r w:rsidRPr="00790C92">
        <w:rPr>
          <w:b/>
          <w:bCs/>
        </w:rPr>
        <w:t xml:space="preserve">Changes </w:t>
      </w:r>
      <w:r w:rsidRPr="00790C92">
        <w:rPr>
          <w:bCs/>
        </w:rPr>
        <w:tab/>
      </w:r>
      <w:r w:rsidR="00B8467F">
        <w:rPr>
          <w:bCs/>
        </w:rPr>
        <w:t xml:space="preserve"> </w:t>
      </w:r>
      <w:r w:rsidR="00901C52">
        <w:rPr>
          <w:bCs/>
        </w:rPr>
        <w:t>1</w:t>
      </w:r>
      <w:r w:rsidR="00F93BFB">
        <w:rPr>
          <w:bCs/>
        </w:rPr>
        <w:t>1</w:t>
      </w:r>
    </w:p>
    <w:p w:rsidR="00C05920" w:rsidRPr="00790C92" w:rsidRDefault="00C05920" w:rsidP="006B1557">
      <w:pPr>
        <w:pStyle w:val="xl19"/>
        <w:tabs>
          <w:tab w:val="center" w:pos="360"/>
          <w:tab w:val="left" w:leader="dot" w:pos="8100"/>
          <w:tab w:val="right" w:pos="8640"/>
        </w:tabs>
        <w:spacing w:before="100" w:beforeAutospacing="1" w:after="100" w:afterAutospacing="1"/>
        <w:rPr>
          <w:bCs/>
        </w:rPr>
      </w:pPr>
      <w:r w:rsidRPr="00790C92">
        <w:rPr>
          <w:b/>
          <w:bCs/>
        </w:rPr>
        <w:t>III.</w:t>
      </w:r>
      <w:r w:rsidRPr="00790C92">
        <w:rPr>
          <w:bCs/>
        </w:rPr>
        <w:t xml:space="preserve">   </w:t>
      </w:r>
      <w:r w:rsidR="006F5FDF" w:rsidRPr="00790C92">
        <w:rPr>
          <w:b/>
          <w:bCs/>
        </w:rPr>
        <w:t>Appropriations Language and Analysis of Appropriations Language</w:t>
      </w:r>
      <w:r w:rsidRPr="00790C92">
        <w:rPr>
          <w:b/>
          <w:bCs/>
        </w:rPr>
        <w:t xml:space="preserve"> </w:t>
      </w:r>
      <w:r w:rsidRPr="00790C92">
        <w:rPr>
          <w:bCs/>
        </w:rPr>
        <w:tab/>
      </w:r>
      <w:r w:rsidR="00807C5C">
        <w:rPr>
          <w:bCs/>
        </w:rPr>
        <w:t>1</w:t>
      </w:r>
      <w:r w:rsidR="00901C52">
        <w:rPr>
          <w:bCs/>
        </w:rPr>
        <w:t>2</w:t>
      </w:r>
    </w:p>
    <w:p w:rsidR="00FA2AAB" w:rsidRPr="00790C92" w:rsidRDefault="00FA2AAB" w:rsidP="006B1557">
      <w:pPr>
        <w:pStyle w:val="xl19"/>
        <w:tabs>
          <w:tab w:val="left" w:leader="dot" w:pos="8100"/>
          <w:tab w:val="right" w:pos="8640"/>
        </w:tabs>
        <w:spacing w:before="100" w:beforeAutospacing="1" w:after="100" w:afterAutospacing="1"/>
      </w:pPr>
      <w:r w:rsidRPr="00790C92">
        <w:rPr>
          <w:b/>
          <w:bCs/>
        </w:rPr>
        <w:t>I</w:t>
      </w:r>
      <w:r w:rsidR="00C05920" w:rsidRPr="00790C92">
        <w:rPr>
          <w:b/>
          <w:bCs/>
        </w:rPr>
        <w:t>V</w:t>
      </w:r>
      <w:r w:rsidRPr="00790C92">
        <w:rPr>
          <w:b/>
          <w:bCs/>
        </w:rPr>
        <w:t xml:space="preserve">.   </w:t>
      </w:r>
      <w:r w:rsidR="006F5FDF" w:rsidRPr="00790C92">
        <w:rPr>
          <w:b/>
          <w:bCs/>
        </w:rPr>
        <w:t>Decision Unit Justification</w:t>
      </w:r>
      <w:r w:rsidR="007730E8" w:rsidRPr="00790C92">
        <w:rPr>
          <w:b/>
          <w:bCs/>
        </w:rPr>
        <w:t xml:space="preserve"> and Performance</w:t>
      </w:r>
      <w:r w:rsidR="00CB1D71" w:rsidRPr="00CB1D71">
        <w:rPr>
          <w:bCs/>
        </w:rPr>
        <w:tab/>
      </w:r>
      <w:r w:rsidR="00B81553" w:rsidRPr="00790C92">
        <w:rPr>
          <w:bCs/>
        </w:rPr>
        <w:t>1</w:t>
      </w:r>
      <w:r w:rsidR="00901C52">
        <w:rPr>
          <w:bCs/>
        </w:rPr>
        <w:t>5</w:t>
      </w:r>
    </w:p>
    <w:p w:rsidR="00FA2AAB" w:rsidRPr="00790C92" w:rsidRDefault="00FA2AAB" w:rsidP="005027FD">
      <w:pPr>
        <w:pStyle w:val="xl19"/>
        <w:tabs>
          <w:tab w:val="left" w:leader="dot" w:pos="7920"/>
          <w:tab w:val="right" w:pos="8640"/>
        </w:tabs>
        <w:spacing w:before="100" w:beforeAutospacing="1" w:after="100" w:afterAutospacing="1"/>
        <w:rPr>
          <w:bCs/>
        </w:rPr>
      </w:pPr>
      <w:r w:rsidRPr="00790C92">
        <w:rPr>
          <w:bCs/>
        </w:rPr>
        <w:t xml:space="preserve">     A.   </w:t>
      </w:r>
      <w:r w:rsidR="0005652D" w:rsidRPr="00790C92">
        <w:rPr>
          <w:bCs/>
          <w:u w:val="single"/>
        </w:rPr>
        <w:t>LAW ENFORCEMENT OPERATIONS</w:t>
      </w:r>
      <w:r w:rsidR="006E6F70" w:rsidRPr="00790C92">
        <w:rPr>
          <w:bCs/>
        </w:rPr>
        <w:t xml:space="preserve"> </w:t>
      </w:r>
    </w:p>
    <w:p w:rsidR="006567B5" w:rsidRPr="00790C92" w:rsidRDefault="00FA2AAB" w:rsidP="006567B5">
      <w:pPr>
        <w:pStyle w:val="xl19"/>
        <w:numPr>
          <w:ilvl w:val="0"/>
          <w:numId w:val="1"/>
        </w:numPr>
        <w:tabs>
          <w:tab w:val="left" w:leader="dot" w:pos="8010"/>
        </w:tabs>
        <w:spacing w:before="100" w:beforeAutospacing="1" w:after="100" w:afterAutospacing="1"/>
        <w:rPr>
          <w:bCs/>
        </w:rPr>
      </w:pPr>
      <w:r w:rsidRPr="00790C92">
        <w:rPr>
          <w:bCs/>
        </w:rPr>
        <w:t>Program Description</w:t>
      </w:r>
      <w:r w:rsidR="006567B5" w:rsidRPr="00790C92">
        <w:rPr>
          <w:bCs/>
        </w:rPr>
        <w:t xml:space="preserve"> – Investigat</w:t>
      </w:r>
      <w:r w:rsidR="00DA5F46" w:rsidRPr="00790C92">
        <w:rPr>
          <w:bCs/>
        </w:rPr>
        <w:t>ing and Preventing Violent Crime</w:t>
      </w:r>
      <w:r w:rsidRPr="00790C92">
        <w:rPr>
          <w:bCs/>
        </w:rPr>
        <w:t xml:space="preserve"> </w:t>
      </w:r>
      <w:r w:rsidR="00B81553" w:rsidRPr="00790C92">
        <w:rPr>
          <w:bCs/>
        </w:rPr>
        <w:tab/>
        <w:t xml:space="preserve"> 1</w:t>
      </w:r>
      <w:r w:rsidR="00901C52">
        <w:rPr>
          <w:bCs/>
        </w:rPr>
        <w:t>5</w:t>
      </w:r>
    </w:p>
    <w:p w:rsidR="00D54ECE" w:rsidRPr="00790C92" w:rsidRDefault="006E6F70" w:rsidP="004B7185">
      <w:pPr>
        <w:pStyle w:val="xl19"/>
        <w:numPr>
          <w:ilvl w:val="1"/>
          <w:numId w:val="1"/>
        </w:numPr>
        <w:tabs>
          <w:tab w:val="left" w:leader="dot" w:pos="8010"/>
        </w:tabs>
        <w:spacing w:before="100" w:beforeAutospacing="1" w:after="100" w:afterAutospacing="1"/>
        <w:rPr>
          <w:bCs/>
        </w:rPr>
      </w:pPr>
      <w:r w:rsidRPr="00790C92">
        <w:rPr>
          <w:bCs/>
        </w:rPr>
        <w:t>Threat – Illegal Firearms Trafficking</w:t>
      </w:r>
      <w:r w:rsidR="00807C5C">
        <w:rPr>
          <w:bCs/>
        </w:rPr>
        <w:tab/>
        <w:t xml:space="preserve"> 1</w:t>
      </w:r>
      <w:r w:rsidR="00901C52">
        <w:rPr>
          <w:bCs/>
        </w:rPr>
        <w:t>7</w:t>
      </w:r>
    </w:p>
    <w:p w:rsidR="00D54ECE" w:rsidRPr="00790C92" w:rsidRDefault="006E6F70" w:rsidP="00D54ECE">
      <w:pPr>
        <w:pStyle w:val="xl19"/>
        <w:numPr>
          <w:ilvl w:val="1"/>
          <w:numId w:val="1"/>
        </w:numPr>
        <w:tabs>
          <w:tab w:val="left" w:leader="dot" w:pos="8010"/>
        </w:tabs>
        <w:spacing w:before="100" w:beforeAutospacing="1" w:after="100" w:afterAutospacing="1"/>
        <w:rPr>
          <w:bCs/>
        </w:rPr>
      </w:pPr>
      <w:r w:rsidRPr="00790C92">
        <w:rPr>
          <w:bCs/>
        </w:rPr>
        <w:t>Threat - Firearms Criminal Use and Possession</w:t>
      </w:r>
      <w:r w:rsidR="00582C6D">
        <w:rPr>
          <w:bCs/>
        </w:rPr>
        <w:tab/>
        <w:t xml:space="preserve"> 20</w:t>
      </w:r>
    </w:p>
    <w:p w:rsidR="00D54ECE" w:rsidRPr="00790C92" w:rsidRDefault="006E6F70" w:rsidP="005D2195">
      <w:pPr>
        <w:pStyle w:val="xl19"/>
        <w:numPr>
          <w:ilvl w:val="1"/>
          <w:numId w:val="1"/>
        </w:numPr>
        <w:tabs>
          <w:tab w:val="left" w:leader="dot" w:pos="8010"/>
        </w:tabs>
        <w:spacing w:before="100" w:beforeAutospacing="1" w:after="100" w:afterAutospacing="1"/>
        <w:rPr>
          <w:bCs/>
        </w:rPr>
      </w:pPr>
      <w:r w:rsidRPr="00790C92">
        <w:rPr>
          <w:bCs/>
        </w:rPr>
        <w:t xml:space="preserve">Threat - Diversion of Firearms from Legal Commerce </w:t>
      </w:r>
      <w:r w:rsidR="00B81553" w:rsidRPr="00790C92">
        <w:rPr>
          <w:bCs/>
        </w:rPr>
        <w:tab/>
        <w:t xml:space="preserve"> </w:t>
      </w:r>
      <w:r w:rsidR="00582C6D">
        <w:rPr>
          <w:bCs/>
        </w:rPr>
        <w:t>21</w:t>
      </w:r>
    </w:p>
    <w:p w:rsidR="00D54ECE" w:rsidRPr="00790C92" w:rsidRDefault="006E6F70" w:rsidP="00D54ECE">
      <w:pPr>
        <w:pStyle w:val="xl19"/>
        <w:numPr>
          <w:ilvl w:val="1"/>
          <w:numId w:val="1"/>
        </w:numPr>
        <w:tabs>
          <w:tab w:val="left" w:leader="dot" w:pos="8010"/>
        </w:tabs>
        <w:spacing w:before="100" w:beforeAutospacing="1" w:after="100" w:afterAutospacing="1"/>
        <w:rPr>
          <w:bCs/>
        </w:rPr>
      </w:pPr>
      <w:r w:rsidRPr="00790C92">
        <w:rPr>
          <w:bCs/>
        </w:rPr>
        <w:t>Threat – Criminal Groups and Gangs</w:t>
      </w:r>
      <w:r w:rsidR="00807C5C">
        <w:rPr>
          <w:bCs/>
        </w:rPr>
        <w:tab/>
        <w:t xml:space="preserve"> </w:t>
      </w:r>
      <w:r w:rsidR="00582C6D">
        <w:rPr>
          <w:bCs/>
        </w:rPr>
        <w:t>22</w:t>
      </w:r>
    </w:p>
    <w:p w:rsidR="00D54ECE" w:rsidRPr="00790C92" w:rsidRDefault="006E6F70" w:rsidP="00D54ECE">
      <w:pPr>
        <w:pStyle w:val="xl19"/>
        <w:numPr>
          <w:ilvl w:val="1"/>
          <w:numId w:val="1"/>
        </w:numPr>
        <w:tabs>
          <w:tab w:val="left" w:leader="dot" w:pos="8010"/>
        </w:tabs>
        <w:spacing w:before="100" w:beforeAutospacing="1" w:after="100" w:afterAutospacing="1"/>
        <w:rPr>
          <w:bCs/>
        </w:rPr>
      </w:pPr>
      <w:r w:rsidRPr="00790C92">
        <w:rPr>
          <w:bCs/>
        </w:rPr>
        <w:t>Threat – Criminal Use of Explosives</w:t>
      </w:r>
      <w:r w:rsidR="005D2195" w:rsidRPr="00790C92">
        <w:rPr>
          <w:bCs/>
        </w:rPr>
        <w:tab/>
        <w:t xml:space="preserve"> </w:t>
      </w:r>
      <w:r w:rsidR="00582C6D">
        <w:rPr>
          <w:bCs/>
        </w:rPr>
        <w:t>24</w:t>
      </w:r>
    </w:p>
    <w:p w:rsidR="00D54ECE" w:rsidRPr="00790C92" w:rsidRDefault="006E6F70" w:rsidP="00D54ECE">
      <w:pPr>
        <w:pStyle w:val="xl19"/>
        <w:numPr>
          <w:ilvl w:val="1"/>
          <w:numId w:val="1"/>
        </w:numPr>
        <w:tabs>
          <w:tab w:val="left" w:leader="dot" w:pos="8010"/>
        </w:tabs>
        <w:spacing w:before="100" w:beforeAutospacing="1" w:after="100" w:afterAutospacing="1"/>
        <w:rPr>
          <w:bCs/>
        </w:rPr>
      </w:pPr>
      <w:r w:rsidRPr="00790C92">
        <w:rPr>
          <w:bCs/>
        </w:rPr>
        <w:t>Threat – Diversion of Explosives from Legal Commerce</w:t>
      </w:r>
      <w:r w:rsidR="00807C5C">
        <w:rPr>
          <w:bCs/>
        </w:rPr>
        <w:tab/>
        <w:t xml:space="preserve"> 2</w:t>
      </w:r>
      <w:r w:rsidR="00582C6D">
        <w:rPr>
          <w:bCs/>
        </w:rPr>
        <w:t>6</w:t>
      </w:r>
    </w:p>
    <w:p w:rsidR="00D54ECE" w:rsidRPr="00790C92" w:rsidRDefault="006567B5" w:rsidP="00D54ECE">
      <w:pPr>
        <w:pStyle w:val="xl19"/>
        <w:numPr>
          <w:ilvl w:val="1"/>
          <w:numId w:val="1"/>
        </w:numPr>
        <w:tabs>
          <w:tab w:val="left" w:leader="dot" w:pos="8010"/>
        </w:tabs>
        <w:spacing w:before="100" w:beforeAutospacing="1" w:after="100" w:afterAutospacing="1"/>
        <w:rPr>
          <w:bCs/>
        </w:rPr>
      </w:pPr>
      <w:r w:rsidRPr="00790C92">
        <w:rPr>
          <w:bCs/>
        </w:rPr>
        <w:t>Threat – Criminal Use of Fire</w:t>
      </w:r>
      <w:r w:rsidR="00807C5C">
        <w:rPr>
          <w:bCs/>
        </w:rPr>
        <w:tab/>
        <w:t xml:space="preserve"> 2</w:t>
      </w:r>
      <w:r w:rsidR="00582C6D">
        <w:rPr>
          <w:bCs/>
        </w:rPr>
        <w:t>6</w:t>
      </w:r>
    </w:p>
    <w:p w:rsidR="00FA292C" w:rsidRPr="00FA292C" w:rsidRDefault="006567B5" w:rsidP="00FA292C">
      <w:pPr>
        <w:pStyle w:val="xl19"/>
        <w:numPr>
          <w:ilvl w:val="1"/>
          <w:numId w:val="1"/>
        </w:numPr>
        <w:tabs>
          <w:tab w:val="left" w:leader="dot" w:pos="8010"/>
        </w:tabs>
        <w:spacing w:before="100" w:beforeAutospacing="1" w:after="100" w:afterAutospacing="1"/>
        <w:rPr>
          <w:bCs/>
        </w:rPr>
      </w:pPr>
      <w:r w:rsidRPr="00790C92">
        <w:rPr>
          <w:bCs/>
        </w:rPr>
        <w:t>Threat – Criminal Diversion of Tobacco</w:t>
      </w:r>
      <w:r w:rsidR="009D7DE6" w:rsidRPr="00790C92">
        <w:rPr>
          <w:bCs/>
        </w:rPr>
        <w:t xml:space="preserve"> from Legal Commerce</w:t>
      </w:r>
      <w:r w:rsidR="00807C5C">
        <w:rPr>
          <w:bCs/>
        </w:rPr>
        <w:tab/>
        <w:t xml:space="preserve"> 2</w:t>
      </w:r>
      <w:r w:rsidR="00582C6D">
        <w:rPr>
          <w:bCs/>
        </w:rPr>
        <w:t>8</w:t>
      </w:r>
    </w:p>
    <w:p w:rsidR="00817E7C" w:rsidRPr="00901C52" w:rsidRDefault="00817E7C" w:rsidP="00901C52">
      <w:pPr>
        <w:pStyle w:val="xl19"/>
        <w:numPr>
          <w:ilvl w:val="0"/>
          <w:numId w:val="1"/>
        </w:numPr>
        <w:tabs>
          <w:tab w:val="left" w:leader="dot" w:pos="8010"/>
        </w:tabs>
        <w:spacing w:before="100" w:beforeAutospacing="1" w:after="100" w:afterAutospacing="1"/>
        <w:rPr>
          <w:bCs/>
        </w:rPr>
      </w:pPr>
      <w:r w:rsidRPr="00790C92">
        <w:rPr>
          <w:bCs/>
        </w:rPr>
        <w:t>P</w:t>
      </w:r>
      <w:r>
        <w:rPr>
          <w:bCs/>
        </w:rPr>
        <w:t>erformance Tables</w:t>
      </w:r>
      <w:r w:rsidR="00582C6D">
        <w:rPr>
          <w:bCs/>
        </w:rPr>
        <w:t xml:space="preserve"> </w:t>
      </w:r>
      <w:r w:rsidR="00582C6D">
        <w:rPr>
          <w:bCs/>
        </w:rPr>
        <w:tab/>
        <w:t xml:space="preserve"> 30</w:t>
      </w:r>
    </w:p>
    <w:p w:rsidR="00301FA0" w:rsidRPr="00790C92" w:rsidRDefault="00FA2AAB" w:rsidP="00301FA0">
      <w:pPr>
        <w:pStyle w:val="xl19"/>
        <w:tabs>
          <w:tab w:val="center" w:pos="360"/>
          <w:tab w:val="left" w:leader="dot" w:pos="7920"/>
          <w:tab w:val="left" w:pos="8280"/>
          <w:tab w:val="right" w:pos="8640"/>
        </w:tabs>
        <w:spacing w:before="100" w:beforeAutospacing="1" w:after="100" w:afterAutospacing="1"/>
        <w:rPr>
          <w:bCs/>
        </w:rPr>
      </w:pPr>
      <w:r w:rsidRPr="00790C92">
        <w:rPr>
          <w:bCs/>
        </w:rPr>
        <w:t xml:space="preserve"> B.   </w:t>
      </w:r>
      <w:r w:rsidR="0049570C">
        <w:rPr>
          <w:bCs/>
          <w:u w:val="single"/>
        </w:rPr>
        <w:t>INVESTIGATIVE</w:t>
      </w:r>
      <w:r w:rsidR="0005652D" w:rsidRPr="00790C92">
        <w:rPr>
          <w:bCs/>
          <w:u w:val="single"/>
        </w:rPr>
        <w:t xml:space="preserve"> </w:t>
      </w:r>
      <w:r w:rsidR="00397503">
        <w:rPr>
          <w:bCs/>
          <w:u w:val="single"/>
        </w:rPr>
        <w:t xml:space="preserve">SUPPORT </w:t>
      </w:r>
      <w:r w:rsidR="0005652D" w:rsidRPr="00790C92">
        <w:rPr>
          <w:bCs/>
          <w:u w:val="single"/>
        </w:rPr>
        <w:t>SERVICES</w:t>
      </w:r>
    </w:p>
    <w:p w:rsidR="00504A36" w:rsidRDefault="00FA2AAB">
      <w:pPr>
        <w:pStyle w:val="xl19"/>
        <w:numPr>
          <w:ilvl w:val="0"/>
          <w:numId w:val="11"/>
        </w:numPr>
        <w:tabs>
          <w:tab w:val="center" w:pos="360"/>
          <w:tab w:val="left" w:leader="dot" w:pos="7920"/>
          <w:tab w:val="left" w:pos="8280"/>
          <w:tab w:val="right" w:pos="8640"/>
        </w:tabs>
        <w:spacing w:before="100" w:beforeAutospacing="1" w:after="100" w:afterAutospacing="1"/>
        <w:rPr>
          <w:bCs/>
        </w:rPr>
      </w:pPr>
      <w:r w:rsidRPr="00790C92">
        <w:rPr>
          <w:bCs/>
        </w:rPr>
        <w:t>Program Description</w:t>
      </w:r>
      <w:r w:rsidR="00301FA0" w:rsidRPr="00790C92">
        <w:rPr>
          <w:bCs/>
        </w:rPr>
        <w:t xml:space="preserve"> –</w:t>
      </w:r>
      <w:r w:rsidR="00486241" w:rsidRPr="00790C92">
        <w:rPr>
          <w:bCs/>
        </w:rPr>
        <w:t>Delivery of</w:t>
      </w:r>
      <w:r w:rsidR="00301FA0" w:rsidRPr="00790C92">
        <w:rPr>
          <w:bCs/>
        </w:rPr>
        <w:t xml:space="preserve"> ATF’s </w:t>
      </w:r>
      <w:r w:rsidR="00486241" w:rsidRPr="00790C92">
        <w:rPr>
          <w:bCs/>
        </w:rPr>
        <w:t xml:space="preserve">Forensic </w:t>
      </w:r>
      <w:r w:rsidR="00301FA0" w:rsidRPr="00790C92">
        <w:rPr>
          <w:bCs/>
        </w:rPr>
        <w:t>Expertise</w:t>
      </w:r>
      <w:r w:rsidR="002E39D8" w:rsidRPr="00790C92">
        <w:rPr>
          <w:bCs/>
        </w:rPr>
        <w:t>,</w:t>
      </w:r>
      <w:r w:rsidR="00301FA0" w:rsidRPr="00790C92">
        <w:rPr>
          <w:bCs/>
        </w:rPr>
        <w:t xml:space="preserve"> Assets</w:t>
      </w:r>
      <w:r w:rsidR="002E39D8" w:rsidRPr="00790C92">
        <w:rPr>
          <w:bCs/>
        </w:rPr>
        <w:t xml:space="preserve"> and Intelligence</w:t>
      </w:r>
      <w:r w:rsidR="00301FA0" w:rsidRPr="00790C92">
        <w:rPr>
          <w:bCs/>
        </w:rPr>
        <w:t xml:space="preserve"> to Improve Public Safety</w:t>
      </w:r>
      <w:r w:rsidR="00807C5C">
        <w:rPr>
          <w:bCs/>
        </w:rPr>
        <w:tab/>
        <w:t xml:space="preserve"> </w:t>
      </w:r>
      <w:r w:rsidR="00582C6D">
        <w:rPr>
          <w:bCs/>
        </w:rPr>
        <w:t>33</w:t>
      </w:r>
    </w:p>
    <w:p w:rsidR="00504A36" w:rsidRDefault="00790C92">
      <w:pPr>
        <w:pStyle w:val="xl19"/>
        <w:numPr>
          <w:ilvl w:val="1"/>
          <w:numId w:val="11"/>
        </w:numPr>
        <w:tabs>
          <w:tab w:val="center" w:pos="360"/>
          <w:tab w:val="left" w:leader="dot" w:pos="7920"/>
          <w:tab w:val="left" w:pos="8280"/>
          <w:tab w:val="right" w:pos="8640"/>
        </w:tabs>
        <w:spacing w:before="100" w:beforeAutospacing="1" w:after="100" w:afterAutospacing="1"/>
        <w:rPr>
          <w:bCs/>
        </w:rPr>
      </w:pPr>
      <w:r w:rsidRPr="00790C92">
        <w:rPr>
          <w:bCs/>
        </w:rPr>
        <w:t>Firearms and Explosives Licensing and Other Industry Services</w:t>
      </w:r>
      <w:r w:rsidR="00807C5C">
        <w:rPr>
          <w:bCs/>
        </w:rPr>
        <w:t xml:space="preserve"> </w:t>
      </w:r>
      <w:r w:rsidR="00582C6D">
        <w:rPr>
          <w:bCs/>
        </w:rPr>
        <w:t>34</w:t>
      </w:r>
      <w:r w:rsidRPr="00790C92">
        <w:rPr>
          <w:bCs/>
        </w:rPr>
        <w:t xml:space="preserve"> </w:t>
      </w:r>
    </w:p>
    <w:p w:rsidR="00504A36" w:rsidRDefault="00301FA0">
      <w:pPr>
        <w:pStyle w:val="xl19"/>
        <w:numPr>
          <w:ilvl w:val="1"/>
          <w:numId w:val="11"/>
        </w:numPr>
        <w:tabs>
          <w:tab w:val="center" w:pos="360"/>
          <w:tab w:val="left" w:leader="dot" w:pos="7920"/>
          <w:tab w:val="left" w:pos="8280"/>
          <w:tab w:val="right" w:pos="8640"/>
        </w:tabs>
        <w:spacing w:before="100" w:beforeAutospacing="1" w:after="100" w:afterAutospacing="1"/>
        <w:rPr>
          <w:bCs/>
        </w:rPr>
      </w:pPr>
      <w:r w:rsidRPr="00790C92">
        <w:rPr>
          <w:bCs/>
        </w:rPr>
        <w:t>Firearms Tracing</w:t>
      </w:r>
      <w:r w:rsidR="00807C5C">
        <w:rPr>
          <w:bCs/>
        </w:rPr>
        <w:tab/>
        <w:t xml:space="preserve"> </w:t>
      </w:r>
      <w:r w:rsidR="00582C6D">
        <w:rPr>
          <w:bCs/>
        </w:rPr>
        <w:t>35</w:t>
      </w:r>
    </w:p>
    <w:p w:rsidR="00504A36" w:rsidRDefault="00301FA0">
      <w:pPr>
        <w:pStyle w:val="xl19"/>
        <w:numPr>
          <w:ilvl w:val="1"/>
          <w:numId w:val="11"/>
        </w:numPr>
        <w:tabs>
          <w:tab w:val="center" w:pos="360"/>
          <w:tab w:val="left" w:leader="dot" w:pos="7920"/>
          <w:tab w:val="left" w:pos="8280"/>
          <w:tab w:val="right" w:pos="8640"/>
        </w:tabs>
        <w:spacing w:before="100" w:beforeAutospacing="1" w:after="100" w:afterAutospacing="1"/>
        <w:rPr>
          <w:bCs/>
        </w:rPr>
      </w:pPr>
      <w:r w:rsidRPr="00790C92">
        <w:rPr>
          <w:bCs/>
        </w:rPr>
        <w:t>National Integrated Ballistics Information Network</w:t>
      </w:r>
      <w:r w:rsidR="00807C5C">
        <w:rPr>
          <w:bCs/>
        </w:rPr>
        <w:tab/>
        <w:t xml:space="preserve"> 3</w:t>
      </w:r>
      <w:r w:rsidR="00582C6D">
        <w:rPr>
          <w:bCs/>
        </w:rPr>
        <w:t>7</w:t>
      </w:r>
    </w:p>
    <w:p w:rsidR="00504A36" w:rsidRDefault="00301FA0">
      <w:pPr>
        <w:pStyle w:val="xl19"/>
        <w:numPr>
          <w:ilvl w:val="1"/>
          <w:numId w:val="11"/>
        </w:numPr>
        <w:tabs>
          <w:tab w:val="center" w:pos="360"/>
          <w:tab w:val="left" w:leader="dot" w:pos="7920"/>
          <w:tab w:val="left" w:pos="8280"/>
          <w:tab w:val="right" w:pos="8640"/>
        </w:tabs>
        <w:spacing w:before="100" w:beforeAutospacing="1" w:after="100" w:afterAutospacing="1"/>
        <w:rPr>
          <w:bCs/>
        </w:rPr>
      </w:pPr>
      <w:r w:rsidRPr="00790C92">
        <w:rPr>
          <w:bCs/>
        </w:rPr>
        <w:t>National Center for Explosives Training and Research</w:t>
      </w:r>
      <w:r w:rsidR="00807C5C">
        <w:rPr>
          <w:bCs/>
        </w:rPr>
        <w:tab/>
        <w:t xml:space="preserve"> 3</w:t>
      </w:r>
      <w:r w:rsidR="00582C6D">
        <w:rPr>
          <w:bCs/>
        </w:rPr>
        <w:t>9</w:t>
      </w:r>
    </w:p>
    <w:p w:rsidR="00504A36" w:rsidRDefault="00301FA0">
      <w:pPr>
        <w:pStyle w:val="xl19"/>
        <w:numPr>
          <w:ilvl w:val="1"/>
          <w:numId w:val="11"/>
        </w:numPr>
        <w:tabs>
          <w:tab w:val="center" w:pos="360"/>
          <w:tab w:val="left" w:leader="dot" w:pos="7920"/>
          <w:tab w:val="left" w:pos="8280"/>
          <w:tab w:val="right" w:pos="8640"/>
        </w:tabs>
        <w:spacing w:before="100" w:beforeAutospacing="1" w:after="100" w:afterAutospacing="1"/>
        <w:rPr>
          <w:bCs/>
        </w:rPr>
      </w:pPr>
      <w:r w:rsidRPr="00790C92">
        <w:rPr>
          <w:bCs/>
        </w:rPr>
        <w:t>United States Bomb Data Center</w:t>
      </w:r>
      <w:r w:rsidR="00807C5C">
        <w:rPr>
          <w:bCs/>
        </w:rPr>
        <w:tab/>
        <w:t xml:space="preserve"> </w:t>
      </w:r>
      <w:r w:rsidR="00582C6D">
        <w:rPr>
          <w:bCs/>
        </w:rPr>
        <w:t>41</w:t>
      </w:r>
    </w:p>
    <w:p w:rsidR="00504A36" w:rsidRDefault="00301FA0">
      <w:pPr>
        <w:pStyle w:val="xl19"/>
        <w:numPr>
          <w:ilvl w:val="1"/>
          <w:numId w:val="11"/>
        </w:numPr>
        <w:tabs>
          <w:tab w:val="center" w:pos="360"/>
          <w:tab w:val="left" w:leader="dot" w:pos="7920"/>
          <w:tab w:val="left" w:pos="8280"/>
          <w:tab w:val="right" w:pos="8640"/>
        </w:tabs>
        <w:spacing w:before="100" w:beforeAutospacing="1" w:after="100" w:afterAutospacing="1"/>
        <w:rPr>
          <w:bCs/>
        </w:rPr>
      </w:pPr>
      <w:r w:rsidRPr="00790C92">
        <w:rPr>
          <w:bCs/>
        </w:rPr>
        <w:t xml:space="preserve">Terrorist Explosives Device </w:t>
      </w:r>
      <w:r w:rsidR="00536DD1" w:rsidRPr="00790C92">
        <w:rPr>
          <w:bCs/>
        </w:rPr>
        <w:t>A</w:t>
      </w:r>
      <w:r w:rsidRPr="00790C92">
        <w:rPr>
          <w:bCs/>
        </w:rPr>
        <w:t>nalytical Center</w:t>
      </w:r>
      <w:r w:rsidR="00807C5C">
        <w:rPr>
          <w:bCs/>
        </w:rPr>
        <w:tab/>
        <w:t xml:space="preserve"> </w:t>
      </w:r>
      <w:r w:rsidR="00582C6D">
        <w:rPr>
          <w:bCs/>
        </w:rPr>
        <w:t>42</w:t>
      </w:r>
    </w:p>
    <w:p w:rsidR="00504A36" w:rsidRDefault="009F113D">
      <w:pPr>
        <w:pStyle w:val="xl19"/>
        <w:numPr>
          <w:ilvl w:val="1"/>
          <w:numId w:val="11"/>
        </w:numPr>
        <w:tabs>
          <w:tab w:val="center" w:pos="360"/>
          <w:tab w:val="left" w:leader="dot" w:pos="7920"/>
          <w:tab w:val="left" w:pos="8280"/>
          <w:tab w:val="right" w:pos="8640"/>
        </w:tabs>
        <w:spacing w:before="100" w:beforeAutospacing="1" w:after="100" w:afterAutospacing="1"/>
        <w:rPr>
          <w:bCs/>
        </w:rPr>
      </w:pPr>
      <w:r w:rsidRPr="00790C92">
        <w:rPr>
          <w:bCs/>
        </w:rPr>
        <w:t>ATF Laboratories</w:t>
      </w:r>
      <w:r w:rsidR="00807C5C">
        <w:rPr>
          <w:bCs/>
        </w:rPr>
        <w:tab/>
        <w:t xml:space="preserve"> </w:t>
      </w:r>
      <w:r w:rsidR="00582C6D">
        <w:rPr>
          <w:bCs/>
        </w:rPr>
        <w:t>43</w:t>
      </w:r>
    </w:p>
    <w:p w:rsidR="00504A36" w:rsidRDefault="003D6AB5">
      <w:pPr>
        <w:pStyle w:val="xl19"/>
        <w:numPr>
          <w:ilvl w:val="1"/>
          <w:numId w:val="11"/>
        </w:numPr>
        <w:tabs>
          <w:tab w:val="center" w:pos="360"/>
          <w:tab w:val="left" w:leader="dot" w:pos="7920"/>
          <w:tab w:val="left" w:pos="8280"/>
          <w:tab w:val="right" w:pos="8640"/>
        </w:tabs>
        <w:spacing w:before="100" w:beforeAutospacing="1" w:after="100" w:afterAutospacing="1"/>
        <w:rPr>
          <w:bCs/>
        </w:rPr>
      </w:pPr>
      <w:r w:rsidRPr="00790C92">
        <w:rPr>
          <w:bCs/>
        </w:rPr>
        <w:t>Financial Investigations</w:t>
      </w:r>
      <w:r w:rsidR="00807C5C">
        <w:rPr>
          <w:bCs/>
        </w:rPr>
        <w:tab/>
        <w:t xml:space="preserve"> </w:t>
      </w:r>
      <w:r w:rsidR="00582C6D">
        <w:rPr>
          <w:bCs/>
        </w:rPr>
        <w:t>43</w:t>
      </w:r>
    </w:p>
    <w:p w:rsidR="00504A36" w:rsidRDefault="00790C92">
      <w:pPr>
        <w:pStyle w:val="xl19"/>
        <w:numPr>
          <w:ilvl w:val="1"/>
          <w:numId w:val="11"/>
        </w:numPr>
        <w:tabs>
          <w:tab w:val="center" w:pos="360"/>
          <w:tab w:val="left" w:leader="dot" w:pos="7920"/>
          <w:tab w:val="left" w:pos="8280"/>
          <w:tab w:val="right" w:pos="8640"/>
        </w:tabs>
        <w:spacing w:before="100" w:beforeAutospacing="1" w:after="100" w:afterAutospacing="1"/>
        <w:rPr>
          <w:bCs/>
        </w:rPr>
      </w:pPr>
      <w:r w:rsidRPr="00790C92">
        <w:rPr>
          <w:bCs/>
        </w:rPr>
        <w:t>Collaboration and Partnerships</w:t>
      </w:r>
      <w:r w:rsidR="005D2195" w:rsidRPr="00790C92">
        <w:rPr>
          <w:bCs/>
        </w:rPr>
        <w:tab/>
        <w:t xml:space="preserve"> </w:t>
      </w:r>
      <w:r w:rsidR="00582C6D">
        <w:rPr>
          <w:bCs/>
        </w:rPr>
        <w:t>44</w:t>
      </w:r>
    </w:p>
    <w:p w:rsidR="00504A36" w:rsidRDefault="001E3559">
      <w:pPr>
        <w:pStyle w:val="xl19"/>
        <w:numPr>
          <w:ilvl w:val="1"/>
          <w:numId w:val="11"/>
        </w:numPr>
        <w:tabs>
          <w:tab w:val="center" w:pos="360"/>
          <w:tab w:val="left" w:leader="dot" w:pos="7920"/>
          <w:tab w:val="left" w:pos="8280"/>
          <w:tab w:val="right" w:pos="8640"/>
        </w:tabs>
        <w:spacing w:before="100" w:beforeAutospacing="1" w:after="100" w:afterAutospacing="1"/>
        <w:rPr>
          <w:bCs/>
        </w:rPr>
      </w:pPr>
      <w:r w:rsidRPr="00790C92">
        <w:rPr>
          <w:bCs/>
        </w:rPr>
        <w:t>Emergen</w:t>
      </w:r>
      <w:r w:rsidR="00CC324D">
        <w:rPr>
          <w:bCs/>
        </w:rPr>
        <w:t>c</w:t>
      </w:r>
      <w:r w:rsidR="00582C6D">
        <w:rPr>
          <w:bCs/>
        </w:rPr>
        <w:t>y Support Function (ESF) #13</w:t>
      </w:r>
      <w:r w:rsidR="00582C6D">
        <w:rPr>
          <w:bCs/>
        </w:rPr>
        <w:tab/>
        <w:t xml:space="preserve"> 46</w:t>
      </w:r>
    </w:p>
    <w:p w:rsidR="00504A36" w:rsidRDefault="00442749" w:rsidP="00582C6D">
      <w:pPr>
        <w:pStyle w:val="xl19"/>
        <w:numPr>
          <w:ilvl w:val="0"/>
          <w:numId w:val="11"/>
        </w:numPr>
        <w:tabs>
          <w:tab w:val="left" w:leader="dot" w:pos="8010"/>
        </w:tabs>
        <w:spacing w:before="100" w:beforeAutospacing="1" w:after="100" w:afterAutospacing="1"/>
        <w:rPr>
          <w:bCs/>
        </w:rPr>
      </w:pPr>
      <w:r w:rsidRPr="00790C92">
        <w:rPr>
          <w:bCs/>
        </w:rPr>
        <w:t>P</w:t>
      </w:r>
      <w:r>
        <w:rPr>
          <w:bCs/>
        </w:rPr>
        <w:t>erformance Tables</w:t>
      </w:r>
      <w:r w:rsidR="008C0815" w:rsidRPr="00790C92">
        <w:rPr>
          <w:bCs/>
        </w:rPr>
        <w:tab/>
      </w:r>
      <w:r w:rsidR="00582C6D">
        <w:rPr>
          <w:bCs/>
        </w:rPr>
        <w:t>48</w:t>
      </w:r>
    </w:p>
    <w:p w:rsidR="007730E8" w:rsidRPr="00790C92" w:rsidRDefault="00901C52" w:rsidP="00901C52">
      <w:pPr>
        <w:pStyle w:val="xl19"/>
        <w:tabs>
          <w:tab w:val="center" w:pos="360"/>
          <w:tab w:val="left" w:leader="dot" w:pos="7920"/>
          <w:tab w:val="left" w:pos="8280"/>
          <w:tab w:val="right" w:pos="8640"/>
        </w:tabs>
        <w:spacing w:before="100" w:beforeAutospacing="1" w:after="100" w:afterAutospacing="1"/>
        <w:rPr>
          <w:bCs/>
        </w:rPr>
      </w:pPr>
      <w:r>
        <w:rPr>
          <w:bCs/>
        </w:rPr>
        <w:t>C</w:t>
      </w:r>
      <w:r w:rsidRPr="00790C92">
        <w:rPr>
          <w:bCs/>
        </w:rPr>
        <w:t xml:space="preserve">.   </w:t>
      </w:r>
      <w:r w:rsidR="007730E8" w:rsidRPr="00790C92">
        <w:rPr>
          <w:bCs/>
        </w:rPr>
        <w:t xml:space="preserve">Performance, Resources, and Strategies  </w:t>
      </w:r>
    </w:p>
    <w:p w:rsidR="00504A36" w:rsidRDefault="009C78A1">
      <w:pPr>
        <w:pStyle w:val="xl19"/>
        <w:numPr>
          <w:ilvl w:val="0"/>
          <w:numId w:val="15"/>
        </w:numPr>
        <w:tabs>
          <w:tab w:val="center" w:pos="360"/>
          <w:tab w:val="left" w:leader="dot" w:pos="7920"/>
          <w:tab w:val="left" w:pos="8280"/>
          <w:tab w:val="right" w:pos="8640"/>
        </w:tabs>
        <w:spacing w:before="100" w:beforeAutospacing="1" w:after="100" w:afterAutospacing="1"/>
        <w:rPr>
          <w:bCs/>
        </w:rPr>
      </w:pPr>
      <w:r w:rsidRPr="00790C92">
        <w:rPr>
          <w:bCs/>
        </w:rPr>
        <w:t>Performance Plan and Report for Outcomes</w:t>
      </w:r>
      <w:r w:rsidR="00807C5C">
        <w:rPr>
          <w:bCs/>
        </w:rPr>
        <w:tab/>
        <w:t xml:space="preserve"> </w:t>
      </w:r>
      <w:r w:rsidR="00582C6D">
        <w:rPr>
          <w:bCs/>
        </w:rPr>
        <w:t>51</w:t>
      </w:r>
    </w:p>
    <w:p w:rsidR="00504A36" w:rsidRDefault="009C78A1">
      <w:pPr>
        <w:pStyle w:val="xl19"/>
        <w:numPr>
          <w:ilvl w:val="0"/>
          <w:numId w:val="15"/>
        </w:numPr>
        <w:tabs>
          <w:tab w:val="center" w:pos="360"/>
          <w:tab w:val="left" w:leader="dot" w:pos="7920"/>
          <w:tab w:val="left" w:pos="8280"/>
          <w:tab w:val="right" w:pos="8640"/>
        </w:tabs>
        <w:spacing w:before="100" w:beforeAutospacing="1" w:after="100" w:afterAutospacing="1"/>
        <w:rPr>
          <w:bCs/>
        </w:rPr>
      </w:pPr>
      <w:r w:rsidRPr="00790C92">
        <w:rPr>
          <w:bCs/>
        </w:rPr>
        <w:t>Strategies to Accomplish Outcomes</w:t>
      </w:r>
      <w:r w:rsidR="00807C5C">
        <w:rPr>
          <w:bCs/>
        </w:rPr>
        <w:tab/>
        <w:t xml:space="preserve"> </w:t>
      </w:r>
      <w:r w:rsidR="00582C6D">
        <w:rPr>
          <w:bCs/>
        </w:rPr>
        <w:t>53</w:t>
      </w:r>
    </w:p>
    <w:p w:rsidR="00C45799" w:rsidRDefault="007730E8" w:rsidP="00E21F0A">
      <w:pPr>
        <w:pStyle w:val="xl19"/>
        <w:tabs>
          <w:tab w:val="left" w:leader="dot" w:pos="7920"/>
          <w:tab w:val="right" w:pos="8640"/>
        </w:tabs>
        <w:spacing w:before="100" w:beforeAutospacing="1" w:after="100" w:afterAutospacing="1"/>
        <w:rPr>
          <w:bCs/>
        </w:rPr>
      </w:pPr>
      <w:r w:rsidRPr="00790C92">
        <w:rPr>
          <w:b/>
        </w:rPr>
        <w:lastRenderedPageBreak/>
        <w:t>V</w:t>
      </w:r>
      <w:r w:rsidR="00781D49" w:rsidRPr="00790C92">
        <w:rPr>
          <w:b/>
        </w:rPr>
        <w:t>.</w:t>
      </w:r>
      <w:r w:rsidR="00781D49" w:rsidRPr="00790C92">
        <w:t xml:space="preserve"> </w:t>
      </w:r>
      <w:r w:rsidR="0045716A" w:rsidRPr="00790C92">
        <w:t xml:space="preserve">  </w:t>
      </w:r>
      <w:r w:rsidR="00F674AA" w:rsidRPr="00790C92">
        <w:rPr>
          <w:b/>
        </w:rPr>
        <w:t>Program Changes</w:t>
      </w:r>
      <w:r w:rsidR="00781D49" w:rsidRPr="00790C92">
        <w:rPr>
          <w:b/>
        </w:rPr>
        <w:t xml:space="preserve"> by Item</w:t>
      </w:r>
      <w:r w:rsidR="00C45799" w:rsidRPr="00790C92">
        <w:rPr>
          <w:bCs/>
        </w:rPr>
        <w:tab/>
        <w:t xml:space="preserve"> </w:t>
      </w:r>
      <w:r w:rsidR="00582C6D">
        <w:rPr>
          <w:bCs/>
        </w:rPr>
        <w:t>55</w:t>
      </w:r>
    </w:p>
    <w:p w:rsidR="00504A36" w:rsidRDefault="005732E1">
      <w:pPr>
        <w:numPr>
          <w:ilvl w:val="0"/>
          <w:numId w:val="21"/>
        </w:numPr>
        <w:tabs>
          <w:tab w:val="clear" w:pos="720"/>
          <w:tab w:val="num" w:pos="360"/>
          <w:tab w:val="left" w:leader="dot" w:pos="7920"/>
          <w:tab w:val="right" w:pos="8640"/>
        </w:tabs>
        <w:outlineLvl w:val="0"/>
      </w:pPr>
      <w:r>
        <w:t xml:space="preserve">Enforcement, Tracing </w:t>
      </w:r>
      <w:r w:rsidR="00AC4FE8">
        <w:t>and Inspections</w:t>
      </w:r>
      <w:r w:rsidR="00C45799" w:rsidRPr="00777444">
        <w:tab/>
      </w:r>
      <w:r w:rsidR="00CC56EF" w:rsidRPr="00777444">
        <w:t xml:space="preserve"> </w:t>
      </w:r>
      <w:r w:rsidR="00582C6D">
        <w:t>55</w:t>
      </w:r>
    </w:p>
    <w:p w:rsidR="005732E1" w:rsidRDefault="005732E1" w:rsidP="005732E1">
      <w:pPr>
        <w:pStyle w:val="ListParagraph"/>
        <w:numPr>
          <w:ilvl w:val="0"/>
          <w:numId w:val="21"/>
        </w:numPr>
        <w:tabs>
          <w:tab w:val="left" w:leader="dot" w:pos="7920"/>
          <w:tab w:val="right" w:pos="8640"/>
        </w:tabs>
        <w:outlineLvl w:val="0"/>
      </w:pPr>
      <w:r>
        <w:t>National Integrated Ballistics Information Network</w:t>
      </w:r>
      <w:r w:rsidRPr="00777444">
        <w:tab/>
        <w:t xml:space="preserve"> </w:t>
      </w:r>
      <w:r>
        <w:t>5</w:t>
      </w:r>
      <w:r w:rsidR="00582C6D">
        <w:t>8</w:t>
      </w:r>
    </w:p>
    <w:p w:rsidR="0045716A" w:rsidRDefault="0045716A" w:rsidP="000064C8">
      <w:pPr>
        <w:pStyle w:val="xl19"/>
        <w:tabs>
          <w:tab w:val="left" w:leader="dot" w:pos="7920"/>
          <w:tab w:val="right" w:pos="8640"/>
        </w:tabs>
        <w:spacing w:before="100" w:beforeAutospacing="1" w:after="100" w:afterAutospacing="1"/>
        <w:rPr>
          <w:b/>
        </w:rPr>
      </w:pPr>
      <w:r w:rsidRPr="00790C92">
        <w:rPr>
          <w:b/>
        </w:rPr>
        <w:t>VI.   Program Offsets by Item</w:t>
      </w:r>
      <w:r w:rsidR="00582C6D">
        <w:t>………………………………..</w:t>
      </w:r>
      <w:r w:rsidR="00582C6D">
        <w:tab/>
        <w:t>.61</w:t>
      </w:r>
    </w:p>
    <w:p w:rsidR="00504A36" w:rsidRDefault="007467F0" w:rsidP="00A2456E">
      <w:pPr>
        <w:numPr>
          <w:ilvl w:val="0"/>
          <w:numId w:val="23"/>
        </w:numPr>
        <w:tabs>
          <w:tab w:val="left" w:leader="dot" w:pos="7920"/>
          <w:tab w:val="right" w:pos="8640"/>
        </w:tabs>
        <w:outlineLvl w:val="0"/>
      </w:pPr>
      <w:r>
        <w:t>Administrative Efficiencies</w:t>
      </w:r>
      <w:r w:rsidRPr="00777444">
        <w:tab/>
        <w:t xml:space="preserve"> </w:t>
      </w:r>
      <w:r w:rsidR="00582C6D">
        <w:t>61</w:t>
      </w:r>
    </w:p>
    <w:p w:rsidR="00504A36" w:rsidRDefault="007467F0" w:rsidP="00A2456E">
      <w:pPr>
        <w:numPr>
          <w:ilvl w:val="0"/>
          <w:numId w:val="23"/>
        </w:numPr>
        <w:tabs>
          <w:tab w:val="left" w:leader="dot" w:pos="7920"/>
          <w:tab w:val="right" w:pos="8640"/>
        </w:tabs>
        <w:outlineLvl w:val="0"/>
      </w:pPr>
      <w:r>
        <w:t>Information Technology Savings</w:t>
      </w:r>
      <w:r w:rsidRPr="00777444">
        <w:tab/>
        <w:t xml:space="preserve"> </w:t>
      </w:r>
      <w:r w:rsidR="00582C6D">
        <w:t>63</w:t>
      </w:r>
    </w:p>
    <w:p w:rsidR="0045716A" w:rsidRPr="00790C92" w:rsidRDefault="0045716A" w:rsidP="0045716A">
      <w:pPr>
        <w:pStyle w:val="xl19"/>
        <w:tabs>
          <w:tab w:val="left" w:leader="dot" w:pos="7920"/>
          <w:tab w:val="right" w:pos="8640"/>
        </w:tabs>
        <w:spacing w:before="100" w:beforeAutospacing="1" w:after="100" w:afterAutospacing="1"/>
        <w:rPr>
          <w:b/>
        </w:rPr>
      </w:pPr>
      <w:r w:rsidRPr="00790C92">
        <w:rPr>
          <w:b/>
        </w:rPr>
        <w:t>VII.   Exhibits</w:t>
      </w:r>
    </w:p>
    <w:p w:rsidR="00377364" w:rsidRPr="00AC4FE8" w:rsidRDefault="00377364" w:rsidP="00AC4FE8">
      <w:pPr>
        <w:pStyle w:val="ListParagraph"/>
        <w:numPr>
          <w:ilvl w:val="2"/>
          <w:numId w:val="1"/>
        </w:numPr>
        <w:tabs>
          <w:tab w:val="left" w:leader="dot" w:pos="7920"/>
          <w:tab w:val="right" w:pos="8640"/>
        </w:tabs>
        <w:ind w:left="720"/>
        <w:outlineLvl w:val="0"/>
        <w:rPr>
          <w:bCs/>
        </w:rPr>
      </w:pPr>
      <w:r w:rsidRPr="00790C92">
        <w:t>Organizational Chart</w:t>
      </w:r>
      <w:r w:rsidR="00296098">
        <w:t xml:space="preserve"> </w:t>
      </w:r>
    </w:p>
    <w:p w:rsidR="00377364" w:rsidRPr="00790C92" w:rsidRDefault="00377364" w:rsidP="00377364">
      <w:pPr>
        <w:pStyle w:val="xl19"/>
        <w:tabs>
          <w:tab w:val="left" w:leader="dot" w:pos="7920"/>
          <w:tab w:val="right" w:pos="8640"/>
        </w:tabs>
        <w:ind w:left="360"/>
        <w:rPr>
          <w:bCs/>
        </w:rPr>
      </w:pPr>
      <w:r w:rsidRPr="00790C92">
        <w:rPr>
          <w:bCs/>
        </w:rPr>
        <w:t xml:space="preserve">B.  Summary of Requirements </w:t>
      </w:r>
    </w:p>
    <w:p w:rsidR="00377364" w:rsidRPr="00790C92" w:rsidRDefault="00377364" w:rsidP="00377364">
      <w:pPr>
        <w:tabs>
          <w:tab w:val="left" w:leader="dot" w:pos="7920"/>
          <w:tab w:val="right" w:pos="8640"/>
        </w:tabs>
        <w:ind w:left="360"/>
        <w:rPr>
          <w:bCs/>
        </w:rPr>
      </w:pPr>
      <w:r w:rsidRPr="00790C92">
        <w:rPr>
          <w:bCs/>
        </w:rPr>
        <w:t xml:space="preserve">C.  </w:t>
      </w:r>
      <w:r w:rsidR="00296098">
        <w:rPr>
          <w:bCs/>
        </w:rPr>
        <w:t xml:space="preserve">FY 2014 </w:t>
      </w:r>
      <w:r w:rsidRPr="00790C92">
        <w:rPr>
          <w:bCs/>
        </w:rPr>
        <w:t>Program Increases/Offsets by Decision Unit</w:t>
      </w:r>
    </w:p>
    <w:p w:rsidR="00504A36" w:rsidRDefault="00377364">
      <w:pPr>
        <w:numPr>
          <w:ilvl w:val="0"/>
          <w:numId w:val="22"/>
        </w:numPr>
        <w:tabs>
          <w:tab w:val="left" w:leader="dot" w:pos="7920"/>
          <w:tab w:val="right" w:pos="8640"/>
        </w:tabs>
        <w:rPr>
          <w:bCs/>
        </w:rPr>
      </w:pPr>
      <w:r w:rsidRPr="00790C92">
        <w:rPr>
          <w:bCs/>
        </w:rPr>
        <w:t xml:space="preserve">Resources by DOJ Strategic Goal/Objective </w:t>
      </w:r>
    </w:p>
    <w:p w:rsidR="00504A36" w:rsidRDefault="00377364">
      <w:pPr>
        <w:numPr>
          <w:ilvl w:val="0"/>
          <w:numId w:val="22"/>
        </w:numPr>
        <w:tabs>
          <w:tab w:val="left" w:leader="dot" w:pos="7920"/>
          <w:tab w:val="right" w:pos="8640"/>
        </w:tabs>
        <w:rPr>
          <w:bCs/>
        </w:rPr>
      </w:pPr>
      <w:r w:rsidRPr="00790C92">
        <w:rPr>
          <w:bCs/>
        </w:rPr>
        <w:t xml:space="preserve">Justification for </w:t>
      </w:r>
      <w:r w:rsidR="00582C6D">
        <w:rPr>
          <w:bCs/>
        </w:rPr>
        <w:t xml:space="preserve">Technical and </w:t>
      </w:r>
      <w:r w:rsidRPr="00790C92">
        <w:rPr>
          <w:bCs/>
        </w:rPr>
        <w:t>Base Adjustments</w:t>
      </w:r>
    </w:p>
    <w:p w:rsidR="00504A36" w:rsidRDefault="00377364" w:rsidP="00A2456E">
      <w:pPr>
        <w:numPr>
          <w:ilvl w:val="0"/>
          <w:numId w:val="22"/>
        </w:numPr>
        <w:tabs>
          <w:tab w:val="left" w:leader="dot" w:pos="7920"/>
          <w:tab w:val="right" w:pos="8640"/>
        </w:tabs>
        <w:rPr>
          <w:bCs/>
        </w:rPr>
      </w:pPr>
      <w:r w:rsidRPr="00790C92">
        <w:rPr>
          <w:bCs/>
        </w:rPr>
        <w:t>Crosswalk of 2012 Availability</w:t>
      </w:r>
    </w:p>
    <w:p w:rsidR="00504A36" w:rsidRDefault="00377364" w:rsidP="00A2456E">
      <w:pPr>
        <w:numPr>
          <w:ilvl w:val="0"/>
          <w:numId w:val="22"/>
        </w:numPr>
        <w:tabs>
          <w:tab w:val="left" w:leader="dot" w:pos="7920"/>
          <w:tab w:val="right" w:pos="8640"/>
        </w:tabs>
        <w:rPr>
          <w:bCs/>
          <w:i/>
        </w:rPr>
      </w:pPr>
      <w:r w:rsidRPr="00790C92">
        <w:rPr>
          <w:bCs/>
        </w:rPr>
        <w:t>Crosswalk of 201</w:t>
      </w:r>
      <w:r w:rsidR="00296098">
        <w:rPr>
          <w:bCs/>
        </w:rPr>
        <w:t xml:space="preserve">3 Availability </w:t>
      </w:r>
    </w:p>
    <w:p w:rsidR="00504A36" w:rsidRDefault="00A2456E">
      <w:pPr>
        <w:numPr>
          <w:ilvl w:val="0"/>
          <w:numId w:val="22"/>
        </w:numPr>
        <w:tabs>
          <w:tab w:val="left" w:leader="dot" w:pos="7920"/>
          <w:tab w:val="right" w:pos="8640"/>
        </w:tabs>
        <w:rPr>
          <w:bCs/>
        </w:rPr>
      </w:pPr>
      <w:r>
        <w:rPr>
          <w:bCs/>
        </w:rPr>
        <w:t>S</w:t>
      </w:r>
      <w:r w:rsidR="00377364" w:rsidRPr="00790C92">
        <w:rPr>
          <w:bCs/>
        </w:rPr>
        <w:t>ummary of Reimbursable Resources</w:t>
      </w:r>
    </w:p>
    <w:p w:rsidR="00504A36" w:rsidRDefault="00377364" w:rsidP="00A2456E">
      <w:pPr>
        <w:numPr>
          <w:ilvl w:val="0"/>
          <w:numId w:val="22"/>
        </w:numPr>
        <w:tabs>
          <w:tab w:val="left" w:leader="dot" w:pos="7920"/>
          <w:tab w:val="right" w:pos="8640"/>
        </w:tabs>
        <w:rPr>
          <w:bCs/>
        </w:rPr>
      </w:pPr>
      <w:r w:rsidRPr="00790C92">
        <w:rPr>
          <w:bCs/>
        </w:rPr>
        <w:t>Detail of Permanent Positions by Category</w:t>
      </w:r>
    </w:p>
    <w:p w:rsidR="00504A36" w:rsidRDefault="00377364">
      <w:pPr>
        <w:numPr>
          <w:ilvl w:val="0"/>
          <w:numId w:val="22"/>
        </w:numPr>
        <w:tabs>
          <w:tab w:val="left" w:leader="dot" w:pos="7920"/>
          <w:tab w:val="right" w:pos="8640"/>
        </w:tabs>
        <w:rPr>
          <w:bCs/>
        </w:rPr>
      </w:pPr>
      <w:r w:rsidRPr="00790C92">
        <w:rPr>
          <w:bCs/>
        </w:rPr>
        <w:t xml:space="preserve">Financial Analysis of Program </w:t>
      </w:r>
      <w:r w:rsidR="00296098">
        <w:rPr>
          <w:bCs/>
        </w:rPr>
        <w:t>Changes</w:t>
      </w:r>
    </w:p>
    <w:p w:rsidR="00504A36" w:rsidRDefault="00377364" w:rsidP="00A2456E">
      <w:pPr>
        <w:numPr>
          <w:ilvl w:val="0"/>
          <w:numId w:val="22"/>
        </w:numPr>
        <w:tabs>
          <w:tab w:val="left" w:leader="dot" w:pos="7920"/>
          <w:tab w:val="right" w:pos="8640"/>
        </w:tabs>
        <w:rPr>
          <w:bCs/>
        </w:rPr>
      </w:pPr>
      <w:r w:rsidRPr="00790C92">
        <w:rPr>
          <w:bCs/>
        </w:rPr>
        <w:t>Summary of Requirements by Grade</w:t>
      </w:r>
    </w:p>
    <w:p w:rsidR="00504A36" w:rsidRDefault="00377364" w:rsidP="00A2456E">
      <w:pPr>
        <w:numPr>
          <w:ilvl w:val="0"/>
          <w:numId w:val="22"/>
        </w:numPr>
        <w:tabs>
          <w:tab w:val="left" w:leader="dot" w:pos="7920"/>
          <w:tab w:val="right" w:pos="8640"/>
        </w:tabs>
        <w:rPr>
          <w:bCs/>
        </w:rPr>
      </w:pPr>
      <w:r w:rsidRPr="00790C92">
        <w:rPr>
          <w:bCs/>
        </w:rPr>
        <w:t>Summary of Requirements by Object Class</w:t>
      </w:r>
    </w:p>
    <w:p w:rsidR="00377364" w:rsidRPr="00790C92" w:rsidRDefault="00377364" w:rsidP="00296098">
      <w:pPr>
        <w:tabs>
          <w:tab w:val="left" w:leader="dot" w:pos="7920"/>
          <w:tab w:val="right" w:pos="8640"/>
        </w:tabs>
        <w:ind w:left="720"/>
        <w:rPr>
          <w:bCs/>
        </w:rPr>
      </w:pPr>
    </w:p>
    <w:p w:rsidR="0045716A" w:rsidRDefault="0045716A" w:rsidP="0045716A">
      <w:pPr>
        <w:pStyle w:val="xl19"/>
        <w:tabs>
          <w:tab w:val="left" w:leader="dot" w:pos="7920"/>
          <w:tab w:val="right" w:pos="8640"/>
        </w:tabs>
        <w:spacing w:before="100" w:beforeAutospacing="1" w:after="100" w:afterAutospacing="1"/>
        <w:rPr>
          <w:b/>
          <w:sz w:val="20"/>
          <w:szCs w:val="20"/>
        </w:rPr>
      </w:pPr>
    </w:p>
    <w:p w:rsidR="0045716A" w:rsidRDefault="0045716A">
      <w:pPr>
        <w:rPr>
          <w:b/>
          <w:sz w:val="20"/>
          <w:szCs w:val="20"/>
        </w:rPr>
      </w:pPr>
    </w:p>
    <w:p w:rsidR="00E5338F" w:rsidRDefault="00E5338F">
      <w:pPr>
        <w:rPr>
          <w:b/>
          <w:sz w:val="20"/>
          <w:szCs w:val="20"/>
        </w:rPr>
      </w:pPr>
    </w:p>
    <w:p w:rsidR="00E5338F" w:rsidRDefault="00E5338F">
      <w:pPr>
        <w:rPr>
          <w:b/>
          <w:sz w:val="20"/>
          <w:szCs w:val="20"/>
        </w:rPr>
      </w:pPr>
    </w:p>
    <w:p w:rsidR="00832B03" w:rsidRPr="00832B03" w:rsidRDefault="00832B03">
      <w:pPr>
        <w:rPr>
          <w:b/>
          <w:sz w:val="20"/>
          <w:szCs w:val="20"/>
        </w:rPr>
      </w:pPr>
    </w:p>
    <w:p w:rsidR="00832B03" w:rsidRDefault="00832B03">
      <w:pPr>
        <w:rPr>
          <w:b/>
          <w:bCs/>
        </w:rPr>
      </w:pPr>
      <w:r>
        <w:rPr>
          <w:b/>
          <w:bCs/>
        </w:rPr>
        <w:br w:type="page"/>
      </w:r>
    </w:p>
    <w:p w:rsidR="00366A5A" w:rsidRDefault="00366A5A" w:rsidP="005027FD">
      <w:pPr>
        <w:tabs>
          <w:tab w:val="left" w:pos="900"/>
          <w:tab w:val="left" w:leader="dot" w:pos="7920"/>
          <w:tab w:val="right" w:pos="8640"/>
        </w:tabs>
        <w:spacing w:before="100" w:beforeAutospacing="1" w:after="100" w:afterAutospacing="1"/>
        <w:rPr>
          <w:b/>
          <w:bCs/>
        </w:rPr>
        <w:sectPr w:rsidR="00366A5A" w:rsidSect="00D4082B">
          <w:headerReference w:type="even" r:id="rId9"/>
          <w:headerReference w:type="default" r:id="rId10"/>
          <w:footerReference w:type="even" r:id="rId11"/>
          <w:footerReference w:type="first" r:id="rId12"/>
          <w:pgSz w:w="12240" w:h="15840" w:code="1"/>
          <w:pgMar w:top="1440" w:right="1440" w:bottom="1440" w:left="1440" w:header="720" w:footer="720" w:gutter="0"/>
          <w:pgNumType w:start="1"/>
          <w:cols w:space="720"/>
          <w:titlePg/>
          <w:docGrid w:linePitch="360"/>
        </w:sectPr>
      </w:pPr>
    </w:p>
    <w:p w:rsidR="00FA2AAB" w:rsidRPr="00762F09" w:rsidRDefault="00FA2AAB" w:rsidP="005027FD">
      <w:pPr>
        <w:tabs>
          <w:tab w:val="left" w:pos="900"/>
          <w:tab w:val="left" w:leader="dot" w:pos="7920"/>
          <w:tab w:val="right" w:pos="8640"/>
        </w:tabs>
        <w:spacing w:before="100" w:beforeAutospacing="1" w:after="100" w:afterAutospacing="1"/>
        <w:rPr>
          <w:bCs/>
        </w:rPr>
      </w:pPr>
      <w:r w:rsidRPr="00762F09">
        <w:rPr>
          <w:b/>
          <w:bCs/>
        </w:rPr>
        <w:lastRenderedPageBreak/>
        <w:t xml:space="preserve">I.  Overview for the Bureau of Alcohol, Tobacco, Firearms and Explosives </w:t>
      </w:r>
    </w:p>
    <w:p w:rsidR="00FA2AAB" w:rsidRDefault="0069335F" w:rsidP="005027FD">
      <w:pPr>
        <w:pStyle w:val="Heading8"/>
        <w:tabs>
          <w:tab w:val="left" w:pos="540"/>
        </w:tabs>
        <w:spacing w:before="100" w:beforeAutospacing="1" w:after="100" w:afterAutospacing="1"/>
        <w:rPr>
          <w:bCs/>
          <w:szCs w:val="24"/>
        </w:rPr>
      </w:pPr>
      <w:r>
        <w:rPr>
          <w:bCs/>
          <w:szCs w:val="24"/>
        </w:rPr>
        <w:t xml:space="preserve">A.  </w:t>
      </w:r>
      <w:r w:rsidR="00FA2AAB" w:rsidRPr="00762F09">
        <w:rPr>
          <w:bCs/>
          <w:szCs w:val="24"/>
        </w:rPr>
        <w:t>Summary of Budget Request</w:t>
      </w:r>
      <w:r w:rsidR="00FA2AAB">
        <w:rPr>
          <w:bCs/>
          <w:szCs w:val="24"/>
        </w:rPr>
        <w:t xml:space="preserve"> </w:t>
      </w:r>
    </w:p>
    <w:p w:rsidR="00817E7C" w:rsidRDefault="00B376C4" w:rsidP="00C22494">
      <w:pPr>
        <w:pStyle w:val="Heading8"/>
        <w:tabs>
          <w:tab w:val="left" w:pos="540"/>
        </w:tabs>
        <w:spacing w:before="100" w:beforeAutospacing="1" w:after="100" w:afterAutospacing="1"/>
      </w:pPr>
      <w:r>
        <w:rPr>
          <w:b w:val="0"/>
        </w:rPr>
        <w:t xml:space="preserve">The </w:t>
      </w:r>
      <w:r w:rsidR="00DC3EDF" w:rsidRPr="00DC3EDF">
        <w:t xml:space="preserve">Bureau of </w:t>
      </w:r>
      <w:r w:rsidR="00DC3EDF" w:rsidRPr="0005652D">
        <w:t>Alcohol, Tobacco, Firearms and Explosives (ATF)</w:t>
      </w:r>
      <w:r w:rsidRPr="0005652D">
        <w:rPr>
          <w:b w:val="0"/>
        </w:rPr>
        <w:t xml:space="preserve"> </w:t>
      </w:r>
      <w:r w:rsidR="00FA2AAB" w:rsidRPr="0005652D">
        <w:rPr>
          <w:b w:val="0"/>
        </w:rPr>
        <w:t xml:space="preserve">requests </w:t>
      </w:r>
      <w:r w:rsidR="00E858A2">
        <w:rPr>
          <w:b w:val="0"/>
        </w:rPr>
        <w:t xml:space="preserve">$1,229,518,000 </w:t>
      </w:r>
      <w:r w:rsidR="009F4E80" w:rsidRPr="0005652D">
        <w:rPr>
          <w:b w:val="0"/>
        </w:rPr>
        <w:t>for FY 201</w:t>
      </w:r>
      <w:r w:rsidR="00DA347A" w:rsidRPr="0005652D">
        <w:rPr>
          <w:b w:val="0"/>
        </w:rPr>
        <w:t>4</w:t>
      </w:r>
      <w:r w:rsidR="009F4E80" w:rsidRPr="0005652D">
        <w:rPr>
          <w:b w:val="0"/>
        </w:rPr>
        <w:t xml:space="preserve">, including </w:t>
      </w:r>
      <w:r w:rsidR="004D01DD">
        <w:rPr>
          <w:b w:val="0"/>
        </w:rPr>
        <w:t>5,192</w:t>
      </w:r>
      <w:r w:rsidR="00DA347A" w:rsidRPr="0005652D">
        <w:rPr>
          <w:b w:val="0"/>
        </w:rPr>
        <w:t xml:space="preserve"> </w:t>
      </w:r>
      <w:r w:rsidR="009F4E80" w:rsidRPr="0005652D">
        <w:rPr>
          <w:b w:val="0"/>
        </w:rPr>
        <w:t xml:space="preserve">positions and </w:t>
      </w:r>
      <w:r w:rsidR="004D01DD">
        <w:rPr>
          <w:b w:val="0"/>
        </w:rPr>
        <w:t>4,</w:t>
      </w:r>
      <w:r w:rsidR="001D7BC9">
        <w:rPr>
          <w:b w:val="0"/>
        </w:rPr>
        <w:t>876</w:t>
      </w:r>
      <w:r w:rsidR="009F4E80" w:rsidRPr="0005652D">
        <w:rPr>
          <w:b w:val="0"/>
        </w:rPr>
        <w:t xml:space="preserve"> full</w:t>
      </w:r>
      <w:r w:rsidR="00FA2AAB" w:rsidRPr="0005652D">
        <w:rPr>
          <w:b w:val="0"/>
        </w:rPr>
        <w:t xml:space="preserve"> </w:t>
      </w:r>
      <w:r w:rsidR="009F4E80" w:rsidRPr="0005652D">
        <w:rPr>
          <w:b w:val="0"/>
        </w:rPr>
        <w:t xml:space="preserve">time equivalents (FTE).  This request includes </w:t>
      </w:r>
      <w:r w:rsidR="00106D81" w:rsidRPr="0005652D">
        <w:rPr>
          <w:b w:val="0"/>
        </w:rPr>
        <w:t xml:space="preserve">a total of </w:t>
      </w:r>
      <w:r w:rsidR="009F4E80" w:rsidRPr="0005652D">
        <w:rPr>
          <w:b w:val="0"/>
        </w:rPr>
        <w:t>$</w:t>
      </w:r>
      <w:r w:rsidR="00BC53D8">
        <w:rPr>
          <w:b w:val="0"/>
        </w:rPr>
        <w:t>14,587,000</w:t>
      </w:r>
      <w:r w:rsidR="00733975">
        <w:rPr>
          <w:b w:val="0"/>
        </w:rPr>
        <w:t xml:space="preserve"> </w:t>
      </w:r>
      <w:r w:rsidR="009F4E80" w:rsidRPr="0005652D">
        <w:rPr>
          <w:b w:val="0"/>
        </w:rPr>
        <w:t>in</w:t>
      </w:r>
      <w:r w:rsidR="00A5422B">
        <w:rPr>
          <w:b w:val="0"/>
        </w:rPr>
        <w:t xml:space="preserve"> net</w:t>
      </w:r>
      <w:r w:rsidR="009F4E80" w:rsidRPr="0005652D">
        <w:rPr>
          <w:b w:val="0"/>
        </w:rPr>
        <w:t xml:space="preserve"> adjustments</w:t>
      </w:r>
      <w:r w:rsidR="00E05510" w:rsidRPr="00E05510">
        <w:rPr>
          <w:b w:val="0"/>
        </w:rPr>
        <w:t>-</w:t>
      </w:r>
      <w:r w:rsidR="009F4E80" w:rsidRPr="00E05510">
        <w:rPr>
          <w:b w:val="0"/>
        </w:rPr>
        <w:t>to</w:t>
      </w:r>
      <w:r w:rsidR="00E05510" w:rsidRPr="00E05510">
        <w:rPr>
          <w:b w:val="0"/>
        </w:rPr>
        <w:t>-</w:t>
      </w:r>
      <w:r w:rsidR="00106D81">
        <w:rPr>
          <w:b w:val="0"/>
        </w:rPr>
        <w:t xml:space="preserve">base </w:t>
      </w:r>
      <w:r w:rsidR="001F3338">
        <w:rPr>
          <w:b w:val="0"/>
        </w:rPr>
        <w:t xml:space="preserve">(ATBs) </w:t>
      </w:r>
      <w:r w:rsidR="00106D81">
        <w:rPr>
          <w:b w:val="0"/>
        </w:rPr>
        <w:t xml:space="preserve">which will allow ATF to maintain its current </w:t>
      </w:r>
      <w:r w:rsidR="004B065C">
        <w:rPr>
          <w:b w:val="0"/>
        </w:rPr>
        <w:t xml:space="preserve">mission </w:t>
      </w:r>
      <w:r w:rsidR="00106D81">
        <w:rPr>
          <w:b w:val="0"/>
        </w:rPr>
        <w:t>services</w:t>
      </w:r>
      <w:r w:rsidR="009F4E80" w:rsidRPr="00E05510">
        <w:rPr>
          <w:b w:val="0"/>
        </w:rPr>
        <w:t>.</w:t>
      </w:r>
      <w:r w:rsidR="007C3DAD" w:rsidRPr="00E05510">
        <w:rPr>
          <w:b w:val="0"/>
        </w:rPr>
        <w:t xml:space="preserve"> </w:t>
      </w:r>
      <w:r w:rsidR="006E79E2" w:rsidRPr="00E05510">
        <w:rPr>
          <w:b w:val="0"/>
        </w:rPr>
        <w:t xml:space="preserve"> </w:t>
      </w:r>
      <w:r w:rsidR="006D20F7">
        <w:rPr>
          <w:b w:val="0"/>
        </w:rPr>
        <w:t xml:space="preserve">These ATBs will provide the funding to support </w:t>
      </w:r>
      <w:r w:rsidR="00860E0F">
        <w:rPr>
          <w:b w:val="0"/>
        </w:rPr>
        <w:t>employee payroll costs for existing staff</w:t>
      </w:r>
      <w:r w:rsidR="006D20F7">
        <w:rPr>
          <w:b w:val="0"/>
        </w:rPr>
        <w:t xml:space="preserve">, as well as resources to support </w:t>
      </w:r>
      <w:r w:rsidR="00112D02">
        <w:rPr>
          <w:b w:val="0"/>
        </w:rPr>
        <w:t>the</w:t>
      </w:r>
      <w:r w:rsidR="00737908">
        <w:rPr>
          <w:b w:val="0"/>
        </w:rPr>
        <w:t xml:space="preserve"> continued operation of ATFs</w:t>
      </w:r>
      <w:r w:rsidR="006D20F7">
        <w:rPr>
          <w:b w:val="0"/>
        </w:rPr>
        <w:t xml:space="preserve"> land mobile radio program</w:t>
      </w:r>
      <w:r w:rsidR="00737908">
        <w:rPr>
          <w:b w:val="0"/>
        </w:rPr>
        <w:t>.</w:t>
      </w:r>
      <w:r w:rsidR="006D20F7">
        <w:rPr>
          <w:b w:val="0"/>
        </w:rPr>
        <w:t xml:space="preserve">  </w:t>
      </w:r>
      <w:r w:rsidR="00737908">
        <w:rPr>
          <w:b w:val="0"/>
        </w:rPr>
        <w:t xml:space="preserve">Requested </w:t>
      </w:r>
      <w:r w:rsidR="006D20F7">
        <w:rPr>
          <w:b w:val="0"/>
        </w:rPr>
        <w:t>ATB</w:t>
      </w:r>
      <w:r w:rsidR="00737908">
        <w:rPr>
          <w:b w:val="0"/>
        </w:rPr>
        <w:t>s</w:t>
      </w:r>
      <w:r w:rsidR="006D20F7">
        <w:rPr>
          <w:b w:val="0"/>
        </w:rPr>
        <w:t xml:space="preserve"> will</w:t>
      </w:r>
      <w:r w:rsidR="00737908">
        <w:rPr>
          <w:b w:val="0"/>
        </w:rPr>
        <w:t xml:space="preserve"> also</w:t>
      </w:r>
      <w:r w:rsidR="006D20F7">
        <w:rPr>
          <w:b w:val="0"/>
        </w:rPr>
        <w:t xml:space="preserve"> ensure continued refresh of critical technologies procured under the Radio Spectrum relocation </w:t>
      </w:r>
      <w:r w:rsidR="00737908">
        <w:rPr>
          <w:b w:val="0"/>
        </w:rPr>
        <w:t>initiative, which</w:t>
      </w:r>
      <w:r w:rsidR="006D20F7">
        <w:rPr>
          <w:b w:val="0"/>
        </w:rPr>
        <w:t xml:space="preserve"> are vital to law enforcement operations.  </w:t>
      </w:r>
      <w:r w:rsidR="00172D74">
        <w:rPr>
          <w:b w:val="0"/>
        </w:rPr>
        <w:t>This</w:t>
      </w:r>
      <w:r w:rsidR="00E858A2">
        <w:rPr>
          <w:b w:val="0"/>
        </w:rPr>
        <w:t xml:space="preserve"> request </w:t>
      </w:r>
      <w:r w:rsidR="006D20F7">
        <w:rPr>
          <w:b w:val="0"/>
        </w:rPr>
        <w:t>includes program increase</w:t>
      </w:r>
      <w:r w:rsidR="000A3312">
        <w:rPr>
          <w:b w:val="0"/>
        </w:rPr>
        <w:t>s</w:t>
      </w:r>
      <w:r w:rsidR="00CE1487">
        <w:rPr>
          <w:b w:val="0"/>
        </w:rPr>
        <w:t xml:space="preserve"> of $</w:t>
      </w:r>
      <w:r w:rsidR="003A68E5">
        <w:rPr>
          <w:b w:val="0"/>
        </w:rPr>
        <w:t>7</w:t>
      </w:r>
      <w:r w:rsidR="004D01DD">
        <w:rPr>
          <w:b w:val="0"/>
        </w:rPr>
        <w:t>3,078,000</w:t>
      </w:r>
      <w:r w:rsidR="0037659D">
        <w:rPr>
          <w:b w:val="0"/>
        </w:rPr>
        <w:t xml:space="preserve"> </w:t>
      </w:r>
      <w:r w:rsidR="006D20F7">
        <w:rPr>
          <w:b w:val="0"/>
        </w:rPr>
        <w:t xml:space="preserve">to support </w:t>
      </w:r>
      <w:r w:rsidR="00112D02">
        <w:rPr>
          <w:b w:val="0"/>
        </w:rPr>
        <w:t xml:space="preserve">the </w:t>
      </w:r>
      <w:r w:rsidR="00CD2C78">
        <w:rPr>
          <w:b w:val="0"/>
        </w:rPr>
        <w:t>President’s National Gun Safety Initiative and Administration’s</w:t>
      </w:r>
      <w:r w:rsidR="006D20F7">
        <w:rPr>
          <w:b w:val="0"/>
        </w:rPr>
        <w:t xml:space="preserve"> priorit</w:t>
      </w:r>
      <w:r w:rsidR="00112D02">
        <w:rPr>
          <w:b w:val="0"/>
        </w:rPr>
        <w:t xml:space="preserve">y to reduce </w:t>
      </w:r>
      <w:r w:rsidR="00A9471B">
        <w:rPr>
          <w:b w:val="0"/>
        </w:rPr>
        <w:t xml:space="preserve">violent crime </w:t>
      </w:r>
      <w:r w:rsidR="004D01DD">
        <w:rPr>
          <w:b w:val="0"/>
        </w:rPr>
        <w:t xml:space="preserve">by increasing the criminal enforcement and inspections capabilities </w:t>
      </w:r>
      <w:r w:rsidR="00172D74">
        <w:rPr>
          <w:b w:val="0"/>
        </w:rPr>
        <w:t xml:space="preserve">for ATF, </w:t>
      </w:r>
      <w:r w:rsidR="00CD2C78">
        <w:rPr>
          <w:b w:val="0"/>
        </w:rPr>
        <w:t xml:space="preserve">increase capacity for the National Integrated Ballistics Information Network (NIBIN) and </w:t>
      </w:r>
      <w:r w:rsidR="00172D74">
        <w:rPr>
          <w:b w:val="0"/>
        </w:rPr>
        <w:t>enhance crime gun tracing activities.</w:t>
      </w:r>
      <w:r w:rsidR="00E858A2">
        <w:rPr>
          <w:b w:val="0"/>
        </w:rPr>
        <w:t xml:space="preserve">  </w:t>
      </w:r>
      <w:r w:rsidR="00172D74">
        <w:rPr>
          <w:b w:val="0"/>
        </w:rPr>
        <w:t xml:space="preserve">ATF </w:t>
      </w:r>
      <w:r w:rsidR="0069475B">
        <w:rPr>
          <w:b w:val="0"/>
        </w:rPr>
        <w:t>will address firearms-related violence through a</w:t>
      </w:r>
      <w:r w:rsidR="00172D74">
        <w:rPr>
          <w:b w:val="0"/>
        </w:rPr>
        <w:t xml:space="preserve"> comprehensive</w:t>
      </w:r>
      <w:r w:rsidR="0069475B">
        <w:rPr>
          <w:b w:val="0"/>
        </w:rPr>
        <w:t xml:space="preserve"> intelligence-driven approach utilizing domain threat assessments to identify specific locations experiencing significant spikes in violence</w:t>
      </w:r>
      <w:r w:rsidR="00172D74">
        <w:rPr>
          <w:b w:val="0"/>
        </w:rPr>
        <w:t xml:space="preserve"> and illegal firearms activities</w:t>
      </w:r>
      <w:r w:rsidR="0069475B">
        <w:rPr>
          <w:b w:val="0"/>
        </w:rPr>
        <w:t xml:space="preserve">.  </w:t>
      </w:r>
      <w:r w:rsidR="00B933D8" w:rsidRPr="00B933D8">
        <w:rPr>
          <w:b w:val="0"/>
          <w:bCs/>
        </w:rPr>
        <w:t xml:space="preserve">Electronic copies of the Department of Justice’s Congressional Budget Justifications and Capital Asset Plan and Business Case exhibits can be viewed or downloaded from the Internet using the Internet address: </w:t>
      </w:r>
      <w:r w:rsidR="00B933D8" w:rsidRPr="00B933D8">
        <w:rPr>
          <w:b w:val="0"/>
          <w:color w:val="1F497D"/>
        </w:rPr>
        <w:t xml:space="preserve"> </w:t>
      </w:r>
      <w:hyperlink r:id="rId13" w:history="1">
        <w:r w:rsidR="00B933D8" w:rsidRPr="00B933D8">
          <w:rPr>
            <w:rStyle w:val="Hyperlink"/>
            <w:b w:val="0"/>
          </w:rPr>
          <w:t>http://www.justice.gov/02organizations/bpp.htm</w:t>
        </w:r>
      </w:hyperlink>
      <w:r w:rsidR="00B933D8" w:rsidRPr="00B933D8">
        <w:rPr>
          <w:b w:val="0"/>
          <w:bCs/>
        </w:rPr>
        <w:t>.</w:t>
      </w:r>
      <w:r w:rsidR="00FD7C7C" w:rsidRPr="00C1151B">
        <w:rPr>
          <w:bCs/>
        </w:rPr>
        <w:t xml:space="preserve">  </w:t>
      </w:r>
    </w:p>
    <w:p w:rsidR="00FA2AAB" w:rsidRPr="008E6D87" w:rsidRDefault="004958BE" w:rsidP="00126F07">
      <w:pPr>
        <w:rPr>
          <w:color w:val="548DD4" w:themeColor="text2" w:themeTint="99"/>
        </w:rPr>
      </w:pPr>
      <w:r w:rsidRPr="005F43BC">
        <w:t>This budget request supports ATF’s capacity to</w:t>
      </w:r>
      <w:r w:rsidR="00FA2AAB" w:rsidRPr="00762F09">
        <w:t>:</w:t>
      </w:r>
      <w:r w:rsidR="008E6D87">
        <w:t xml:space="preserve"> </w:t>
      </w:r>
    </w:p>
    <w:p w:rsidR="00504A36" w:rsidRDefault="00205694">
      <w:pPr>
        <w:numPr>
          <w:ilvl w:val="0"/>
          <w:numId w:val="3"/>
        </w:numPr>
        <w:spacing w:before="100" w:beforeAutospacing="1" w:after="100" w:afterAutospacing="1"/>
      </w:pPr>
      <w:r>
        <w:t>Engage in critical law enforcement operations, which includes i</w:t>
      </w:r>
      <w:r w:rsidR="004F2DEE">
        <w:t>nvestigat</w:t>
      </w:r>
      <w:r>
        <w:t>ing</w:t>
      </w:r>
      <w:r w:rsidR="004F2DEE">
        <w:t xml:space="preserve"> and prevent</w:t>
      </w:r>
      <w:r>
        <w:t>ing</w:t>
      </w:r>
      <w:r w:rsidR="004F2DEE">
        <w:t xml:space="preserve"> violent crime </w:t>
      </w:r>
      <w:r w:rsidR="00172D74">
        <w:t xml:space="preserve">and ensuring the proper regulatory oversight of the firearms and explosive industries.  ATF’s </w:t>
      </w:r>
      <w:r w:rsidR="007E21BC">
        <w:t>law enforcement operations focus on:</w:t>
      </w:r>
    </w:p>
    <w:p w:rsidR="00504A36" w:rsidRDefault="004F2DEE">
      <w:pPr>
        <w:numPr>
          <w:ilvl w:val="1"/>
          <w:numId w:val="3"/>
        </w:numPr>
        <w:spacing w:before="100" w:beforeAutospacing="1" w:after="100" w:afterAutospacing="1"/>
      </w:pPr>
      <w:r>
        <w:t>Firearms trafficking</w:t>
      </w:r>
      <w:r w:rsidR="00205694">
        <w:t>;</w:t>
      </w:r>
    </w:p>
    <w:p w:rsidR="00504A36" w:rsidRDefault="004F2DEE">
      <w:pPr>
        <w:numPr>
          <w:ilvl w:val="1"/>
          <w:numId w:val="3"/>
        </w:numPr>
        <w:spacing w:before="100" w:beforeAutospacing="1" w:after="100" w:afterAutospacing="1"/>
      </w:pPr>
      <w:r>
        <w:t>Criminal possession and use of firearm</w:t>
      </w:r>
      <w:r w:rsidR="00E713FC">
        <w:t>s</w:t>
      </w:r>
      <w:r w:rsidR="00205694">
        <w:t>;</w:t>
      </w:r>
    </w:p>
    <w:p w:rsidR="00504A36" w:rsidRDefault="004F2DEE">
      <w:pPr>
        <w:numPr>
          <w:ilvl w:val="1"/>
          <w:numId w:val="3"/>
        </w:numPr>
        <w:spacing w:before="100" w:beforeAutospacing="1" w:after="100" w:afterAutospacing="1"/>
      </w:pPr>
      <w:r>
        <w:t>Diversion of firearms from legal commerce</w:t>
      </w:r>
      <w:r w:rsidR="00205694">
        <w:t>;</w:t>
      </w:r>
    </w:p>
    <w:p w:rsidR="00504A36" w:rsidRDefault="004F2DEE">
      <w:pPr>
        <w:numPr>
          <w:ilvl w:val="1"/>
          <w:numId w:val="3"/>
        </w:numPr>
        <w:spacing w:before="100" w:beforeAutospacing="1" w:after="100" w:afterAutospacing="1"/>
      </w:pPr>
      <w:r>
        <w:t>Criminal groups and gangs</w:t>
      </w:r>
      <w:r w:rsidR="00205694">
        <w:t>;</w:t>
      </w:r>
    </w:p>
    <w:p w:rsidR="00504A36" w:rsidRDefault="004F2DEE">
      <w:pPr>
        <w:numPr>
          <w:ilvl w:val="1"/>
          <w:numId w:val="3"/>
        </w:numPr>
        <w:spacing w:before="100" w:beforeAutospacing="1" w:after="100" w:afterAutospacing="1"/>
      </w:pPr>
      <w:r>
        <w:t>Explosives, bombs and bombing</w:t>
      </w:r>
      <w:r w:rsidR="00154341">
        <w:t>s</w:t>
      </w:r>
      <w:r w:rsidR="00205694">
        <w:t>;</w:t>
      </w:r>
    </w:p>
    <w:p w:rsidR="00504A36" w:rsidRDefault="004F2DEE">
      <w:pPr>
        <w:numPr>
          <w:ilvl w:val="1"/>
          <w:numId w:val="3"/>
        </w:numPr>
        <w:spacing w:before="100" w:beforeAutospacing="1" w:after="100" w:afterAutospacing="1"/>
      </w:pPr>
      <w:r>
        <w:t>Diversion of explosives from legal commerce</w:t>
      </w:r>
      <w:r w:rsidR="00205694">
        <w:t>;</w:t>
      </w:r>
    </w:p>
    <w:p w:rsidR="00504A36" w:rsidRDefault="004E2973">
      <w:pPr>
        <w:numPr>
          <w:ilvl w:val="1"/>
          <w:numId w:val="3"/>
        </w:numPr>
        <w:spacing w:before="100" w:beforeAutospacing="1" w:after="100" w:afterAutospacing="1"/>
      </w:pPr>
      <w:r>
        <w:t>Criminal use of fire</w:t>
      </w:r>
      <w:r w:rsidR="00205694">
        <w:t>; and</w:t>
      </w:r>
    </w:p>
    <w:p w:rsidR="00504A36" w:rsidRDefault="004E2973">
      <w:pPr>
        <w:numPr>
          <w:ilvl w:val="1"/>
          <w:numId w:val="3"/>
        </w:numPr>
        <w:spacing w:before="100" w:beforeAutospacing="1" w:after="100" w:afterAutospacing="1" w:line="480" w:lineRule="auto"/>
      </w:pPr>
      <w:r>
        <w:t>Criminal diversion of alcohol and tobacco from legal commerce</w:t>
      </w:r>
      <w:r w:rsidR="00205694">
        <w:t>.</w:t>
      </w:r>
    </w:p>
    <w:p w:rsidR="00504A36" w:rsidRDefault="00106D81">
      <w:pPr>
        <w:numPr>
          <w:ilvl w:val="0"/>
          <w:numId w:val="3"/>
        </w:numPr>
        <w:spacing w:before="100" w:beforeAutospacing="1" w:after="100" w:afterAutospacing="1"/>
      </w:pPr>
      <w:r>
        <w:t xml:space="preserve">Provide vital </w:t>
      </w:r>
      <w:r w:rsidR="0049570C">
        <w:t xml:space="preserve">investigative </w:t>
      </w:r>
      <w:r w:rsidR="00397503">
        <w:t xml:space="preserve">support </w:t>
      </w:r>
      <w:r w:rsidR="0049570C">
        <w:t>services</w:t>
      </w:r>
      <w:r w:rsidR="00205694">
        <w:t>, which include</w:t>
      </w:r>
      <w:r w:rsidR="003D7F00">
        <w:t xml:space="preserve">, but </w:t>
      </w:r>
      <w:r w:rsidR="0049570C">
        <w:t xml:space="preserve">are </w:t>
      </w:r>
      <w:r w:rsidR="003D7F00">
        <w:t>not limited to</w:t>
      </w:r>
      <w:r w:rsidR="00D007EE">
        <w:t>:</w:t>
      </w:r>
      <w:r w:rsidR="00B41DD2">
        <w:t xml:space="preserve"> </w:t>
      </w:r>
      <w:r w:rsidR="00752EAA">
        <w:t xml:space="preserve"> leveraging</w:t>
      </w:r>
      <w:r w:rsidR="00205694">
        <w:t xml:space="preserve"> ATF’s </w:t>
      </w:r>
      <w:r w:rsidR="00486241">
        <w:t xml:space="preserve">forensic </w:t>
      </w:r>
      <w:r w:rsidR="00205694">
        <w:t>expertise and network of assets</w:t>
      </w:r>
      <w:r w:rsidR="00D007EE">
        <w:t>,</w:t>
      </w:r>
      <w:r w:rsidR="003D7F00">
        <w:t xml:space="preserve"> which support all aspects of the law enforcement mission of ATF and the </w:t>
      </w:r>
      <w:r w:rsidR="002E3EAB">
        <w:t>Federal</w:t>
      </w:r>
      <w:r w:rsidR="003D7F00">
        <w:t xml:space="preserve"> </w:t>
      </w:r>
      <w:r w:rsidR="00752EAA">
        <w:t>Government</w:t>
      </w:r>
      <w:r w:rsidR="003D7F00">
        <w:t>,</w:t>
      </w:r>
      <w:r w:rsidR="00205694">
        <w:t xml:space="preserve"> </w:t>
      </w:r>
      <w:r w:rsidR="00D007EE">
        <w:t>addressing</w:t>
      </w:r>
      <w:r w:rsidR="00205694">
        <w:t xml:space="preserve"> public safety issues</w:t>
      </w:r>
      <w:r w:rsidR="00D007EE">
        <w:t>,</w:t>
      </w:r>
      <w:r w:rsidR="00205694">
        <w:t xml:space="preserve"> and m</w:t>
      </w:r>
      <w:r w:rsidR="009D7DE6">
        <w:t>anag</w:t>
      </w:r>
      <w:r w:rsidR="00205694">
        <w:t>ing</w:t>
      </w:r>
      <w:r w:rsidR="009D7DE6">
        <w:t xml:space="preserve"> Emergency Support Function (ESF) #13, Public Safety and Security, under the National Response Fram</w:t>
      </w:r>
      <w:r w:rsidR="00A24E11">
        <w:t>e</w:t>
      </w:r>
      <w:r w:rsidR="009D7DE6">
        <w:t>work (NRF)</w:t>
      </w:r>
      <w:r w:rsidR="00205694">
        <w:t>.</w:t>
      </w:r>
      <w:r w:rsidR="003129AA">
        <w:t xml:space="preserve">  </w:t>
      </w:r>
      <w:r w:rsidR="003129AA" w:rsidRPr="003129AA">
        <w:t>These critical support services contribute to meeting ATF’s mission of combating and reducing violent crime, as well as promoting public safety through the proper regulatory oversight of the firearms and explosives industries.</w:t>
      </w:r>
    </w:p>
    <w:p w:rsidR="00EE3CDA" w:rsidRDefault="00800506">
      <w:pPr>
        <w:pStyle w:val="ListParagraph"/>
        <w:ind w:left="0"/>
      </w:pPr>
      <w:r>
        <w:t>During FY</w:t>
      </w:r>
      <w:r w:rsidR="00DA347A">
        <w:t xml:space="preserve"> 20</w:t>
      </w:r>
      <w:r>
        <w:t xml:space="preserve">12, </w:t>
      </w:r>
      <w:r w:rsidR="00D007EE">
        <w:t xml:space="preserve">as part of a continuing effort to improve efficiency and respond to identified management and operational vulnerabilities, </w:t>
      </w:r>
      <w:r>
        <w:t xml:space="preserve">ATF developed a </w:t>
      </w:r>
      <w:r w:rsidR="003D7F00">
        <w:t xml:space="preserve">revised </w:t>
      </w:r>
      <w:r>
        <w:t xml:space="preserve">business model </w:t>
      </w:r>
      <w:r w:rsidRPr="001F3338">
        <w:t>entitled</w:t>
      </w:r>
      <w:r w:rsidR="00DC3EDF" w:rsidRPr="001F3338">
        <w:t xml:space="preserve"> </w:t>
      </w:r>
      <w:r w:rsidR="00AB3DE6" w:rsidRPr="001F3338">
        <w:lastRenderedPageBreak/>
        <w:t>Frontline</w:t>
      </w:r>
      <w:r w:rsidR="00AB3DE6">
        <w:t xml:space="preserve">.  </w:t>
      </w:r>
      <w:r>
        <w:t>Frontline is a comprehensive and sustainable busine</w:t>
      </w:r>
      <w:r w:rsidR="004B065C">
        <w:t xml:space="preserve">ss model that will be </w:t>
      </w:r>
      <w:r>
        <w:t xml:space="preserve">applied to </w:t>
      </w:r>
      <w:r w:rsidR="0005652D">
        <w:t>criminal</w:t>
      </w:r>
      <w:r>
        <w:t xml:space="preserve"> investigations and industry operations inspections </w:t>
      </w:r>
      <w:r w:rsidR="00D007EE">
        <w:t xml:space="preserve">providing a sustainable </w:t>
      </w:r>
      <w:r>
        <w:t>platform from which ATF</w:t>
      </w:r>
      <w:r w:rsidR="00B41DD2">
        <w:t xml:space="preserve"> will continue to</w:t>
      </w:r>
      <w:r>
        <w:t xml:space="preserve"> serve as </w:t>
      </w:r>
      <w:r w:rsidR="007D6E8E">
        <w:t xml:space="preserve">one of the </w:t>
      </w:r>
      <w:r>
        <w:t>Department of Justice’s leader</w:t>
      </w:r>
      <w:r w:rsidR="007D6E8E">
        <w:t>s</w:t>
      </w:r>
      <w:r>
        <w:t xml:space="preserve"> in investigating and preventing</w:t>
      </w:r>
      <w:r w:rsidR="003D7F00">
        <w:t xml:space="preserve"> </w:t>
      </w:r>
      <w:r>
        <w:t xml:space="preserve">violent crime.  </w:t>
      </w:r>
    </w:p>
    <w:p w:rsidR="00EE3CDA" w:rsidRDefault="00EE3CDA">
      <w:pPr>
        <w:pStyle w:val="ListParagraph"/>
        <w:ind w:left="360"/>
      </w:pPr>
    </w:p>
    <w:p w:rsidR="00757AF8" w:rsidRDefault="00800506">
      <w:pPr>
        <w:pStyle w:val="ListParagraph"/>
        <w:ind w:left="0"/>
      </w:pPr>
      <w:r>
        <w:t xml:space="preserve">Frontline </w:t>
      </w:r>
      <w:r w:rsidR="00C8720F">
        <w:t xml:space="preserve">represents </w:t>
      </w:r>
      <w:r>
        <w:t xml:space="preserve">standardization and accountability at every level of the ATF organization.  The </w:t>
      </w:r>
      <w:r w:rsidR="00486241">
        <w:t xml:space="preserve">strategy </w:t>
      </w:r>
      <w:r>
        <w:t xml:space="preserve">begins with comprehensive, intelligence-driven assessments in each of ATF’s field divisions.  </w:t>
      </w:r>
      <w:r w:rsidR="00E713FC">
        <w:t xml:space="preserve">These assessments define the significant violent crime problem(s) within each field division’s area of responsibility and propose a plan of action to mitigate or eliminate these threats.  </w:t>
      </w:r>
      <w:r>
        <w:t xml:space="preserve">Intelligence and operational experts at </w:t>
      </w:r>
      <w:r w:rsidR="003D7F00">
        <w:t>all</w:t>
      </w:r>
      <w:r>
        <w:t xml:space="preserve"> level</w:t>
      </w:r>
      <w:r w:rsidR="003D7F00">
        <w:t xml:space="preserve">s </w:t>
      </w:r>
      <w:r>
        <w:t xml:space="preserve">support the development of the assessments and evaluate them against ATF’s National Strategic Plan.  </w:t>
      </w:r>
      <w:r w:rsidRPr="00C8720F">
        <w:t xml:space="preserve">Once evaluated and approved for implementation, the assessments </w:t>
      </w:r>
      <w:r w:rsidR="00B3758C">
        <w:t>are consolidated to define National priorities and guide division-level and Bureau-wide decisions concerning the deployment of resources to achieve operational goals and objectives.  The Frontline Performance Review process is a structured system for use in every field division to continually measure results against objectives to ensure that strategies and tactics are sound and resources are being applied effectively.</w:t>
      </w:r>
      <w:r>
        <w:t xml:space="preserve"> </w:t>
      </w:r>
    </w:p>
    <w:p w:rsidR="006D7B2F" w:rsidRDefault="006D7B2F" w:rsidP="006D7B2F">
      <w:pPr>
        <w:spacing w:before="100" w:beforeAutospacing="1" w:after="100" w:afterAutospacing="1"/>
        <w:rPr>
          <w:b/>
          <w:bCs/>
        </w:rPr>
      </w:pPr>
      <w:r w:rsidRPr="00762F09">
        <w:rPr>
          <w:b/>
          <w:bCs/>
        </w:rPr>
        <w:t>B.  Mission and Strategic Goals</w:t>
      </w:r>
    </w:p>
    <w:p w:rsidR="001B185A" w:rsidRDefault="000462EB" w:rsidP="001B185A">
      <w:pPr>
        <w:autoSpaceDE w:val="0"/>
        <w:autoSpaceDN w:val="0"/>
        <w:adjustRightInd w:val="0"/>
      </w:pPr>
      <w:r>
        <w:t xml:space="preserve">ATF’s Strategic Plan for 2010 – 2016 identified six strategic goals – four of which are mission-related and two of which are management-related.  </w:t>
      </w:r>
      <w:r w:rsidR="00BD0CAE">
        <w:t xml:space="preserve">Mission-related strategic goals are further organized into </w:t>
      </w:r>
      <w:r w:rsidR="002526DF" w:rsidRPr="002E1130">
        <w:t>eight</w:t>
      </w:r>
      <w:r w:rsidR="00BD0CAE">
        <w:t xml:space="preserve"> core activities that directly align with ATF’s </w:t>
      </w:r>
      <w:r w:rsidR="00486241">
        <w:t>violent crime</w:t>
      </w:r>
      <w:r w:rsidR="00B221B4">
        <w:t>-related</w:t>
      </w:r>
      <w:r w:rsidR="00486241">
        <w:t xml:space="preserve"> </w:t>
      </w:r>
      <w:r w:rsidR="00BD0CAE">
        <w:t xml:space="preserve">law enforcement and regulatory jurisdiction and responsibilities.  </w:t>
      </w:r>
      <w:r w:rsidR="00BD0CAE" w:rsidRPr="002E15A3">
        <w:t xml:space="preserve">These </w:t>
      </w:r>
      <w:r w:rsidR="00F8131E">
        <w:t xml:space="preserve">eight core activities will be described later as elements of </w:t>
      </w:r>
      <w:r w:rsidR="00CF776D" w:rsidRPr="001C15DF">
        <w:t>ATF’s Law Enforcement Operations Decision Unit</w:t>
      </w:r>
      <w:r w:rsidR="00BD0CAE">
        <w:t>.</w:t>
      </w:r>
    </w:p>
    <w:p w:rsidR="00BD0CAE" w:rsidRDefault="00BD0CAE" w:rsidP="001B185A">
      <w:pPr>
        <w:autoSpaceDE w:val="0"/>
        <w:autoSpaceDN w:val="0"/>
        <w:adjustRightInd w:val="0"/>
        <w:rPr>
          <w:rFonts w:ascii="AGaramond-Regular" w:hAnsi="AGaramond-Regular" w:cs="AGaramond-Regular"/>
        </w:rPr>
      </w:pPr>
    </w:p>
    <w:p w:rsidR="00790C92" w:rsidRDefault="00790C92" w:rsidP="006A75E4">
      <w:pPr>
        <w:autoSpaceDE w:val="0"/>
        <w:autoSpaceDN w:val="0"/>
        <w:adjustRightInd w:val="0"/>
        <w:jc w:val="center"/>
        <w:rPr>
          <w:b/>
        </w:rPr>
      </w:pPr>
    </w:p>
    <w:p w:rsidR="00BD0CAE" w:rsidRPr="00DC03E4" w:rsidRDefault="006A75E4" w:rsidP="006A75E4">
      <w:pPr>
        <w:autoSpaceDE w:val="0"/>
        <w:autoSpaceDN w:val="0"/>
        <w:adjustRightInd w:val="0"/>
        <w:jc w:val="center"/>
        <w:rPr>
          <w:b/>
        </w:rPr>
      </w:pPr>
      <w:r>
        <w:rPr>
          <w:b/>
        </w:rPr>
        <w:t xml:space="preserve">ATF’s </w:t>
      </w:r>
      <w:r w:rsidR="00BD0CAE">
        <w:rPr>
          <w:b/>
        </w:rPr>
        <w:t>Strategic Goals</w:t>
      </w:r>
      <w:r w:rsidR="00BD0CAE" w:rsidRPr="00DC03E4">
        <w:rPr>
          <w:b/>
        </w:rPr>
        <w:t>:</w:t>
      </w:r>
    </w:p>
    <w:p w:rsidR="00BD0CAE" w:rsidRPr="008C209E" w:rsidRDefault="00BD0CAE" w:rsidP="00BD0CAE">
      <w:pPr>
        <w:autoSpaceDE w:val="0"/>
        <w:autoSpaceDN w:val="0"/>
        <w:adjustRightInd w:val="0"/>
        <w:rPr>
          <w:rFonts w:ascii="AGaramond-Regular" w:hAnsi="AGaramond-Regular" w:cs="AGaramond-Regular"/>
        </w:rPr>
      </w:pPr>
    </w:p>
    <w:p w:rsidR="006A75E4" w:rsidRDefault="00790C92" w:rsidP="000F7986">
      <w:pPr>
        <w:autoSpaceDE w:val="0"/>
        <w:autoSpaceDN w:val="0"/>
        <w:adjustRightInd w:val="0"/>
        <w:ind w:left="360"/>
        <w:rPr>
          <w:b/>
        </w:rPr>
      </w:pPr>
      <w:r>
        <w:rPr>
          <w:b/>
          <w:noProof/>
        </w:rPr>
        <w:drawing>
          <wp:anchor distT="0" distB="0" distL="114300" distR="114300" simplePos="0" relativeHeight="251672576" behindDoc="0" locked="0" layoutInCell="1" allowOverlap="1">
            <wp:simplePos x="0" y="0"/>
            <wp:positionH relativeFrom="column">
              <wp:posOffset>1433830</wp:posOffset>
            </wp:positionH>
            <wp:positionV relativeFrom="paragraph">
              <wp:posOffset>26035</wp:posOffset>
            </wp:positionV>
            <wp:extent cx="2916555" cy="2242185"/>
            <wp:effectExtent l="19050" t="0" r="0" b="0"/>
            <wp:wrapSquare wrapText="bothSides"/>
            <wp:docPr id="14" name="Picture 7" descr="The graphic on page 2 identifies ATF's 6 strategic goals in the form of a pyramid.  Mission activities include:  Illegal Firearms Trafficking; Criminal Groups and Gangs; Explosives, Bombs and Bombings; and Fire and Arson.  ATF's supporting management activities include:  Modernizaton an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916555" cy="2242185"/>
                    </a:xfrm>
                    <a:prstGeom prst="rect">
                      <a:avLst/>
                    </a:prstGeom>
                    <a:noFill/>
                    <a:ln w="9525">
                      <a:noFill/>
                      <a:miter lim="800000"/>
                      <a:headEnd/>
                      <a:tailEnd/>
                    </a:ln>
                  </pic:spPr>
                </pic:pic>
              </a:graphicData>
            </a:graphic>
          </wp:anchor>
        </w:drawing>
      </w: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6A75E4" w:rsidRDefault="006A75E4" w:rsidP="000F7986">
      <w:pPr>
        <w:autoSpaceDE w:val="0"/>
        <w:autoSpaceDN w:val="0"/>
        <w:adjustRightInd w:val="0"/>
        <w:ind w:left="360"/>
        <w:rPr>
          <w:b/>
        </w:rPr>
      </w:pPr>
    </w:p>
    <w:p w:rsidR="00B60D90" w:rsidRDefault="00BD0CAE">
      <w:pPr>
        <w:ind w:left="360"/>
      </w:pPr>
      <w:r w:rsidRPr="000F7986">
        <w:rPr>
          <w:b/>
        </w:rPr>
        <w:t>Strategic Goal - Illegal Firearms Trafficking:</w:t>
      </w:r>
      <w:r w:rsidRPr="000F7986">
        <w:rPr>
          <w:rFonts w:ascii="Univers-Condensed" w:hAnsi="Univers-Condensed" w:cs="Univers-Condensed"/>
          <w:sz w:val="20"/>
          <w:szCs w:val="20"/>
        </w:rPr>
        <w:t xml:space="preserve">  </w:t>
      </w:r>
      <w:r w:rsidRPr="00D10B2D">
        <w:t>Reduce violent firearms crimes by strengthening firearms trafficking intelligence gathering, analysis, inspection, and investigative activities.</w:t>
      </w:r>
    </w:p>
    <w:p w:rsidR="00BD0CAE" w:rsidRPr="00D10B2D" w:rsidRDefault="00BD0CAE" w:rsidP="000F7986">
      <w:pPr>
        <w:pStyle w:val="BodyText"/>
        <w:spacing w:before="100" w:beforeAutospacing="1" w:after="100" w:afterAutospacing="1"/>
        <w:ind w:left="360"/>
        <w:rPr>
          <w:szCs w:val="24"/>
        </w:rPr>
      </w:pPr>
      <w:r w:rsidRPr="00D10B2D">
        <w:rPr>
          <w:b/>
          <w:szCs w:val="24"/>
        </w:rPr>
        <w:lastRenderedPageBreak/>
        <w:t>Strategic Goal - Criminal Groups and Gangs:</w:t>
      </w:r>
      <w:r w:rsidRPr="00D10B2D">
        <w:rPr>
          <w:szCs w:val="24"/>
        </w:rPr>
        <w:t xml:space="preserve"> </w:t>
      </w:r>
      <w:r w:rsidR="000F7986">
        <w:rPr>
          <w:szCs w:val="24"/>
        </w:rPr>
        <w:t>M</w:t>
      </w:r>
      <w:r w:rsidRPr="00D10B2D">
        <w:rPr>
          <w:szCs w:val="24"/>
        </w:rPr>
        <w:t>ake our communities safer by expanding our efforts to identify, target, and dismantle those criminal gangs and organizations that utilize firearms, arson, explosives</w:t>
      </w:r>
      <w:r w:rsidR="00A95011">
        <w:rPr>
          <w:szCs w:val="24"/>
        </w:rPr>
        <w:t>,</w:t>
      </w:r>
      <w:r w:rsidRPr="00D10B2D">
        <w:rPr>
          <w:szCs w:val="24"/>
        </w:rPr>
        <w:t xml:space="preserve"> and alcohol and tobacco diversion in furtherance of violent criminal activity.</w:t>
      </w:r>
      <w:r w:rsidR="00486241">
        <w:rPr>
          <w:szCs w:val="24"/>
        </w:rPr>
        <w:t xml:space="preserve"> </w:t>
      </w:r>
    </w:p>
    <w:p w:rsidR="00BD0CAE" w:rsidRPr="000F7986" w:rsidRDefault="00BD0CAE" w:rsidP="000F7986">
      <w:pPr>
        <w:autoSpaceDE w:val="0"/>
        <w:autoSpaceDN w:val="0"/>
        <w:adjustRightInd w:val="0"/>
        <w:ind w:left="360"/>
        <w:rPr>
          <w:bCs/>
          <w:lang w:val="en-GB"/>
        </w:rPr>
      </w:pPr>
      <w:r w:rsidRPr="000F7986">
        <w:rPr>
          <w:b/>
        </w:rPr>
        <w:t>Strategic Goal - Explosives, Bombs</w:t>
      </w:r>
      <w:r w:rsidR="00A95011">
        <w:rPr>
          <w:b/>
        </w:rPr>
        <w:t>,</w:t>
      </w:r>
      <w:r w:rsidRPr="000F7986">
        <w:rPr>
          <w:b/>
        </w:rPr>
        <w:t xml:space="preserve"> and Bombings:</w:t>
      </w:r>
      <w:r w:rsidRPr="00D10B2D">
        <w:t xml:space="preserve"> </w:t>
      </w:r>
      <w:r w:rsidRPr="000F7986">
        <w:rPr>
          <w:bCs/>
          <w:lang w:val="en-GB"/>
        </w:rPr>
        <w:t xml:space="preserve"> </w:t>
      </w:r>
      <w:r w:rsidR="000F7986" w:rsidRPr="000F7986">
        <w:rPr>
          <w:bCs/>
          <w:lang w:val="en-GB"/>
        </w:rPr>
        <w:t>Advance domestic and international explosives expertise to prevent, detect, and investigate acts of violent crime and terrorism and to enhance public safety</w:t>
      </w:r>
      <w:r w:rsidRPr="000F7986">
        <w:rPr>
          <w:bCs/>
          <w:lang w:val="en-GB"/>
        </w:rPr>
        <w:t>.</w:t>
      </w:r>
    </w:p>
    <w:p w:rsidR="000F7986" w:rsidRPr="000F7986" w:rsidRDefault="00BD0CAE" w:rsidP="000F7986">
      <w:pPr>
        <w:pStyle w:val="BodyText"/>
        <w:spacing w:before="100" w:beforeAutospacing="1" w:after="100" w:afterAutospacing="1"/>
        <w:ind w:left="360"/>
        <w:rPr>
          <w:szCs w:val="24"/>
        </w:rPr>
      </w:pPr>
      <w:r w:rsidRPr="00DC03E4">
        <w:rPr>
          <w:b/>
          <w:szCs w:val="24"/>
        </w:rPr>
        <w:t>Strategic Goal</w:t>
      </w:r>
      <w:r>
        <w:rPr>
          <w:b/>
          <w:szCs w:val="24"/>
        </w:rPr>
        <w:t xml:space="preserve"> </w:t>
      </w:r>
      <w:r w:rsidRPr="00DC03E4">
        <w:rPr>
          <w:b/>
          <w:szCs w:val="24"/>
        </w:rPr>
        <w:t>- Fire and Arson:</w:t>
      </w:r>
      <w:r>
        <w:rPr>
          <w:szCs w:val="24"/>
        </w:rPr>
        <w:t xml:space="preserve">  </w:t>
      </w:r>
      <w:r w:rsidR="000F7986">
        <w:rPr>
          <w:szCs w:val="24"/>
        </w:rPr>
        <w:t>A</w:t>
      </w:r>
      <w:r>
        <w:rPr>
          <w:szCs w:val="24"/>
        </w:rPr>
        <w:t>dvanc</w:t>
      </w:r>
      <w:r w:rsidR="000F7986">
        <w:rPr>
          <w:szCs w:val="24"/>
        </w:rPr>
        <w:t>e</w:t>
      </w:r>
      <w:r>
        <w:rPr>
          <w:szCs w:val="24"/>
        </w:rPr>
        <w:t xml:space="preserve"> the science of fire investigation globally, b</w:t>
      </w:r>
      <w:r w:rsidRPr="007B4419">
        <w:rPr>
          <w:szCs w:val="24"/>
        </w:rPr>
        <w:t>y setting and</w:t>
      </w:r>
      <w:r>
        <w:rPr>
          <w:szCs w:val="24"/>
        </w:rPr>
        <w:t xml:space="preserve"> </w:t>
      </w:r>
      <w:r w:rsidRPr="007B4419">
        <w:rPr>
          <w:szCs w:val="24"/>
        </w:rPr>
        <w:t>delivering the highest standards in response, research, information sharing</w:t>
      </w:r>
      <w:r w:rsidR="00A95011">
        <w:rPr>
          <w:szCs w:val="24"/>
        </w:rPr>
        <w:t>,</w:t>
      </w:r>
      <w:r w:rsidRPr="007B4419">
        <w:rPr>
          <w:szCs w:val="24"/>
        </w:rPr>
        <w:t xml:space="preserve"> and training.</w:t>
      </w:r>
    </w:p>
    <w:p w:rsidR="00BD0CAE" w:rsidRDefault="00BD0CAE" w:rsidP="000F7986">
      <w:pPr>
        <w:pStyle w:val="BodyText"/>
        <w:spacing w:before="100" w:beforeAutospacing="1" w:after="100" w:afterAutospacing="1"/>
        <w:ind w:left="360"/>
        <w:rPr>
          <w:szCs w:val="24"/>
        </w:rPr>
      </w:pPr>
      <w:r w:rsidRPr="00DC03E4">
        <w:rPr>
          <w:b/>
          <w:szCs w:val="24"/>
        </w:rPr>
        <w:t>Strategic Goal</w:t>
      </w:r>
      <w:r>
        <w:rPr>
          <w:b/>
          <w:szCs w:val="24"/>
        </w:rPr>
        <w:t xml:space="preserve"> </w:t>
      </w:r>
      <w:r w:rsidRPr="00DC03E4">
        <w:rPr>
          <w:b/>
          <w:szCs w:val="24"/>
        </w:rPr>
        <w:t>- Modernization:</w:t>
      </w:r>
      <w:r>
        <w:rPr>
          <w:szCs w:val="24"/>
        </w:rPr>
        <w:t xml:space="preserve">  Modernize business processes and systems for improved information sharing, knowledge management, and use of innovative technologies to support ATF’s </w:t>
      </w:r>
      <w:r w:rsidR="0033648E">
        <w:rPr>
          <w:szCs w:val="24"/>
        </w:rPr>
        <w:t>critical mission.</w:t>
      </w:r>
    </w:p>
    <w:p w:rsidR="00BD0CAE" w:rsidRDefault="00BD0CAE" w:rsidP="00BD0CAE">
      <w:pPr>
        <w:pStyle w:val="BodyText"/>
        <w:tabs>
          <w:tab w:val="left" w:pos="0"/>
        </w:tabs>
        <w:spacing w:before="100" w:beforeAutospacing="1" w:after="100" w:afterAutospacing="1"/>
        <w:ind w:left="360"/>
        <w:rPr>
          <w:szCs w:val="24"/>
        </w:rPr>
      </w:pPr>
      <w:r w:rsidRPr="00DC03E4">
        <w:rPr>
          <w:b/>
          <w:szCs w:val="24"/>
        </w:rPr>
        <w:t>Strategic Goal</w:t>
      </w:r>
      <w:r>
        <w:rPr>
          <w:b/>
          <w:szCs w:val="24"/>
        </w:rPr>
        <w:t xml:space="preserve"> </w:t>
      </w:r>
      <w:r w:rsidRPr="00DC03E4">
        <w:rPr>
          <w:b/>
          <w:szCs w:val="24"/>
        </w:rPr>
        <w:t>- Workforce:</w:t>
      </w:r>
      <w:r>
        <w:rPr>
          <w:szCs w:val="24"/>
        </w:rPr>
        <w:t xml:space="preserve">  </w:t>
      </w:r>
      <w:r w:rsidR="000F7986">
        <w:rPr>
          <w:szCs w:val="24"/>
        </w:rPr>
        <w:t>A</w:t>
      </w:r>
      <w:r>
        <w:rPr>
          <w:szCs w:val="24"/>
        </w:rPr>
        <w:t>ttract, develop, and retain an expert workforce to execute the ATF mission in the emerging business environment.</w:t>
      </w:r>
    </w:p>
    <w:p w:rsidR="008A5A8A" w:rsidRDefault="00D27876" w:rsidP="006A75E4">
      <w:pPr>
        <w:pStyle w:val="BodyText"/>
        <w:tabs>
          <w:tab w:val="left" w:pos="0"/>
        </w:tabs>
        <w:spacing w:before="100" w:beforeAutospacing="1" w:after="100" w:afterAutospacing="1"/>
        <w:ind w:left="360"/>
        <w:rPr>
          <w:bCs/>
        </w:rPr>
      </w:pPr>
      <w:r>
        <w:t xml:space="preserve">ATF’s 2010-2016 Strategic Plan can be found at the following link: </w:t>
      </w:r>
      <w:hyperlink r:id="rId15" w:history="1">
        <w:r w:rsidRPr="00BE0B8F">
          <w:rPr>
            <w:rStyle w:val="Hyperlink"/>
          </w:rPr>
          <w:t>www.atf.gov/publications/general/strategic-plan</w:t>
        </w:r>
      </w:hyperlink>
      <w:r>
        <w:t>/.</w:t>
      </w:r>
    </w:p>
    <w:p w:rsidR="008A5A8A" w:rsidRDefault="002E1130">
      <w:pPr>
        <w:pStyle w:val="BodyText"/>
        <w:spacing w:before="100" w:beforeAutospacing="1" w:after="100" w:afterAutospacing="1"/>
        <w:jc w:val="center"/>
        <w:rPr>
          <w:bCs/>
        </w:rPr>
      </w:pPr>
      <w:r>
        <w:rPr>
          <w:b/>
          <w:bCs/>
        </w:rPr>
        <w:lastRenderedPageBreak/>
        <w:t>Po</w:t>
      </w:r>
      <w:r w:rsidR="002526DF" w:rsidRPr="00CA5E59">
        <w:rPr>
          <w:b/>
          <w:bCs/>
        </w:rPr>
        <w:t xml:space="preserve">licy </w:t>
      </w:r>
      <w:r w:rsidR="002526DF">
        <w:rPr>
          <w:b/>
          <w:bCs/>
        </w:rPr>
        <w:t xml:space="preserve">and Statutory </w:t>
      </w:r>
      <w:r w:rsidR="002526DF" w:rsidRPr="00CA5E59">
        <w:rPr>
          <w:b/>
          <w:bCs/>
        </w:rPr>
        <w:t xml:space="preserve">Environment for </w:t>
      </w:r>
      <w:r w:rsidR="002526DF">
        <w:rPr>
          <w:b/>
          <w:bCs/>
        </w:rPr>
        <w:t xml:space="preserve">the </w:t>
      </w:r>
      <w:r w:rsidR="002526DF" w:rsidRPr="00CA5E59">
        <w:rPr>
          <w:b/>
          <w:bCs/>
        </w:rPr>
        <w:t>ATF Strategy</w:t>
      </w:r>
      <w:r w:rsidR="0032687B">
        <w:rPr>
          <w:bCs/>
        </w:rPr>
      </w:r>
      <w:r w:rsidR="0032687B" w:rsidRPr="0032687B">
        <w:rPr>
          <w:bCs/>
        </w:rPr>
        <w:pict>
          <v:group id="_x0000_s3767" editas="canvas" alt="The graphic on page 3 displays ATF's policy environment which includes the legal statutes, the code of Federal Regulations, and memorandums of understanding with State and local law enforcement.  Additionally, the policy environment graphic highlights ATF's international cooperation with such partners as the UN, INTERPOL, EUROPOL and others. The environment includes policy guidance from Presidential directives, the Department's Strategic Plan, the National Response Plan and the National Response Framework." style="width:467.45pt;height:348pt;mso-position-horizontal-relative:char;mso-position-vertical-relative:line" coordsize="9349,69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768" type="#_x0000_t75" style="position:absolute;width:9349;height:6960" o:preferrelative="f">
              <v:fill o:detectmouseclick="t"/>
              <v:path o:extrusionok="t" o:connecttype="none"/>
              <o:lock v:ext="edit" text="t"/>
            </v:shape>
            <v:shape id="_x0000_s3769" style="position:absolute;left:5763;top:3629;width:320;height:867" coordsize="320,867" path="m,730r80,l80,,240,r,730l320,730,160,867,,730xe" fillcolor="black" stroked="f">
              <v:path arrowok="t"/>
            </v:shape>
            <v:shape id="_x0000_s3770" style="position:absolute;left:2296;top:3629;width:307;height:867" coordsize="307,867" path="m,735r77,l77,,231,r,735l307,735,154,867,,735xe" fillcolor="black" stroked="f">
              <v:path arrowok="t"/>
            </v:shape>
            <v:shape id="_x0000_s3771" style="position:absolute;left:4445;top:4353;width:3953;height:2270" coordsize="4944,2992" path="m,510l11,409hdc11,408,11,407,11,406hal40,314hdc41,313,41,312,41,311hal86,227hdc87,226,87,225,88,224hal149,151hdc150,150,150,150,151,149hal224,88hdc225,87,226,87,227,86hal311,41hdc312,41,313,41,314,40hal406,11hdc407,11,408,11,409,11hal509,1,4435,r102,11hdc4538,11,4539,11,4540,11hal4632,40hdc4633,41,4634,41,4635,41hal4719,86hdc4720,87,4721,87,4722,88hal4795,149hdc4795,150,4796,151,4797,151hal4857,224hdc4857,225,4858,226,4859,227hal4904,311hdc4904,312,4904,313,4905,314hal4934,406hdc4934,407,4934,408,4934,409hal4944,509r,1974l4934,2585hdc4934,2586,4934,2587,4934,2588hal4905,2680hdc4904,2681,4904,2682,4904,2683hal4859,2767hdc4858,2768,4857,2769,4857,2770hal4797,2843hdc4796,2843,4795,2844,4795,2845hal4722,2905hdc4721,2905,4720,2906,4719,2907hal4635,2952hdc4634,2952,4633,2952,4632,2953hal4540,2982hdc4539,2982,4538,2982,4537,2982hal4437,2992r-3927,l409,2982hdc408,2982,407,2982,406,2982hal314,2953hdc313,2952,312,2952,311,2952hal227,2907hdc226,2906,225,2905,224,2905hal151,2845hdc151,2844,150,2843,149,2843hal88,2770hdc87,2769,87,2768,86,2767hal41,2683hdc41,2682,41,2681,40,2680hal11,2588hdc11,2587,11,2586,11,2585hal1,2485,,510xm32,2482r10,100l42,2579r29,92l70,2668r45,84l113,2749r61,73l172,2820r73,60l242,2878r84,45l323,2922r92,29l412,2951r98,9l4434,2961r100,-10l4531,2951r92,-29l4620,2923r84,-45l4701,2880r73,-60l4772,2822r60,-73l4830,2752r45,-84l4874,2671r29,-92l4903,2582r9,-99l4913,512,4903,412r,3l4874,323r1,3l4830,242r2,3l4772,172r2,2l4701,113r3,2l4620,70r3,1l4531,42r3,l4435,32,512,32,412,42r3,l323,71r3,-1l242,115r3,-2l172,174r2,-2l113,245r2,-3l70,326r1,-3l42,415r,-3l32,510r,1972xe" fillcolor="black" strokeweight=".05pt">
              <v:path arrowok="t"/>
              <o:lock v:ext="edit" verticies="t"/>
            </v:shape>
            <v:rect id="_x0000_s3772" style="position:absolute;left:4641;top:4884;width:90;height:133;mso-wrap-style:none" filled="f" stroked="f">
              <v:textbox style="mso-next-textbox:#_x0000_s3772;mso-fit-shape-to-text:t" inset="0,0,0,0">
                <w:txbxContent>
                  <w:p w:rsidR="00E01243" w:rsidRDefault="00E01243" w:rsidP="00AB2B69">
                    <w:r>
                      <w:rPr>
                        <w:rFonts w:ascii="Wingdings" w:hAnsi="Wingdings" w:cs="Wingdings"/>
                        <w:color w:val="000000"/>
                        <w:sz w:val="12"/>
                        <w:szCs w:val="12"/>
                      </w:rPr>
                      <w:t></w:t>
                    </w:r>
                  </w:p>
                </w:txbxContent>
              </v:textbox>
            </v:rect>
            <v:rect id="_x0000_s3773" style="position:absolute;left:4743;top:4862;width:3172;height:197" filled="f" stroked="f">
              <v:textbox style="mso-next-textbox:#_x0000_s3773" inset="0,0,0,0">
                <w:txbxContent>
                  <w:p w:rsidR="00E01243" w:rsidRDefault="00E01243" w:rsidP="00AB2B69">
                    <w:r>
                      <w:rPr>
                        <w:rFonts w:ascii="Calibri" w:hAnsi="Calibri" w:cs="Calibri"/>
                        <w:color w:val="000000"/>
                        <w:sz w:val="14"/>
                        <w:szCs w:val="14"/>
                      </w:rPr>
                      <w:t>National Implementation Plan for War on Terror</w:t>
                    </w:r>
                  </w:p>
                </w:txbxContent>
              </v:textbox>
            </v:rect>
            <v:rect id="_x0000_s3774" style="position:absolute;left:4641;top:5059;width:90;height:133;mso-wrap-style:none" filled="f" stroked="f">
              <v:textbox style="mso-next-textbox:#_x0000_s3774;mso-fit-shape-to-text:t" inset="0,0,0,0">
                <w:txbxContent>
                  <w:p w:rsidR="00E01243" w:rsidRDefault="00E01243" w:rsidP="00AB2B69">
                    <w:r>
                      <w:rPr>
                        <w:rFonts w:ascii="Wingdings" w:hAnsi="Wingdings" w:cs="Wingdings"/>
                        <w:color w:val="000000"/>
                        <w:sz w:val="12"/>
                        <w:szCs w:val="12"/>
                      </w:rPr>
                      <w:t></w:t>
                    </w:r>
                  </w:p>
                </w:txbxContent>
              </v:textbox>
            </v:rect>
            <v:rect id="_x0000_s3775" style="position:absolute;left:4743;top:5037;width:1417;height:199" filled="f" stroked="f">
              <v:textbox style="mso-next-textbox:#_x0000_s3775" inset="0,0,0,0">
                <w:txbxContent>
                  <w:p w:rsidR="00E01243" w:rsidRDefault="00E01243" w:rsidP="00AB2B69">
                    <w:r>
                      <w:rPr>
                        <w:rFonts w:ascii="Calibri" w:hAnsi="Calibri" w:cs="Calibri"/>
                        <w:color w:val="000000"/>
                        <w:sz w:val="14"/>
                        <w:szCs w:val="14"/>
                      </w:rPr>
                      <w:t>Presidential Directives</w:t>
                    </w:r>
                  </w:p>
                </w:txbxContent>
              </v:textbox>
            </v:rect>
            <v:rect id="_x0000_s3776" style="position:absolute;left:4846;top:5197;width:43;height:171;mso-wrap-style:none" filled="f" stroked="f">
              <v:textbox style="mso-next-textbox:#_x0000_s3776;mso-fit-shape-to-text:t" inset="0,0,0,0">
                <w:txbxContent>
                  <w:p w:rsidR="00E01243" w:rsidRDefault="00E01243" w:rsidP="00AB2B69">
                    <w:r>
                      <w:rPr>
                        <w:rFonts w:ascii="Calibri" w:hAnsi="Calibri" w:cs="Calibri"/>
                        <w:color w:val="000000"/>
                        <w:sz w:val="14"/>
                        <w:szCs w:val="14"/>
                      </w:rPr>
                      <w:t>-</w:t>
                    </w:r>
                  </w:p>
                </w:txbxContent>
              </v:textbox>
            </v:rect>
            <v:rect id="_x0000_s3777" style="position:absolute;left:4922;top:5197;width:311;height:171;mso-wrap-style:none" filled="f" stroked="f">
              <v:textbox style="mso-next-textbox:#_x0000_s3777;mso-fit-shape-to-text:t" inset="0,0,0,0">
                <w:txbxContent>
                  <w:p w:rsidR="00E01243" w:rsidRDefault="00E01243" w:rsidP="00AB2B69">
                    <w:r>
                      <w:rPr>
                        <w:rFonts w:ascii="Calibri" w:hAnsi="Calibri" w:cs="Calibri"/>
                        <w:color w:val="000000"/>
                        <w:sz w:val="14"/>
                        <w:szCs w:val="14"/>
                      </w:rPr>
                      <w:t>HSPD</w:t>
                    </w:r>
                  </w:p>
                </w:txbxContent>
              </v:textbox>
            </v:rect>
            <v:rect id="_x0000_s3778" style="position:absolute;left:5293;top:5197;width:43;height:171;mso-wrap-style:none" filled="f" stroked="f">
              <v:textbox style="mso-next-textbox:#_x0000_s3778;mso-fit-shape-to-text:t" inset="0,0,0,0">
                <w:txbxContent>
                  <w:p w:rsidR="00E01243" w:rsidRDefault="00E01243" w:rsidP="00AB2B69">
                    <w:r>
                      <w:rPr>
                        <w:rFonts w:ascii="Calibri" w:hAnsi="Calibri" w:cs="Calibri"/>
                        <w:color w:val="000000"/>
                        <w:sz w:val="14"/>
                        <w:szCs w:val="14"/>
                      </w:rPr>
                      <w:t>-</w:t>
                    </w:r>
                  </w:p>
                </w:txbxContent>
              </v:textbox>
            </v:rect>
            <v:rect id="_x0000_s3779" style="position:absolute;left:5345;top:5197;width:2381;height:186" filled="f" stroked="f">
              <v:textbox style="mso-next-textbox:#_x0000_s3779" inset="0,0,0,0">
                <w:txbxContent>
                  <w:p w:rsidR="00E01243" w:rsidRDefault="00E01243" w:rsidP="00AB2B69">
                    <w:r>
                      <w:rPr>
                        <w:rFonts w:ascii="Calibri" w:hAnsi="Calibri" w:cs="Calibri"/>
                        <w:color w:val="000000"/>
                        <w:sz w:val="14"/>
                        <w:szCs w:val="14"/>
                      </w:rPr>
                      <w:t>5 Management of Domestic Incidents</w:t>
                    </w:r>
                  </w:p>
                </w:txbxContent>
              </v:textbox>
            </v:rect>
            <v:rect id="_x0000_s3780" style="position:absolute;left:4846;top:5373;width:43;height:171;mso-wrap-style:none" filled="f" stroked="f">
              <v:textbox style="mso-next-textbox:#_x0000_s3780;mso-fit-shape-to-text:t" inset="0,0,0,0">
                <w:txbxContent>
                  <w:p w:rsidR="00E01243" w:rsidRDefault="00E01243" w:rsidP="00AB2B69">
                    <w:r>
                      <w:rPr>
                        <w:rFonts w:ascii="Calibri" w:hAnsi="Calibri" w:cs="Calibri"/>
                        <w:color w:val="000000"/>
                        <w:sz w:val="14"/>
                        <w:szCs w:val="14"/>
                      </w:rPr>
                      <w:t>-</w:t>
                    </w:r>
                  </w:p>
                </w:txbxContent>
              </v:textbox>
            </v:rect>
            <v:rect id="_x0000_s3781" style="position:absolute;left:4922;top:5373;width:311;height:171;mso-wrap-style:none" filled="f" stroked="f">
              <v:textbox style="mso-next-textbox:#_x0000_s3781;mso-fit-shape-to-text:t" inset="0,0,0,0">
                <w:txbxContent>
                  <w:p w:rsidR="00E01243" w:rsidRDefault="00E01243" w:rsidP="00AB2B69">
                    <w:r>
                      <w:rPr>
                        <w:rFonts w:ascii="Calibri" w:hAnsi="Calibri" w:cs="Calibri"/>
                        <w:color w:val="000000"/>
                        <w:sz w:val="14"/>
                        <w:szCs w:val="14"/>
                      </w:rPr>
                      <w:t>HSPD</w:t>
                    </w:r>
                  </w:p>
                </w:txbxContent>
              </v:textbox>
            </v:rect>
            <v:rect id="_x0000_s3782" style="position:absolute;left:5293;top:5373;width:43;height:171;mso-wrap-style:none" filled="f" stroked="f">
              <v:textbox style="mso-next-textbox:#_x0000_s3782;mso-fit-shape-to-text:t" inset="0,0,0,0">
                <w:txbxContent>
                  <w:p w:rsidR="00E01243" w:rsidRDefault="00E01243" w:rsidP="00AB2B69">
                    <w:r>
                      <w:rPr>
                        <w:rFonts w:ascii="Calibri" w:hAnsi="Calibri" w:cs="Calibri"/>
                        <w:color w:val="000000"/>
                        <w:sz w:val="14"/>
                        <w:szCs w:val="14"/>
                      </w:rPr>
                      <w:t>-</w:t>
                    </w:r>
                  </w:p>
                </w:txbxContent>
              </v:textbox>
            </v:rect>
            <v:rect id="_x0000_s3783" style="position:absolute;left:5345;top:5373;width:2502;height:171" filled="f" stroked="f">
              <v:textbox style="mso-next-textbox:#_x0000_s3783;mso-fit-shape-to-text:t" inset="0,0,0,0">
                <w:txbxContent>
                  <w:p w:rsidR="00E01243" w:rsidRDefault="00E01243" w:rsidP="00AB2B69">
                    <w:r>
                      <w:rPr>
                        <w:rFonts w:ascii="Calibri" w:hAnsi="Calibri" w:cs="Calibri"/>
                        <w:color w:val="000000"/>
                        <w:sz w:val="14"/>
                        <w:szCs w:val="14"/>
                      </w:rPr>
                      <w:t>19 Combating Terrorists Use of Explosives</w:t>
                    </w:r>
                  </w:p>
                </w:txbxContent>
              </v:textbox>
            </v:rect>
            <v:rect id="_x0000_s3784" style="position:absolute;left:4846;top:5549;width:43;height:171;mso-wrap-style:none" filled="f" stroked="f">
              <v:textbox style="mso-next-textbox:#_x0000_s3784;mso-fit-shape-to-text:t" inset="0,0,0,0">
                <w:txbxContent>
                  <w:p w:rsidR="00E01243" w:rsidRDefault="00E01243" w:rsidP="00AB2B69">
                    <w:r>
                      <w:rPr>
                        <w:rFonts w:ascii="Calibri" w:hAnsi="Calibri" w:cs="Calibri"/>
                        <w:color w:val="000000"/>
                        <w:sz w:val="14"/>
                        <w:szCs w:val="14"/>
                      </w:rPr>
                      <w:t>-</w:t>
                    </w:r>
                  </w:p>
                </w:txbxContent>
              </v:textbox>
            </v:rect>
            <v:rect id="_x0000_s3785" style="position:absolute;left:4922;top:5549;width:231;height:171;mso-wrap-style:none" filled="f" stroked="f">
              <v:textbox style="mso-next-textbox:#_x0000_s3785;mso-fit-shape-to-text:t" inset="0,0,0,0">
                <w:txbxContent>
                  <w:p w:rsidR="00E01243" w:rsidRDefault="00E01243" w:rsidP="00AB2B69">
                    <w:r>
                      <w:rPr>
                        <w:rFonts w:ascii="Calibri" w:hAnsi="Calibri" w:cs="Calibri"/>
                        <w:color w:val="000000"/>
                        <w:sz w:val="14"/>
                        <w:szCs w:val="14"/>
                      </w:rPr>
                      <w:t>PPD</w:t>
                    </w:r>
                  </w:p>
                </w:txbxContent>
              </v:textbox>
            </v:rect>
            <v:rect id="_x0000_s3786" style="position:absolute;left:5204;top:5549;width:43;height:171;mso-wrap-style:none" filled="f" stroked="f">
              <v:textbox style="mso-next-textbox:#_x0000_s3786;mso-fit-shape-to-text:t" inset="0,0,0,0">
                <w:txbxContent>
                  <w:p w:rsidR="00E01243" w:rsidRDefault="00E01243" w:rsidP="00AB2B69">
                    <w:r>
                      <w:rPr>
                        <w:rFonts w:ascii="Calibri" w:hAnsi="Calibri" w:cs="Calibri"/>
                        <w:color w:val="000000"/>
                        <w:sz w:val="14"/>
                        <w:szCs w:val="14"/>
                      </w:rPr>
                      <w:t>-</w:t>
                    </w:r>
                  </w:p>
                </w:txbxContent>
              </v:textbox>
            </v:rect>
            <v:rect id="_x0000_s3787" style="position:absolute;left:5255;top:5549;width:1746;height:171;mso-wrap-style:none" filled="f" stroked="f">
              <v:textbox style="mso-next-textbox:#_x0000_s3787;mso-fit-shape-to-text:t" inset="0,0,0,0">
                <w:txbxContent>
                  <w:p w:rsidR="00E01243" w:rsidRDefault="00E01243" w:rsidP="00AB2B69">
                    <w:r>
                      <w:rPr>
                        <w:rFonts w:ascii="Calibri" w:hAnsi="Calibri" w:cs="Calibri"/>
                        <w:color w:val="000000"/>
                        <w:sz w:val="14"/>
                        <w:szCs w:val="14"/>
                      </w:rPr>
                      <w:t xml:space="preserve"> 39 Policy on Counterterrorism</w:t>
                    </w:r>
                  </w:p>
                </w:txbxContent>
              </v:textbox>
            </v:rect>
            <v:rect id="_x0000_s3788" style="position:absolute;left:4641;top:5795;width:90;height:133;mso-wrap-style:none" filled="f" stroked="f">
              <v:textbox style="mso-next-textbox:#_x0000_s3788;mso-fit-shape-to-text:t" inset="0,0,0,0">
                <w:txbxContent>
                  <w:p w:rsidR="00E01243" w:rsidRDefault="00E01243" w:rsidP="00AB2B69">
                    <w:r>
                      <w:rPr>
                        <w:rFonts w:ascii="Wingdings" w:hAnsi="Wingdings" w:cs="Wingdings"/>
                        <w:color w:val="000000"/>
                        <w:sz w:val="12"/>
                        <w:szCs w:val="12"/>
                      </w:rPr>
                      <w:t></w:t>
                    </w:r>
                  </w:p>
                </w:txbxContent>
              </v:textbox>
            </v:rect>
            <v:rect id="_x0000_s3789" style="position:absolute;left:4743;top:5773;width:1033;height:171;mso-wrap-style:none" filled="f" stroked="f">
              <v:textbox style="mso-next-textbox:#_x0000_s3789;mso-fit-shape-to-text:t" inset="0,0,0,0">
                <w:txbxContent>
                  <w:p w:rsidR="00E01243" w:rsidRDefault="00E01243" w:rsidP="00AB2B69">
                    <w:r>
                      <w:rPr>
                        <w:rFonts w:ascii="Calibri" w:hAnsi="Calibri" w:cs="Calibri"/>
                        <w:color w:val="000000"/>
                        <w:sz w:val="14"/>
                        <w:szCs w:val="14"/>
                      </w:rPr>
                      <w:t>DOJ Strategic Plan</w:t>
                    </w:r>
                  </w:p>
                </w:txbxContent>
              </v:textbox>
            </v:rect>
            <v:rect id="_x0000_s3790" style="position:absolute;left:4641;top:5970;width:90;height:133;mso-wrap-style:none" filled="f" stroked="f">
              <v:textbox style="mso-next-textbox:#_x0000_s3790;mso-fit-shape-to-text:t" inset="0,0,0,0">
                <w:txbxContent>
                  <w:p w:rsidR="00E01243" w:rsidRDefault="00E01243" w:rsidP="00AB2B69">
                    <w:r>
                      <w:rPr>
                        <w:rFonts w:ascii="Wingdings" w:hAnsi="Wingdings" w:cs="Wingdings"/>
                        <w:color w:val="000000"/>
                        <w:sz w:val="12"/>
                        <w:szCs w:val="12"/>
                      </w:rPr>
                      <w:t></w:t>
                    </w:r>
                  </w:p>
                </w:txbxContent>
              </v:textbox>
            </v:rect>
            <v:rect id="_x0000_s3791" style="position:absolute;left:4743;top:5948;width:3389;height:198" filled="f" stroked="f">
              <v:textbox style="mso-next-textbox:#_x0000_s3791" inset="0,0,0,0">
                <w:txbxContent>
                  <w:p w:rsidR="00E01243" w:rsidRDefault="00E01243" w:rsidP="00AB2B69">
                    <w:r>
                      <w:rPr>
                        <w:rFonts w:ascii="Calibri" w:hAnsi="Calibri" w:cs="Calibri"/>
                        <w:color w:val="000000"/>
                        <w:sz w:val="14"/>
                        <w:szCs w:val="14"/>
                      </w:rPr>
                      <w:t>Presidential Policy Directive 8 – National Preparedness</w:t>
                    </w:r>
                  </w:p>
                </w:txbxContent>
              </v:textbox>
            </v:rect>
            <v:rect id="_x0000_s3792" style="position:absolute;left:4641;top:6146;width:90;height:133;mso-wrap-style:none" filled="f" stroked="f">
              <v:textbox style="mso-next-textbox:#_x0000_s3792;mso-fit-shape-to-text:t" inset="0,0,0,0">
                <w:txbxContent>
                  <w:p w:rsidR="00E01243" w:rsidRDefault="00E01243" w:rsidP="00AB2B69">
                    <w:r>
                      <w:rPr>
                        <w:rFonts w:ascii="Wingdings" w:hAnsi="Wingdings" w:cs="Wingdings"/>
                        <w:color w:val="000000"/>
                        <w:sz w:val="12"/>
                        <w:szCs w:val="12"/>
                      </w:rPr>
                      <w:t></w:t>
                    </w:r>
                  </w:p>
                </w:txbxContent>
              </v:textbox>
            </v:rect>
            <v:rect id="_x0000_s3793" style="position:absolute;left:4641;top:6124;width:3015;height:374" filled="f" stroked="f">
              <v:textbox style="mso-next-textbox:#_x0000_s3793" inset="0,0,0,0">
                <w:txbxContent>
                  <w:p w:rsidR="00E01243" w:rsidRDefault="00E01243" w:rsidP="00AB2B69">
                    <w:pPr>
                      <w:rPr>
                        <w:rFonts w:ascii="Calibri" w:hAnsi="Calibri" w:cs="Calibri"/>
                        <w:color w:val="000000"/>
                        <w:sz w:val="14"/>
                        <w:szCs w:val="14"/>
                      </w:rPr>
                    </w:pPr>
                    <w:r>
                      <w:rPr>
                        <w:rFonts w:ascii="Calibri" w:hAnsi="Calibri" w:cs="Calibri"/>
                        <w:color w:val="000000"/>
                        <w:sz w:val="14"/>
                        <w:szCs w:val="14"/>
                      </w:rPr>
                      <w:t xml:space="preserve">   National Response Framework – ESF #13</w:t>
                    </w:r>
                  </w:p>
                  <w:p w:rsidR="00E01243" w:rsidRPr="00D45E4C" w:rsidRDefault="00E01243" w:rsidP="00AB2B69">
                    <w:pPr>
                      <w:rPr>
                        <w:rFonts w:ascii="Wingdings" w:hAnsi="Wingdings" w:cs="Wingdings"/>
                        <w:color w:val="000000"/>
                        <w:sz w:val="12"/>
                        <w:szCs w:val="12"/>
                      </w:rPr>
                    </w:pPr>
                    <w:r>
                      <w:rPr>
                        <w:rFonts w:ascii="Wingdings" w:hAnsi="Wingdings" w:cs="Wingdings"/>
                        <w:color w:val="000000"/>
                        <w:sz w:val="12"/>
                        <w:szCs w:val="12"/>
                      </w:rPr>
                      <w:t></w:t>
                    </w:r>
                    <w:r w:rsidRPr="00D45E4C">
                      <w:rPr>
                        <w:rFonts w:ascii="Calibri" w:hAnsi="Calibri" w:cs="Calibri"/>
                        <w:color w:val="000000"/>
                        <w:sz w:val="14"/>
                        <w:szCs w:val="14"/>
                      </w:rPr>
                      <w:t>Strategy to combat transnational organize</w:t>
                    </w:r>
                    <w:r>
                      <w:rPr>
                        <w:rFonts w:ascii="Calibri" w:hAnsi="Calibri" w:cs="Calibri"/>
                        <w:color w:val="000000"/>
                        <w:sz w:val="14"/>
                        <w:szCs w:val="14"/>
                      </w:rPr>
                      <w:t>d</w:t>
                    </w:r>
                    <w:r w:rsidRPr="00D45E4C">
                      <w:rPr>
                        <w:rFonts w:ascii="Calibri" w:hAnsi="Calibri" w:cs="Calibri"/>
                        <w:color w:val="000000"/>
                        <w:sz w:val="14"/>
                        <w:szCs w:val="14"/>
                      </w:rPr>
                      <w:t xml:space="preserve"> crime</w:t>
                    </w:r>
                  </w:p>
                  <w:p w:rsidR="00E01243" w:rsidRDefault="00E01243" w:rsidP="00AB2B69"/>
                </w:txbxContent>
              </v:textbox>
            </v:rect>
            <v:shape id="_x0000_s3794" style="position:absolute;left:4458;top:4364;width:3927;height:396" coordsize="4912,576" path="m,96hdc,43,43,,96,v,,,,,hal96,,4816,r,hdc4869,,4912,43,4912,96v,,,,,hal4912,96r,384l4912,480hdc4912,533,4869,576,4816,576v,,,,,hal4816,576,96,576r,hdc43,576,,533,,480v,,,,,hal,96hdxe" fillcolor="black" strokeweight="0">
              <v:path arrowok="t"/>
            </v:shape>
            <v:shape id="_x0000_s3795" style="position:absolute;left:4445;top:4353;width:3953;height:418" coordsize="4944,608" path="m,112hdc,111,1,110,1,109hal9,72hdc9,70,10,68,11,67hal31,36hdc32,34,34,32,36,31hal67,11hdc68,10,70,9,72,9hal109,1hdc110,1,111,,112,hal4832,hdc4834,,4835,1,4836,1hal4873,9hdc4875,9,4877,10,4878,11hal4909,31hdc4911,32,4913,34,4914,36hal4934,67hdc4935,68,4936,70,4936,72hal4944,109hdc4944,110,4944,111,4944,112hal4944,496hdc4944,498,4944,499,4944,500hal4936,537hdc4936,539,4935,541,4934,542hal4914,573hdc4913,575,4911,577,4909,578hal4878,598hdc4877,599,4875,600,4873,600hal4836,608hdc4835,608,4834,608,4832,608hal112,608hdc111,608,110,608,109,608hal72,600hdc70,600,68,599,67,598hal36,578hdc34,577,32,575,31,573hal11,542hdc10,541,9,539,9,537hal1,500hdc1,499,,498,,496hal,112hdxm32,496hal32,493r8,37l38,525r20,31l53,551r31,20l79,569r37,8l112,576r4720,l4829,577r37,-8l4861,571r31,-20l4887,556r20,-31l4905,530r8,-37l4912,496r,-384l4913,116r-8,-37l4907,84,4887,53r5,5l4861,38r5,2l4829,32r3,l112,32r4,l79,40r5,-2l53,58r5,-5l38,84r2,-5l32,116r,-4l32,496hdxe" fillcolor="black" strokeweight=".05pt">
              <v:path arrowok="t"/>
              <o:lock v:ext="edit" verticies="t"/>
            </v:shape>
            <v:rect id="_x0000_s3796" style="position:absolute;left:5500;top:4408;width:1529;height:244;mso-wrap-style:none" filled="f" stroked="f">
              <v:textbox style="mso-next-textbox:#_x0000_s3796;mso-fit-shape-to-text:t" inset="0,0,0,0">
                <w:txbxContent>
                  <w:p w:rsidR="00E01243" w:rsidRDefault="00E01243" w:rsidP="00AB2B69">
                    <w:r>
                      <w:rPr>
                        <w:rFonts w:ascii="Calibri" w:hAnsi="Calibri" w:cs="Calibri"/>
                        <w:b/>
                        <w:bCs/>
                        <w:color w:val="FFFFFF"/>
                        <w:sz w:val="20"/>
                        <w:szCs w:val="20"/>
                      </w:rPr>
                      <w:t>POLICY GUIDANCE</w:t>
                    </w:r>
                  </w:p>
                </w:txbxContent>
              </v:textbox>
            </v:rect>
            <v:shape id="_x0000_s3797" style="position:absolute;left:2232;top:16;width:3940;height:2185" coordsize="4928,3184" path="m,542l12,435hdc12,434,12,433,12,432hal42,333hdc42,332,43,331,43,330hal92,241hdc93,240,93,239,94,238hal158,160hdc159,160,160,159,160,158hal238,94hdc239,93,240,93,241,92hal330,43hdc331,43,332,42,333,42hal432,12hdc433,12,434,12,435,12hal541,1,4387,r108,12hdc4496,12,4497,12,4498,12hal4596,42hdc4597,42,4598,43,4599,43hal4689,92hdc4690,93,4691,93,4692,94hal4769,158hdc4769,159,4770,160,4771,160hal4835,238hdc4835,239,4836,240,4836,241hal4885,330hdc4886,331,4886,332,4887,333hal4917,432hdc4917,433,4917,434,4917,435hal4928,541r,2102l4917,2751hdc4917,2752,4917,2753,4917,2754hal4887,2852hdc4886,2853,4886,2854,4886,2855hal4837,2945hdc4836,2946,4835,2947,4835,2948hal4771,3025hdc4770,3025,4769,3026,4769,3027hal4692,3091hdc4691,3091,4690,3092,4689,3093hal4599,3142hdc4598,3142,4597,3142,4596,3143hal4498,3173hdc4497,3173,4496,3173,4495,3173hal4389,3184r-3847,l435,3173hdc434,3173,433,3173,432,3173hal333,3143hdc332,3142,331,3142,330,3141hal241,3092hdc240,3092,239,3091,238,3091hal160,3027hdc160,3026,159,3025,158,3025hal94,2948hdc93,2947,93,2946,92,2945hal43,2855hdc43,2854,42,2853,42,2852hal12,2754hdc12,2753,12,2752,12,2751hal1,2645,,542xm32,2642r11,106l43,2745r30,98l72,2840r49,90l119,2927r64,77l181,3002r78,64l256,3064r89,49l342,3112r99,30l438,3142r104,10l4386,3153r106,-11l4489,3142r98,-30l4584,3113r90,-49l4671,3066r77,-64l4746,3004r64,-77l4808,2930r49,-90l4856,2843r30,-98l4886,2748r10,-105l4897,544,4886,438r,3l4856,342r1,3l4808,256r2,3l4746,181r2,2l4671,119r3,2l4584,72r3,1l4489,43r3,l4387,32,544,32,438,43r3,l342,73r3,-2l256,120r3,-1l181,183r2,-2l119,259r1,-3l71,345r2,-3l43,441r,-3l32,542r,2100xe" fillcolor="black" strokeweight=".05pt">
              <v:path arrowok="t"/>
              <o:lock v:ext="edit" verticies="t"/>
            </v:shape>
            <v:rect id="_x0000_s3798" style="position:absolute;left:2526;top:524;width:910;height:171;mso-wrap-style:none" filled="f" stroked="f">
              <v:textbox style="mso-next-textbox:#_x0000_s3798;mso-fit-shape-to-text:t" inset="0,0,0,0">
                <w:txbxContent>
                  <w:p w:rsidR="00E01243" w:rsidRDefault="00E01243" w:rsidP="00AB2B69">
                    <w:r>
                      <w:rPr>
                        <w:rFonts w:ascii="Calibri" w:hAnsi="Calibri" w:cs="Calibri"/>
                        <w:color w:val="000000"/>
                        <w:sz w:val="14"/>
                        <w:szCs w:val="14"/>
                      </w:rPr>
                      <w:t>Gun Control Act</w:t>
                    </w:r>
                  </w:p>
                </w:txbxContent>
              </v:textbox>
            </v:rect>
            <v:rect id="_x0000_s3799" style="position:absolute;left:2526;top:699;width:1231;height:171;mso-wrap-style:none" filled="f" stroked="f">
              <v:textbox style="mso-next-textbox:#_x0000_s3799;mso-fit-shape-to-text:t" inset="0,0,0,0">
                <w:txbxContent>
                  <w:p w:rsidR="00E01243" w:rsidRDefault="00E01243" w:rsidP="00AB2B69">
                    <w:r>
                      <w:rPr>
                        <w:rFonts w:ascii="Calibri" w:hAnsi="Calibri" w:cs="Calibri"/>
                        <w:color w:val="000000"/>
                        <w:sz w:val="14"/>
                        <w:szCs w:val="14"/>
                      </w:rPr>
                      <w:t>National Firearms Act</w:t>
                    </w:r>
                  </w:p>
                </w:txbxContent>
              </v:textbox>
            </v:rect>
            <v:rect id="_x0000_s3800" style="position:absolute;left:2526;top:875;width:1375;height:171;mso-wrap-style:none" filled="f" stroked="f">
              <v:textbox style="mso-next-textbox:#_x0000_s3800;mso-fit-shape-to-text:t" inset="0,0,0,0">
                <w:txbxContent>
                  <w:p w:rsidR="00E01243" w:rsidRDefault="00E01243" w:rsidP="00AB2B69">
                    <w:r>
                      <w:rPr>
                        <w:rFonts w:ascii="Calibri" w:hAnsi="Calibri" w:cs="Calibri"/>
                        <w:color w:val="000000"/>
                        <w:sz w:val="14"/>
                        <w:szCs w:val="14"/>
                      </w:rPr>
                      <w:t>Arms Export Control Act</w:t>
                    </w:r>
                  </w:p>
                </w:txbxContent>
              </v:textbox>
            </v:rect>
            <v:rect id="_x0000_s3801" style="position:absolute;left:2526;top:1051;width:2876;height:171;mso-wrap-style:none" filled="f" stroked="f">
              <v:textbox style="mso-next-textbox:#_x0000_s3801;mso-fit-shape-to-text:t" inset="0,0,0,0">
                <w:txbxContent>
                  <w:p w:rsidR="00E01243" w:rsidRDefault="00E01243" w:rsidP="00AB2B69">
                    <w:r>
                      <w:rPr>
                        <w:rFonts w:ascii="Calibri" w:hAnsi="Calibri" w:cs="Calibri"/>
                        <w:color w:val="000000"/>
                        <w:sz w:val="14"/>
                        <w:szCs w:val="14"/>
                      </w:rPr>
                      <w:t>Title XI of the Organized Crime Control Act of 1970</w:t>
                    </w:r>
                  </w:p>
                </w:txbxContent>
              </v:textbox>
            </v:rect>
            <v:rect id="_x0000_s3802" style="position:absolute;left:2526;top:1226;width:1935;height:171;mso-wrap-style:none" filled="f" stroked="f">
              <v:textbox style="mso-next-textbox:#_x0000_s3802;mso-fit-shape-to-text:t" inset="0,0,0,0">
                <w:txbxContent>
                  <w:p w:rsidR="00E01243" w:rsidRDefault="00E01243" w:rsidP="00AB2B69">
                    <w:r>
                      <w:rPr>
                        <w:rFonts w:ascii="Calibri" w:hAnsi="Calibri" w:cs="Calibri"/>
                        <w:color w:val="000000"/>
                        <w:sz w:val="14"/>
                        <w:szCs w:val="14"/>
                      </w:rPr>
                      <w:t>(Including the Safe Explosives Act)</w:t>
                    </w:r>
                  </w:p>
                </w:txbxContent>
              </v:textbox>
            </v:rect>
            <v:rect id="_x0000_s3803" style="position:absolute;left:2526;top:1402;width:631;height:171;mso-wrap-style:none" filled="f" stroked="f">
              <v:textbox style="mso-next-textbox:#_x0000_s3803;mso-fit-shape-to-text:t" inset="0,0,0,0">
                <w:txbxContent>
                  <w:p w:rsidR="00E01243" w:rsidRDefault="00E01243" w:rsidP="00AB2B69">
                    <w:r>
                      <w:rPr>
                        <w:rFonts w:ascii="Calibri" w:hAnsi="Calibri" w:cs="Calibri"/>
                        <w:color w:val="000000"/>
                        <w:sz w:val="14"/>
                        <w:szCs w:val="14"/>
                      </w:rPr>
                      <w:t>Jenkins Act</w:t>
                    </w:r>
                  </w:p>
                </w:txbxContent>
              </v:textbox>
            </v:rect>
            <v:rect id="_x0000_s3804" style="position:absolute;left:2526;top:1578;width:2478;height:171;mso-wrap-style:none" filled="f" stroked="f">
              <v:textbox style="mso-next-textbox:#_x0000_s3804;mso-fit-shape-to-text:t" inset="0,0,0,0">
                <w:txbxContent>
                  <w:p w:rsidR="00E01243" w:rsidRDefault="00E01243" w:rsidP="00AB2B69">
                    <w:r>
                      <w:rPr>
                        <w:rFonts w:ascii="Calibri" w:hAnsi="Calibri" w:cs="Calibri"/>
                        <w:color w:val="000000"/>
                        <w:sz w:val="14"/>
                        <w:szCs w:val="14"/>
                      </w:rPr>
                      <w:t>Additional Parts of the U.S. Code relating to</w:t>
                    </w:r>
                  </w:p>
                </w:txbxContent>
              </v:textbox>
            </v:rect>
            <v:rect id="_x0000_s3805" style="position:absolute;left:2526;top:1753;width:2315;height:171;mso-wrap-style:none" filled="f" stroked="f">
              <v:textbox style="mso-next-textbox:#_x0000_s3805;mso-fit-shape-to-text:t" inset="0,0,0,0">
                <w:txbxContent>
                  <w:p w:rsidR="00E01243" w:rsidRDefault="00E01243" w:rsidP="00AB2B69">
                    <w:r>
                      <w:rPr>
                        <w:rFonts w:ascii="Calibri" w:hAnsi="Calibri" w:cs="Calibri"/>
                        <w:color w:val="000000"/>
                        <w:sz w:val="14"/>
                        <w:szCs w:val="14"/>
                      </w:rPr>
                      <w:t>explosives, liquor trafficking, contraband</w:t>
                    </w:r>
                  </w:p>
                </w:txbxContent>
              </v:textbox>
            </v:rect>
            <v:rect id="_x0000_s3806" style="position:absolute;left:2526;top:1929;width:1908;height:171;mso-wrap-style:none" filled="f" stroked="f">
              <v:textbox style="mso-next-textbox:#_x0000_s3806;mso-fit-shape-to-text:t" inset="0,0,0,0">
                <w:txbxContent>
                  <w:p w:rsidR="00E01243" w:rsidRDefault="00E01243" w:rsidP="00AB2B69">
                    <w:r>
                      <w:rPr>
                        <w:rFonts w:ascii="Calibri" w:hAnsi="Calibri" w:cs="Calibri"/>
                        <w:color w:val="000000"/>
                        <w:sz w:val="14"/>
                        <w:szCs w:val="14"/>
                      </w:rPr>
                      <w:t>cigarettes, and money laundering</w:t>
                    </w:r>
                  </w:p>
                </w:txbxContent>
              </v:textbox>
            </v:rect>
            <v:shape id="_x0000_s3807" style="position:absolute;left:2245;top:27;width:3915;height:396" coordsize="4896,576" path="m,96hdc,43,43,,96,v,,,,,hal96,,4800,r,hdc4853,,4896,43,4896,96v,,,,,hal4896,96r,384l4896,480hdc4896,533,4853,576,4800,576v,,,,,hal4800,576,96,576r,hdc43,576,,533,,480v,,,,,hal,96hdxe" fillcolor="black" strokeweight="0">
              <v:path arrowok="t"/>
            </v:shape>
            <v:shape id="_x0000_s3808" style="position:absolute;left:2232;top:16;width:3940;height:418" coordsize="4928,608" path="m,112hdc,111,1,110,1,109hal9,72hdc9,70,10,68,11,67hal31,36hdc32,34,34,32,36,31hal67,11hdc68,10,70,9,72,9hal109,1hdc110,1,111,,112,hal4816,hdc4818,,4819,1,4820,1hal4857,9hdc4859,9,4861,10,4862,11hal4893,31hdc4895,32,4897,34,4898,36hal4918,67hdc4919,68,4920,70,4920,72hal4928,109hdc4928,110,4928,111,4928,112hal4928,496hdc4928,498,4928,499,4928,500hal4920,537hdc4920,539,4919,541,4918,542hal4898,573hdc4897,575,4895,577,4893,578hal4862,598hdc4861,599,4859,600,4857,600hal4820,608hdc4819,608,4818,608,4816,608hal112,608hdc111,608,110,608,109,608hal72,600hdc70,600,68,599,67,598hal36,578hdc34,577,32,575,31,573hal11,542hdc10,541,9,539,9,537hal1,500hdc1,499,,498,,496hal,112hdxm32,496hal32,493r8,37l38,525r20,31l53,551r31,20l79,569r37,8l112,576r4704,l4813,577r37,-8l4845,571r31,-20l4871,556r20,-31l4889,530r8,-37l4896,496r,-384l4897,116r-8,-37l4891,84,4871,53r5,5l4845,38r5,2l4813,32r3,l112,32r4,l79,40r5,-2l53,58r5,-5l38,84r2,-5l32,116r,-4l32,496hdxe" fillcolor="black" strokeweight=".05pt">
              <v:path arrowok="t"/>
              <o:lock v:ext="edit" verticies="t"/>
            </v:shape>
            <v:rect id="_x0000_s3809" style="position:absolute;left:3717;top:70;width:836;height:244;mso-wrap-style:none" filled="f" stroked="f">
              <v:textbox style="mso-next-textbox:#_x0000_s3809;mso-fit-shape-to-text:t" inset="0,0,0,0">
                <w:txbxContent>
                  <w:p w:rsidR="00E01243" w:rsidRDefault="00E01243" w:rsidP="00AB2B69">
                    <w:r>
                      <w:rPr>
                        <w:rFonts w:ascii="Calibri" w:hAnsi="Calibri" w:cs="Calibri"/>
                        <w:b/>
                        <w:bCs/>
                        <w:color w:val="FFFFFF"/>
                        <w:sz w:val="20"/>
                        <w:szCs w:val="20"/>
                      </w:rPr>
                      <w:t>STATUTES</w:t>
                    </w:r>
                  </w:p>
                </w:txbxContent>
              </v:textbox>
            </v:rect>
            <v:rect id="_x0000_s3810" style="position:absolute;left:2378;top:551;width:90;height:133;mso-wrap-style:none" filled="f" stroked="f">
              <v:textbox style="mso-next-textbox:#_x0000_s3810;mso-fit-shape-to-text:t" inset="0,0,0,0">
                <w:txbxContent>
                  <w:p w:rsidR="00E01243" w:rsidRDefault="00E01243" w:rsidP="00AB2B69">
                    <w:r>
                      <w:rPr>
                        <w:rFonts w:ascii="Wingdings" w:hAnsi="Wingdings" w:cs="Wingdings"/>
                        <w:color w:val="000000"/>
                        <w:sz w:val="12"/>
                        <w:szCs w:val="12"/>
                      </w:rPr>
                      <w:t></w:t>
                    </w:r>
                  </w:p>
                </w:txbxContent>
              </v:textbox>
            </v:rect>
            <v:rect id="_x0000_s3811" style="position:absolute;left:2378;top:727;width:90;height:133;mso-wrap-style:none" filled="f" stroked="f">
              <v:textbox style="mso-next-textbox:#_x0000_s3811;mso-fit-shape-to-text:t" inset="0,0,0,0">
                <w:txbxContent>
                  <w:p w:rsidR="00E01243" w:rsidRDefault="00E01243" w:rsidP="00AB2B69">
                    <w:r>
                      <w:rPr>
                        <w:rFonts w:ascii="Wingdings" w:hAnsi="Wingdings" w:cs="Wingdings"/>
                        <w:color w:val="000000"/>
                        <w:sz w:val="12"/>
                        <w:szCs w:val="12"/>
                      </w:rPr>
                      <w:t></w:t>
                    </w:r>
                  </w:p>
                </w:txbxContent>
              </v:textbox>
            </v:rect>
            <v:rect id="_x0000_s3812" style="position:absolute;left:2378;top:903;width:90;height:133;mso-wrap-style:none" filled="f" stroked="f">
              <v:textbox style="mso-next-textbox:#_x0000_s3812;mso-fit-shape-to-text:t" inset="0,0,0,0">
                <w:txbxContent>
                  <w:p w:rsidR="00E01243" w:rsidRDefault="00E01243" w:rsidP="00AB2B69">
                    <w:r>
                      <w:rPr>
                        <w:rFonts w:ascii="Wingdings" w:hAnsi="Wingdings" w:cs="Wingdings"/>
                        <w:color w:val="000000"/>
                        <w:sz w:val="12"/>
                        <w:szCs w:val="12"/>
                      </w:rPr>
                      <w:t></w:t>
                    </w:r>
                  </w:p>
                </w:txbxContent>
              </v:textbox>
            </v:rect>
            <v:rect id="_x0000_s3813" style="position:absolute;left:2378;top:1078;width:90;height:133;mso-wrap-style:none" filled="f" stroked="f">
              <v:textbox style="mso-next-textbox:#_x0000_s3813;mso-fit-shape-to-text:t" inset="0,0,0,0">
                <w:txbxContent>
                  <w:p w:rsidR="00E01243" w:rsidRDefault="00E01243" w:rsidP="00AB2B69">
                    <w:r>
                      <w:rPr>
                        <w:rFonts w:ascii="Wingdings" w:hAnsi="Wingdings" w:cs="Wingdings"/>
                        <w:color w:val="000000"/>
                        <w:sz w:val="12"/>
                        <w:szCs w:val="12"/>
                      </w:rPr>
                      <w:t></w:t>
                    </w:r>
                  </w:p>
                </w:txbxContent>
              </v:textbox>
            </v:rect>
            <v:rect id="_x0000_s3814" style="position:absolute;left:2384;top:1431;width:90;height:133;mso-wrap-style:none" filled="f" stroked="f">
              <v:textbox style="mso-next-textbox:#_x0000_s3814;mso-fit-shape-to-text:t" inset="0,0,0,0">
                <w:txbxContent>
                  <w:p w:rsidR="00E01243" w:rsidRDefault="00E01243" w:rsidP="00AB2B69">
                    <w:r>
                      <w:rPr>
                        <w:rFonts w:ascii="Wingdings" w:hAnsi="Wingdings" w:cs="Wingdings"/>
                        <w:color w:val="000000"/>
                        <w:sz w:val="12"/>
                        <w:szCs w:val="12"/>
                      </w:rPr>
                      <w:t></w:t>
                    </w:r>
                  </w:p>
                </w:txbxContent>
              </v:textbox>
            </v:rect>
            <v:rect id="_x0000_s3815" style="position:absolute;left:2384;top:1607;width:90;height:133;mso-wrap-style:none" filled="f" stroked="f">
              <v:textbox style="mso-next-textbox:#_x0000_s3815;mso-fit-shape-to-text:t" inset="0,0,0,0">
                <w:txbxContent>
                  <w:p w:rsidR="00E01243" w:rsidRDefault="00E01243" w:rsidP="00AB2B69">
                    <w:r>
                      <w:rPr>
                        <w:rFonts w:ascii="Wingdings" w:hAnsi="Wingdings" w:cs="Wingdings"/>
                        <w:color w:val="000000"/>
                        <w:sz w:val="12"/>
                        <w:szCs w:val="12"/>
                      </w:rPr>
                      <w:t></w:t>
                    </w:r>
                  </w:p>
                </w:txbxContent>
              </v:textbox>
            </v:rect>
            <v:shape id="_x0000_s3816" style="position:absolute;left:6;top:4353;width:3953;height:2607" coordsize="4944,2992" path="m,510l11,409hdc11,408,11,407,11,406hal40,314hdc41,313,41,312,41,311hal86,227hdc87,226,87,225,88,224hal149,151hdc150,150,150,150,151,149hal224,88hdc225,87,226,87,227,86hal311,41hdc312,41,313,41,314,40hal406,11hdc407,11,408,11,409,11hal509,1,4435,r102,11hdc4538,11,4539,11,4540,11hal4632,40hdc4633,41,4634,41,4635,41hal4719,86hdc4720,87,4721,87,4722,88hal4795,149hdc4795,150,4796,151,4797,151hal4857,224hdc4857,225,4858,226,4859,227hal4904,311hdc4904,312,4904,313,4905,314hal4934,406hdc4934,407,4934,408,4934,409hal4944,509r,1974l4934,2585hdc4934,2586,4934,2587,4934,2588hal4905,2680hdc4904,2681,4904,2682,4904,2683hal4859,2767hdc4858,2768,4857,2769,4857,2770hal4797,2843hdc4796,2843,4795,2844,4795,2845hal4722,2905hdc4721,2905,4720,2906,4719,2907hal4635,2952hdc4634,2952,4633,2952,4632,2953hal4540,2982hdc4539,2982,4538,2982,4537,2982hal4437,2992r-3927,l409,2982hdc408,2982,407,2982,406,2982hal314,2953hdc313,2952,312,2952,311,2952hal227,2907hdc226,2906,225,2905,224,2905hal151,2845hdc151,2844,150,2843,149,2843hal88,2770hdc87,2769,87,2768,86,2767hal41,2683hdc41,2682,41,2681,40,2680hal11,2588hdc11,2587,11,2586,11,2585hal1,2485,,510xm32,2482r10,100l42,2579r29,92l70,2668r45,84l113,2749r61,73l172,2820r73,60l242,2878r84,45l323,2922r92,29l412,2951r98,9l4434,2961r100,-10l4531,2951r92,-29l4620,2923r84,-45l4701,2880r73,-60l4772,2822r60,-73l4830,2752r45,-84l4874,2671r29,-92l4903,2582r9,-99l4913,512,4903,412r,3l4874,323r1,3l4830,242r2,3l4772,172r2,2l4701,113r3,2l4620,70r3,1l4531,42r3,l4435,32,512,32,412,42r3,l323,71r3,-1l242,115r3,-2l172,174r2,-2l113,245r2,-3l70,326r1,-3l42,415r,-3l32,510r,1972xe" fillcolor="black" strokeweight=".05pt">
              <v:path arrowok="t"/>
              <o:lock v:ext="edit" verticies="t"/>
            </v:shape>
            <v:shape id="_x0000_s3817" style="position:absolute;left:19;top:4364;width:3927;height:396" coordsize="4912,576" path="m,96hdc,43,43,,96,v,,,,,hal96,,4816,r,hdc4869,,4912,43,4912,96v,,,,,hal4912,96r,384l4912,480hdc4912,533,4869,576,4816,576v,,,,,hal4816,576,96,576r,hdc43,576,,533,,480v,,,,,hal,96hdxe" fillcolor="black" strokeweight="0">
              <v:path arrowok="t"/>
            </v:shape>
            <v:shape id="_x0000_s3818" style="position:absolute;left:6;top:4353;width:3953;height:418" coordsize="4944,608" path="m,112hdc,111,1,110,1,109hal9,72hdc9,70,10,68,11,67hal31,36hdc32,34,34,32,36,31hal67,11hdc68,10,70,9,72,9hal109,1hdc110,1,111,,112,hal4832,hdc4834,,4835,1,4836,1hal4873,9hdc4875,9,4877,10,4878,11hal4909,31hdc4911,32,4913,34,4914,36hal4934,67hdc4935,68,4936,70,4936,72hal4944,109hdc4944,110,4944,111,4944,112hal4944,496hdc4944,498,4944,499,4944,500hal4936,537hdc4936,539,4935,541,4934,542hal4914,573hdc4913,575,4911,577,4909,578hal4878,598hdc4877,599,4875,600,4873,600hal4836,608hdc4835,608,4834,608,4832,608hal112,608hdc111,608,110,608,109,608hal72,600hdc70,600,68,599,67,598hal36,578hdc34,577,32,575,31,573hal11,542hdc10,541,9,539,9,537hal1,500hdc1,499,,498,,496hal,112hdxm32,496hal32,493r8,37l38,525r20,31l53,551r31,20l79,569r37,8l112,576r4720,l4829,577r37,-8l4861,571r31,-20l4887,556r20,-31l4905,530r8,-37l4912,496r,-384l4913,116r-8,-37l4907,84,4887,53r5,5l4861,38r5,2l4829,32r3,l112,32r4,l79,40r5,-2l53,58r5,-5l38,84r2,-5l32,116r,-4l32,496hdxe" fillcolor="black" strokeweight=".05pt">
              <v:path arrowok="t"/>
              <o:lock v:ext="edit" verticies="t"/>
            </v:shape>
            <v:rect id="_x0000_s3819" style="position:absolute;left:399;top:4407;width:2651;height:244;mso-wrap-style:none" filled="f" stroked="f">
              <v:textbox style="mso-next-textbox:#_x0000_s3819;mso-fit-shape-to-text:t" inset="0,0,0,0">
                <w:txbxContent>
                  <w:p w:rsidR="00E01243" w:rsidRDefault="00E01243" w:rsidP="00AB2B69">
                    <w:r>
                      <w:rPr>
                        <w:rFonts w:ascii="Calibri" w:hAnsi="Calibri" w:cs="Calibri"/>
                        <w:b/>
                        <w:bCs/>
                        <w:color w:val="FFFFFF"/>
                        <w:sz w:val="20"/>
                        <w:szCs w:val="20"/>
                      </w:rPr>
                      <w:t>INTERNATIONAL COOPERATION</w:t>
                    </w:r>
                  </w:p>
                </w:txbxContent>
              </v:textbox>
            </v:rect>
            <v:rect id="_x0000_s3820" style="position:absolute;left:276;top:4861;width:160;height:171;mso-wrap-style:none" filled="f" stroked="f">
              <v:textbox style="mso-next-textbox:#_x0000_s3820;mso-fit-shape-to-text:t" inset="0,0,0,0">
                <w:txbxContent>
                  <w:p w:rsidR="00E01243" w:rsidRDefault="00E01243" w:rsidP="00AB2B69">
                    <w:r>
                      <w:rPr>
                        <w:rFonts w:ascii="Calibri" w:hAnsi="Calibri" w:cs="Calibri"/>
                        <w:color w:val="000000"/>
                        <w:sz w:val="14"/>
                        <w:szCs w:val="14"/>
                      </w:rPr>
                      <w:t>G8</w:t>
                    </w:r>
                  </w:p>
                </w:txbxContent>
              </v:textbox>
            </v:rect>
            <v:rect id="_x0000_s3821" style="position:absolute;left:276;top:5037;width:856;height:171;mso-wrap-style:none" filled="f" stroked="f">
              <v:textbox style="mso-next-textbox:#_x0000_s3821;mso-fit-shape-to-text:t" inset="0,0,0,0">
                <w:txbxContent>
                  <w:p w:rsidR="00E01243" w:rsidRDefault="00E01243" w:rsidP="00AB2B69">
                    <w:r>
                      <w:rPr>
                        <w:rFonts w:ascii="Calibri" w:hAnsi="Calibri" w:cs="Calibri"/>
                        <w:color w:val="000000"/>
                        <w:sz w:val="14"/>
                        <w:szCs w:val="14"/>
                      </w:rPr>
                      <w:t>United Nations</w:t>
                    </w:r>
                  </w:p>
                </w:txbxContent>
              </v:textbox>
            </v:rect>
            <v:rect id="_x0000_s3822" style="position:absolute;left:276;top:5212;width:1834;height:171;mso-wrap-style:none" filled="f" stroked="f">
              <v:textbox style="mso-next-textbox:#_x0000_s3822;mso-fit-shape-to-text:t" inset="0,0,0,0">
                <w:txbxContent>
                  <w:p w:rsidR="00E01243" w:rsidRDefault="00E01243" w:rsidP="00AB2B69">
                    <w:r>
                      <w:rPr>
                        <w:rFonts w:ascii="Calibri" w:hAnsi="Calibri" w:cs="Calibri"/>
                        <w:color w:val="000000"/>
                        <w:sz w:val="14"/>
                        <w:szCs w:val="14"/>
                      </w:rPr>
                      <w:t>Organization of American States</w:t>
                    </w:r>
                  </w:p>
                </w:txbxContent>
              </v:textbox>
            </v:rect>
            <v:rect id="_x0000_s3823" style="position:absolute;left:276;top:5388;width:2468;height:171;mso-wrap-style:none" filled="f" stroked="f">
              <v:textbox style="mso-next-textbox:#_x0000_s3823;mso-fit-shape-to-text:t" inset="0,0,0,0">
                <w:txbxContent>
                  <w:p w:rsidR="00E01243" w:rsidRDefault="00E01243" w:rsidP="00AB2B69">
                    <w:r>
                      <w:rPr>
                        <w:rFonts w:ascii="Calibri" w:hAnsi="Calibri" w:cs="Calibri"/>
                        <w:color w:val="000000"/>
                        <w:sz w:val="14"/>
                        <w:szCs w:val="14"/>
                      </w:rPr>
                      <w:t>Central American Integration System (SICA)</w:t>
                    </w:r>
                  </w:p>
                </w:txbxContent>
              </v:textbox>
            </v:rect>
            <v:rect id="_x0000_s3824" style="position:absolute;left:276;top:5564;width:923;height:171;mso-wrap-style:none" filled="f" stroked="f">
              <v:textbox style="mso-next-textbox:#_x0000_s3824;mso-fit-shape-to-text:t" inset="0,0,0,0">
                <w:txbxContent>
                  <w:p w:rsidR="00E01243" w:rsidRDefault="00E01243" w:rsidP="00AB2B69">
                    <w:r>
                      <w:rPr>
                        <w:rFonts w:ascii="Calibri" w:hAnsi="Calibri" w:cs="Calibri"/>
                        <w:color w:val="000000"/>
                        <w:sz w:val="14"/>
                        <w:szCs w:val="14"/>
                      </w:rPr>
                      <w:t>European Union</w:t>
                    </w:r>
                  </w:p>
                </w:txbxContent>
              </v:textbox>
            </v:rect>
            <v:rect id="_x0000_s3825" style="position:absolute;left:276;top:5739;width:2978;height:171;mso-wrap-style:none" filled="f" stroked="f">
              <v:textbox style="mso-next-textbox:#_x0000_s3825;mso-fit-shape-to-text:t" inset="0,0,0,0">
                <w:txbxContent>
                  <w:p w:rsidR="00E01243" w:rsidRDefault="00E01243" w:rsidP="00AB2B69">
                    <w:r>
                      <w:rPr>
                        <w:rFonts w:ascii="Calibri" w:hAnsi="Calibri" w:cs="Calibri"/>
                        <w:color w:val="000000"/>
                        <w:sz w:val="14"/>
                        <w:szCs w:val="14"/>
                      </w:rPr>
                      <w:t>Organization for Security and Cooperation in Europe</w:t>
                    </w:r>
                  </w:p>
                </w:txbxContent>
              </v:textbox>
            </v:rect>
            <v:rect id="_x0000_s3826" style="position:absolute;left:276;top:5915;width:454;height:171;mso-wrap-style:none" filled="f" stroked="f">
              <v:textbox style="mso-next-textbox:#_x0000_s3826;mso-fit-shape-to-text:t" inset="0,0,0,0">
                <w:txbxContent>
                  <w:p w:rsidR="00E01243" w:rsidRDefault="00E01243" w:rsidP="00AB2B69">
                    <w:r>
                      <w:rPr>
                        <w:rFonts w:ascii="Calibri" w:hAnsi="Calibri" w:cs="Calibri"/>
                        <w:color w:val="000000"/>
                        <w:sz w:val="14"/>
                        <w:szCs w:val="14"/>
                      </w:rPr>
                      <w:t>Interpol</w:t>
                    </w:r>
                  </w:p>
                </w:txbxContent>
              </v:textbox>
            </v:rect>
            <v:rect id="_x0000_s3827" style="position:absolute;left:134;top:6091;width:3528;height:684" filled="f" stroked="f">
              <v:textbox style="mso-next-textbox:#_x0000_s3827;mso-fit-shape-to-text:t" inset="0,0,0,0">
                <w:txbxContent>
                  <w:p w:rsidR="00E01243" w:rsidRDefault="00E01243" w:rsidP="00AB2B69">
                    <w:pPr>
                      <w:rPr>
                        <w:rFonts w:ascii="Calibri" w:hAnsi="Calibri" w:cs="Calibri"/>
                        <w:color w:val="000000"/>
                        <w:sz w:val="14"/>
                        <w:szCs w:val="14"/>
                      </w:rPr>
                    </w:pPr>
                    <w:r>
                      <w:rPr>
                        <w:rFonts w:ascii="Calibri" w:hAnsi="Calibri" w:cs="Calibri"/>
                        <w:color w:val="000000"/>
                        <w:sz w:val="14"/>
                        <w:szCs w:val="14"/>
                      </w:rPr>
                      <w:t xml:space="preserve">    Europol</w:t>
                    </w:r>
                  </w:p>
                  <w:p w:rsidR="00E01243" w:rsidRPr="00D45E4C" w:rsidRDefault="00E01243" w:rsidP="00AB2B69">
                    <w:pPr>
                      <w:rPr>
                        <w:rFonts w:ascii="Wingdings" w:hAnsi="Wingdings" w:cs="Wingdings"/>
                        <w:color w:val="000000"/>
                        <w:sz w:val="12"/>
                        <w:szCs w:val="12"/>
                      </w:rPr>
                    </w:pPr>
                    <w:r>
                      <w:rPr>
                        <w:rFonts w:ascii="Wingdings" w:hAnsi="Wingdings" w:cs="Wingdings"/>
                        <w:color w:val="000000"/>
                        <w:sz w:val="12"/>
                        <w:szCs w:val="12"/>
                      </w:rPr>
                      <w:t></w:t>
                    </w:r>
                    <w:r w:rsidRPr="000B37AD">
                      <w:rPr>
                        <w:rFonts w:ascii="Calibri" w:hAnsi="Calibri" w:cs="Calibri"/>
                        <w:color w:val="000000"/>
                        <w:sz w:val="14"/>
                        <w:szCs w:val="14"/>
                      </w:rPr>
                      <w:t>National Ballistics Intelligence Service-(NABIS) (UK)</w:t>
                    </w:r>
                  </w:p>
                  <w:p w:rsidR="00E01243" w:rsidRPr="00D45E4C" w:rsidRDefault="00E01243" w:rsidP="00AB2B69">
                    <w:pPr>
                      <w:rPr>
                        <w:rFonts w:ascii="Wingdings" w:hAnsi="Wingdings" w:cs="Wingdings"/>
                        <w:color w:val="000000"/>
                        <w:sz w:val="12"/>
                        <w:szCs w:val="12"/>
                      </w:rPr>
                    </w:pPr>
                    <w:r>
                      <w:rPr>
                        <w:rFonts w:ascii="Wingdings" w:hAnsi="Wingdings" w:cs="Wingdings"/>
                        <w:color w:val="000000"/>
                        <w:sz w:val="12"/>
                        <w:szCs w:val="12"/>
                      </w:rPr>
                      <w:t></w:t>
                    </w:r>
                    <w:r w:rsidRPr="000B37AD">
                      <w:rPr>
                        <w:rFonts w:ascii="Calibri" w:hAnsi="Calibri" w:cs="Calibri"/>
                        <w:color w:val="000000"/>
                        <w:sz w:val="14"/>
                        <w:szCs w:val="14"/>
                      </w:rPr>
                      <w:t>European Commission – European Anti-Fraud Office-(OLAF)</w:t>
                    </w:r>
                  </w:p>
                  <w:p w:rsidR="00E01243" w:rsidRPr="00D45E4C" w:rsidRDefault="00E01243" w:rsidP="00AB2B69">
                    <w:pPr>
                      <w:rPr>
                        <w:rFonts w:ascii="Wingdings" w:hAnsi="Wingdings" w:cs="Wingdings"/>
                        <w:color w:val="000000"/>
                        <w:sz w:val="12"/>
                        <w:szCs w:val="12"/>
                      </w:rPr>
                    </w:pPr>
                    <w:r>
                      <w:rPr>
                        <w:rFonts w:ascii="Wingdings" w:hAnsi="Wingdings" w:cs="Wingdings"/>
                        <w:color w:val="000000"/>
                        <w:sz w:val="12"/>
                        <w:szCs w:val="12"/>
                      </w:rPr>
                      <w:t></w:t>
                    </w:r>
                    <w:r w:rsidRPr="000B37AD">
                      <w:rPr>
                        <w:rFonts w:ascii="Calibri" w:hAnsi="Calibri" w:cs="Calibri"/>
                        <w:color w:val="000000"/>
                        <w:sz w:val="14"/>
                        <w:szCs w:val="14"/>
                      </w:rPr>
                      <w:t>Caribbean Community (CARICOM)</w:t>
                    </w:r>
                  </w:p>
                </w:txbxContent>
              </v:textbox>
            </v:rect>
            <v:rect id="_x0000_s3828" style="position:absolute;left:134;top:4884;width:90;height:133;mso-wrap-style:none" filled="f" stroked="f">
              <v:textbox style="mso-next-textbox:#_x0000_s3828;mso-fit-shape-to-text:t" inset="0,0,0,0">
                <w:txbxContent>
                  <w:p w:rsidR="00E01243" w:rsidRDefault="00E01243" w:rsidP="00AB2B69">
                    <w:r>
                      <w:rPr>
                        <w:rFonts w:ascii="Wingdings" w:hAnsi="Wingdings" w:cs="Wingdings"/>
                        <w:color w:val="000000"/>
                        <w:sz w:val="12"/>
                        <w:szCs w:val="12"/>
                      </w:rPr>
                      <w:t></w:t>
                    </w:r>
                  </w:p>
                </w:txbxContent>
              </v:textbox>
            </v:rect>
            <v:rect id="_x0000_s3829" style="position:absolute;left:134;top:5060;width:90;height:133;mso-wrap-style:none" filled="f" stroked="f">
              <v:textbox style="mso-next-textbox:#_x0000_s3829;mso-fit-shape-to-text:t" inset="0,0,0,0">
                <w:txbxContent>
                  <w:p w:rsidR="00E01243" w:rsidRDefault="00E01243" w:rsidP="00AB2B69">
                    <w:r>
                      <w:rPr>
                        <w:rFonts w:ascii="Wingdings" w:hAnsi="Wingdings" w:cs="Wingdings"/>
                        <w:color w:val="000000"/>
                        <w:sz w:val="12"/>
                        <w:szCs w:val="12"/>
                      </w:rPr>
                      <w:t></w:t>
                    </w:r>
                  </w:p>
                </w:txbxContent>
              </v:textbox>
            </v:rect>
            <v:rect id="_x0000_s3830" style="position:absolute;left:134;top:5236;width:90;height:133;mso-wrap-style:none" filled="f" stroked="f">
              <v:textbox style="mso-next-textbox:#_x0000_s3830;mso-fit-shape-to-text:t" inset="0,0,0,0">
                <w:txbxContent>
                  <w:p w:rsidR="00E01243" w:rsidRDefault="00E01243" w:rsidP="00AB2B69">
                    <w:r>
                      <w:rPr>
                        <w:rFonts w:ascii="Wingdings" w:hAnsi="Wingdings" w:cs="Wingdings"/>
                        <w:color w:val="000000"/>
                        <w:sz w:val="12"/>
                        <w:szCs w:val="12"/>
                      </w:rPr>
                      <w:t></w:t>
                    </w:r>
                  </w:p>
                </w:txbxContent>
              </v:textbox>
            </v:rect>
            <v:rect id="_x0000_s3831" style="position:absolute;left:134;top:5411;width:90;height:133;mso-wrap-style:none" filled="f" stroked="f">
              <v:textbox style="mso-next-textbox:#_x0000_s3831;mso-fit-shape-to-text:t" inset="0,0,0,0">
                <w:txbxContent>
                  <w:p w:rsidR="00E01243" w:rsidRDefault="00E01243" w:rsidP="00AB2B69">
                    <w:r>
                      <w:rPr>
                        <w:rFonts w:ascii="Wingdings" w:hAnsi="Wingdings" w:cs="Wingdings"/>
                        <w:color w:val="000000"/>
                        <w:sz w:val="12"/>
                        <w:szCs w:val="12"/>
                      </w:rPr>
                      <w:t></w:t>
                    </w:r>
                  </w:p>
                </w:txbxContent>
              </v:textbox>
            </v:rect>
            <v:rect id="_x0000_s3832" style="position:absolute;left:134;top:5587;width:90;height:133;mso-wrap-style:none" filled="f" stroked="f">
              <v:textbox style="mso-next-textbox:#_x0000_s3832;mso-fit-shape-to-text:t" inset="0,0,0,0">
                <w:txbxContent>
                  <w:p w:rsidR="00E01243" w:rsidRDefault="00E01243" w:rsidP="00AB2B69">
                    <w:r>
                      <w:rPr>
                        <w:rFonts w:ascii="Wingdings" w:hAnsi="Wingdings" w:cs="Wingdings"/>
                        <w:color w:val="000000"/>
                        <w:sz w:val="12"/>
                        <w:szCs w:val="12"/>
                      </w:rPr>
                      <w:t></w:t>
                    </w:r>
                  </w:p>
                </w:txbxContent>
              </v:textbox>
            </v:rect>
            <v:rect id="_x0000_s3833" style="position:absolute;left:134;top:5763;width:90;height:133;mso-wrap-style:none" filled="f" stroked="f">
              <v:textbox style="mso-next-textbox:#_x0000_s3833;mso-fit-shape-to-text:t" inset="0,0,0,0">
                <w:txbxContent>
                  <w:p w:rsidR="00E01243" w:rsidRDefault="00E01243" w:rsidP="00AB2B69">
                    <w:r>
                      <w:rPr>
                        <w:rFonts w:ascii="Wingdings" w:hAnsi="Wingdings" w:cs="Wingdings"/>
                        <w:color w:val="000000"/>
                        <w:sz w:val="12"/>
                        <w:szCs w:val="12"/>
                      </w:rPr>
                      <w:t></w:t>
                    </w:r>
                  </w:p>
                </w:txbxContent>
              </v:textbox>
            </v:rect>
            <v:rect id="_x0000_s3834" style="position:absolute;left:134;top:5938;width:90;height:133;mso-wrap-style:none" filled="f" stroked="f">
              <v:textbox style="mso-next-textbox:#_x0000_s3834;mso-fit-shape-to-text:t" inset="0,0,0,0">
                <w:txbxContent>
                  <w:p w:rsidR="00E01243" w:rsidRDefault="00E01243" w:rsidP="00AB2B69">
                    <w:r>
                      <w:rPr>
                        <w:rFonts w:ascii="Wingdings" w:hAnsi="Wingdings" w:cs="Wingdings"/>
                        <w:color w:val="000000"/>
                        <w:sz w:val="12"/>
                        <w:szCs w:val="12"/>
                      </w:rPr>
                      <w:t></w:t>
                    </w:r>
                  </w:p>
                </w:txbxContent>
              </v:textbox>
            </v:rect>
            <v:rect id="_x0000_s3835" style="position:absolute;left:134;top:6114;width:90;height:165" filled="f" stroked="f">
              <v:textbox style="mso-next-textbox:#_x0000_s3835" inset="0,0,0,0">
                <w:txbxContent>
                  <w:p w:rsidR="00E01243" w:rsidRDefault="00E01243" w:rsidP="00AB2B69">
                    <w:pPr>
                      <w:rPr>
                        <w:rFonts w:ascii="Wingdings" w:hAnsi="Wingdings" w:cs="Wingdings"/>
                        <w:color w:val="000000"/>
                        <w:sz w:val="12"/>
                        <w:szCs w:val="12"/>
                      </w:rPr>
                    </w:pPr>
                    <w:r>
                      <w:rPr>
                        <w:rFonts w:ascii="Wingdings" w:hAnsi="Wingdings" w:cs="Wingdings"/>
                        <w:color w:val="000000"/>
                        <w:sz w:val="12"/>
                        <w:szCs w:val="12"/>
                      </w:rPr>
                      <w:t></w:t>
                    </w:r>
                  </w:p>
                  <w:p w:rsidR="00E01243" w:rsidRDefault="00E01243" w:rsidP="00AB2B69">
                    <w:pPr>
                      <w:rPr>
                        <w:rFonts w:ascii="Wingdings" w:hAnsi="Wingdings" w:cs="Wingdings"/>
                        <w:color w:val="000000"/>
                        <w:sz w:val="12"/>
                        <w:szCs w:val="12"/>
                      </w:rPr>
                    </w:pPr>
                  </w:p>
                  <w:p w:rsidR="00E01243" w:rsidRDefault="00E01243" w:rsidP="00AB2B69"/>
                </w:txbxContent>
              </v:textbox>
            </v:rect>
            <v:shape id="_x0000_s3836" style="position:absolute;left:3371;top:2597;width:1650;height:1416" coordsize="2064,2064" path="m,1032hdc,463,463,,1032,v,,,,,hal1032,hdc1602,,2064,463,2064,1032v,,,,,hal2064,1032hdc2064,1602,1602,2064,1032,2064v,,,,,hal1032,2064hdc463,2064,,1602,,1032v,,,,,xe" fillcolor="black" strokeweight="0">
              <v:path arrowok="t"/>
            </v:shape>
            <v:rect id="_x0000_s3837" style="position:absolute;left:4005;top:2848;width:313;height:244;mso-wrap-style:none" filled="f" stroked="f">
              <v:textbox style="mso-next-textbox:#_x0000_s3837;mso-fit-shape-to-text:t" inset="0,0,0,0">
                <w:txbxContent>
                  <w:p w:rsidR="00E01243" w:rsidRDefault="00E01243" w:rsidP="00AB2B69">
                    <w:r>
                      <w:rPr>
                        <w:rFonts w:ascii="Calibri" w:hAnsi="Calibri" w:cs="Calibri"/>
                        <w:b/>
                        <w:bCs/>
                        <w:color w:val="FFFFFF"/>
                        <w:sz w:val="20"/>
                        <w:szCs w:val="20"/>
                      </w:rPr>
                      <w:t>ATF</w:t>
                    </w:r>
                  </w:p>
                </w:txbxContent>
              </v:textbox>
            </v:rect>
            <v:rect id="_x0000_s3838" style="position:absolute;left:3839;top:3112;width:590;height:244;mso-wrap-style:none" filled="f" stroked="f">
              <v:textbox style="mso-next-textbox:#_x0000_s3838;mso-fit-shape-to-text:t" inset="0,0,0,0">
                <w:txbxContent>
                  <w:p w:rsidR="00E01243" w:rsidRDefault="00E01243" w:rsidP="00AB2B69">
                    <w:r>
                      <w:rPr>
                        <w:rFonts w:ascii="Calibri" w:hAnsi="Calibri" w:cs="Calibri"/>
                        <w:b/>
                        <w:bCs/>
                        <w:color w:val="FFFFFF"/>
                        <w:sz w:val="20"/>
                        <w:szCs w:val="20"/>
                      </w:rPr>
                      <w:t>POLICY</w:t>
                    </w:r>
                  </w:p>
                </w:txbxContent>
              </v:textbox>
            </v:rect>
            <v:rect id="_x0000_s3839" style="position:absolute;left:3417;top:3375;width:1284;height:244;mso-wrap-style:none" filled="f" stroked="f">
              <v:textbox style="mso-next-textbox:#_x0000_s3839;mso-fit-shape-to-text:t" inset="0,0,0,0">
                <w:txbxContent>
                  <w:p w:rsidR="00E01243" w:rsidRDefault="00E01243" w:rsidP="00AB2B69">
                    <w:r>
                      <w:rPr>
                        <w:rFonts w:ascii="Calibri" w:hAnsi="Calibri" w:cs="Calibri"/>
                        <w:b/>
                        <w:bCs/>
                        <w:color w:val="FFFFFF"/>
                        <w:sz w:val="20"/>
                        <w:szCs w:val="20"/>
                      </w:rPr>
                      <w:t>ENVIRONMENT</w:t>
                    </w:r>
                  </w:p>
                </w:txbxContent>
              </v:textbox>
            </v:rect>
            <v:shape id="_x0000_s3840" style="position:absolute;left:3064;top:2344;width:2251;height:1933" coordsize="2251,1933" path="m,967l5,869,23,773,51,680,89,592r47,-85l192,427r65,-74l330,284r80,-62l496,166r93,-48l688,77,791,44,898,20,1010,6,1126,r114,5l1353,20r108,24l1564,76r98,41l1755,166r87,55l1921,284r73,68l2059,426r56,80l2163,591r38,88l2229,771r17,97l2251,966r-5,98l2229,1161r-28,93l2164,1342r-48,85l2059,1506r-64,75l1922,1649r-79,63l1756,1767r-92,49l1564,1857r-103,32l1354,1913r-113,15l1126,1933r-114,-5l900,1913,791,1889,689,1858r-98,-41l497,1768r-86,-56l331,1650r-73,-68l193,1507r-56,-79l89,1343,51,1255,23,1163,6,1066,,967xm31,1062r17,94l75,1247r38,87l158,1417r55,77l276,1568r72,66l426,1695r85,54l601,1797r97,40l799,1868r105,24l1013,1906r113,5l1237,1906r110,-14l1453,1868r100,-31l1650,1797r90,-47l1826,1696r77,-61l1975,1568r63,-73l2093,1418r46,-83l2176,1248r28,-90l2220,1064r6,-97l2221,871r-17,-93l2176,686r-36,-86l2094,518r-55,-79l1975,367r-71,-68l1827,238r-86,-54l1652,137,1555,97,1453,65,1349,41,1239,27,1126,22r-112,5l906,41,799,65,699,97r-96,39l511,183r-84,55l348,299r-71,67l214,439r-55,77l113,599,76,686,48,776,31,870r-6,96l31,1062xe" fillcolor="black" strokeweight=".05pt">
              <v:path arrowok="t"/>
              <o:lock v:ext="edit" verticies="t"/>
            </v:shape>
            <v:shape id="_x0000_s3841" style="position:absolute;left:4049;top:2190;width:307;height:396" coordsize="307,396" path="m,264r77,l77,,230,r,264l307,264,153,396,,264xe" fillcolor="black" stroked="f">
              <v:path arrowok="t"/>
            </v:shape>
            <v:shape id="_x0000_s3842" style="position:absolute;left:2552;top:2816;width:883;height:264" coordsize="883,264" path="m729,264r,-66l,198,,66r729,l729,,883,132,729,264xe" fillcolor="black" stroked="f">
              <v:path arrowok="t"/>
            </v:shape>
            <v:shape id="_x0000_s3843" style="position:absolute;left:4957;top:2816;width:896;height:264" coordsize="896,264" path="m154,r,66l896,66r,132l154,198r,66l,132,154,xe" fillcolor="black" stroked="f">
              <v:path arrowok="t"/>
            </v:shape>
            <v:shape id="_x0000_s3844" style="position:absolute;left:5853;top:2487;width:2279;height:933" coordsize="2128,1360" path="m,227hdc,102,102,,227,v,,,,,hal227,,1902,r,hdc2027,,2128,102,2128,227v,,,,,hal2128,227r,907l2128,1134hdc2128,1259,2027,1360,1902,1360v,,,,,hal1902,1360r-1675,l227,1360hdc102,1360,,1259,,1134v,,,,,hal,227hdxe" fillcolor="black" strokeweight="0">
              <v:path arrowok="t"/>
            </v:shape>
            <v:rect id="_x0000_s3845" style="position:absolute;left:6010;top:3190;width:2032;height:195" filled="f" stroked="f">
              <v:textbox style="mso-next-textbox:#_x0000_s3845;mso-fit-shape-to-text:t" inset="0,0,0,0">
                <w:txbxContent>
                  <w:p w:rsidR="00E01243" w:rsidRDefault="00E01243" w:rsidP="00AB2B69">
                    <w:r>
                      <w:rPr>
                        <w:rFonts w:ascii="Calibri" w:hAnsi="Calibri" w:cs="Calibri"/>
                        <w:b/>
                        <w:bCs/>
                        <w:color w:val="FFFFFF"/>
                        <w:sz w:val="16"/>
                        <w:szCs w:val="16"/>
                      </w:rPr>
                      <w:t>DOMESTIC &amp; INTERNATIONAL</w:t>
                    </w:r>
                  </w:p>
                </w:txbxContent>
              </v:textbox>
            </v:rect>
            <v:rect id="_x0000_s3846" style="position:absolute;left:6036;top:2586;width:2006;height:197" filled="f" stroked="f">
              <v:textbox style="mso-next-textbox:#_x0000_s3846" inset="0,0,0,0">
                <w:txbxContent>
                  <w:p w:rsidR="00E01243" w:rsidRDefault="00E01243" w:rsidP="00AB2B69">
                    <w:pPr>
                      <w:jc w:val="center"/>
                    </w:pPr>
                    <w:r>
                      <w:rPr>
                        <w:rFonts w:ascii="Calibri" w:hAnsi="Calibri" w:cs="Calibri"/>
                        <w:b/>
                        <w:bCs/>
                        <w:color w:val="FFFFFF"/>
                        <w:sz w:val="16"/>
                        <w:szCs w:val="16"/>
                      </w:rPr>
                      <w:t>MEMORANDUM OF</w:t>
                    </w:r>
                  </w:p>
                </w:txbxContent>
              </v:textbox>
            </v:rect>
            <v:rect id="_x0000_s3847" style="position:absolute;left:6036;top:2816;width:2006;height:180" filled="f" stroked="f">
              <v:textbox style="mso-next-textbox:#_x0000_s3847" inset="0,0,0,0">
                <w:txbxContent>
                  <w:p w:rsidR="00E01243" w:rsidRDefault="00E01243" w:rsidP="00AB2B69">
                    <w:pPr>
                      <w:jc w:val="center"/>
                    </w:pPr>
                    <w:r>
                      <w:rPr>
                        <w:rFonts w:ascii="Calibri" w:hAnsi="Calibri" w:cs="Calibri"/>
                        <w:b/>
                        <w:bCs/>
                        <w:color w:val="FFFFFF"/>
                        <w:sz w:val="16"/>
                        <w:szCs w:val="16"/>
                      </w:rPr>
                      <w:t>UNDERSTANDING</w:t>
                    </w:r>
                  </w:p>
                </w:txbxContent>
              </v:textbox>
            </v:rect>
            <v:rect id="_x0000_s3848" style="position:absolute;left:6036;top:2994;width:2006;height:196" filled="f" stroked="f">
              <v:textbox style="mso-next-textbox:#_x0000_s3848" inset="0,0,0,0">
                <w:txbxContent>
                  <w:p w:rsidR="00E01243" w:rsidRDefault="00E01243" w:rsidP="00AB2B69">
                    <w:pPr>
                      <w:jc w:val="center"/>
                    </w:pPr>
                    <w:r>
                      <w:rPr>
                        <w:rFonts w:ascii="Calibri" w:hAnsi="Calibri" w:cs="Calibri"/>
                        <w:b/>
                        <w:bCs/>
                        <w:color w:val="FFFFFF"/>
                        <w:sz w:val="16"/>
                        <w:szCs w:val="16"/>
                      </w:rPr>
                      <w:t>(MOU)</w:t>
                    </w:r>
                  </w:p>
                </w:txbxContent>
              </v:textbox>
            </v:rect>
            <v:shape id="_x0000_s3849" style="position:absolute;left:851;top:2487;width:1701;height:933" coordsize="2128,1360" path="m,227hdc,102,102,,227,v,,,,,hal227,,1902,r,hdc2027,,2128,102,2128,227v,,,,,hal2128,227r,907l2128,1134hdc2128,1259,2027,1360,1902,1360v,,,,,hal1902,1360r-1675,l227,1360hdc102,1360,,1259,,1134v,,,,,hal,227hdxe" fillcolor="black" strokeweight="0">
              <v:path arrowok="t"/>
            </v:shape>
            <v:rect id="_x0000_s3850" style="position:absolute;left:1491;top:2544;width:372;height:195;mso-wrap-style:none" filled="f" stroked="f">
              <v:textbox style="mso-next-textbox:#_x0000_s3850;mso-fit-shape-to-text:t" inset="0,0,0,0">
                <w:txbxContent>
                  <w:p w:rsidR="00E01243" w:rsidRDefault="00E01243" w:rsidP="00AB2B69">
                    <w:r>
                      <w:rPr>
                        <w:rFonts w:ascii="Calibri" w:hAnsi="Calibri" w:cs="Calibri"/>
                        <w:b/>
                        <w:bCs/>
                        <w:color w:val="FFFFFF"/>
                        <w:sz w:val="16"/>
                        <w:szCs w:val="16"/>
                      </w:rPr>
                      <w:t>CODE</w:t>
                    </w:r>
                  </w:p>
                </w:txbxContent>
              </v:textbox>
            </v:rect>
            <v:rect id="_x0000_s3851" style="position:absolute;left:1247;top:2752;width:803;height:195;mso-wrap-style:none" filled="f" stroked="f">
              <v:textbox style="mso-next-textbox:#_x0000_s3851;mso-fit-shape-to-text:t" inset="0,0,0,0">
                <w:txbxContent>
                  <w:p w:rsidR="00E01243" w:rsidRDefault="00E01243" w:rsidP="00AB2B69">
                    <w:r>
                      <w:rPr>
                        <w:rFonts w:ascii="Calibri" w:hAnsi="Calibri" w:cs="Calibri"/>
                        <w:b/>
                        <w:bCs/>
                        <w:color w:val="FFFFFF"/>
                        <w:sz w:val="16"/>
                        <w:szCs w:val="16"/>
                      </w:rPr>
                      <w:t>OF FEDERAL</w:t>
                    </w:r>
                  </w:p>
                </w:txbxContent>
              </v:textbox>
            </v:rect>
            <v:rect id="_x0000_s3852" style="position:absolute;left:1145;top:2950;width:951;height:195;mso-wrap-style:none" filled="f" stroked="f">
              <v:textbox style="mso-next-textbox:#_x0000_s3852;mso-fit-shape-to-text:t" inset="0,0,0,0">
                <w:txbxContent>
                  <w:p w:rsidR="00E01243" w:rsidRDefault="00E01243" w:rsidP="00AB2B69">
                    <w:r>
                      <w:rPr>
                        <w:rFonts w:ascii="Calibri" w:hAnsi="Calibri" w:cs="Calibri"/>
                        <w:b/>
                        <w:bCs/>
                        <w:color w:val="FFFFFF"/>
                        <w:sz w:val="16"/>
                        <w:szCs w:val="16"/>
                      </w:rPr>
                      <w:t>REGULATIONS</w:t>
                    </w:r>
                  </w:p>
                </w:txbxContent>
              </v:textbox>
            </v:rect>
            <v:rect id="_x0000_s3853" style="position:absolute;left:1491;top:3159;width:348;height:195;mso-wrap-style:none" filled="f" stroked="f">
              <v:textbox style="mso-next-textbox:#_x0000_s3853;mso-fit-shape-to-text:t" inset="0,0,0,0">
                <w:txbxContent>
                  <w:p w:rsidR="00E01243" w:rsidRDefault="00E01243" w:rsidP="00AB2B69">
                    <w:r>
                      <w:rPr>
                        <w:rFonts w:ascii="Calibri" w:hAnsi="Calibri" w:cs="Calibri"/>
                        <w:b/>
                        <w:bCs/>
                        <w:color w:val="FFFFFF"/>
                        <w:sz w:val="16"/>
                        <w:szCs w:val="16"/>
                      </w:rPr>
                      <w:t>(CFR)</w:t>
                    </w:r>
                  </w:p>
                </w:txbxContent>
              </v:textbox>
            </v:rect>
            <v:shape id="_x0000_s3854" style="position:absolute;left:2399;top:3563;width:1036;height:263" coordsize="1036,263" path="m882,263r,-65l,198,,66r882,l882,r154,132l882,263xe" fillcolor="black" stroked="f">
              <v:path arrowok="t"/>
            </v:shape>
            <v:shape id="_x0000_s3855" style="position:absolute;left:4957;top:3563;width:947;height:263" coordsize="947,263" path="m154,r,66l947,66r,132l154,198r,65l,132,154,xe" fillcolor="black" stroked="f">
              <v:path arrowok="t"/>
            </v:shape>
            <w10:wrap type="none"/>
            <w10:anchorlock/>
          </v:group>
        </w:pict>
      </w:r>
    </w:p>
    <w:p w:rsidR="00E01243" w:rsidRDefault="00E01243" w:rsidP="00A635D0">
      <w:pPr>
        <w:rPr>
          <w:b/>
          <w:bCs/>
        </w:rPr>
      </w:pPr>
    </w:p>
    <w:p w:rsidR="00F93BFB" w:rsidRDefault="00F93BFB" w:rsidP="00A635D0">
      <w:pPr>
        <w:rPr>
          <w:b/>
          <w:bCs/>
        </w:rPr>
      </w:pPr>
    </w:p>
    <w:p w:rsidR="00F93BFB" w:rsidRDefault="00F93BFB">
      <w:pPr>
        <w:rPr>
          <w:b/>
          <w:bCs/>
        </w:rPr>
      </w:pPr>
      <w:r>
        <w:rPr>
          <w:b/>
          <w:bCs/>
        </w:rPr>
        <w:br w:type="page"/>
      </w:r>
    </w:p>
    <w:p w:rsidR="00A635D0" w:rsidRPr="00BA6374" w:rsidRDefault="00265432" w:rsidP="00A635D0">
      <w:pPr>
        <w:rPr>
          <w:b/>
          <w:bCs/>
        </w:rPr>
      </w:pPr>
      <w:r>
        <w:rPr>
          <w:b/>
          <w:bCs/>
        </w:rPr>
        <w:lastRenderedPageBreak/>
        <w:t>C.  Challenges</w:t>
      </w:r>
    </w:p>
    <w:p w:rsidR="00A635D0" w:rsidRPr="00BA6374" w:rsidRDefault="00A635D0" w:rsidP="00A635D0">
      <w:pPr>
        <w:rPr>
          <w:b/>
          <w:bCs/>
        </w:rPr>
      </w:pPr>
    </w:p>
    <w:p w:rsidR="006B1534" w:rsidRDefault="006B1534" w:rsidP="006B1534">
      <w:pPr>
        <w:rPr>
          <w:bCs/>
        </w:rPr>
      </w:pPr>
      <w:r w:rsidRPr="00265432">
        <w:rPr>
          <w:bCs/>
        </w:rPr>
        <w:t xml:space="preserve">ATF is facing major </w:t>
      </w:r>
      <w:r>
        <w:rPr>
          <w:bCs/>
        </w:rPr>
        <w:t xml:space="preserve">resource </w:t>
      </w:r>
      <w:r w:rsidRPr="00265432">
        <w:rPr>
          <w:bCs/>
        </w:rPr>
        <w:t>challenges affecting its ability to</w:t>
      </w:r>
      <w:r>
        <w:rPr>
          <w:bCs/>
        </w:rPr>
        <w:t xml:space="preserve"> </w:t>
      </w:r>
      <w:r w:rsidRPr="00265432">
        <w:rPr>
          <w:bCs/>
        </w:rPr>
        <w:t xml:space="preserve">meet mission critical goals and objectives </w:t>
      </w:r>
      <w:r>
        <w:rPr>
          <w:bCs/>
        </w:rPr>
        <w:t>due to</w:t>
      </w:r>
      <w:r w:rsidRPr="00265432">
        <w:rPr>
          <w:bCs/>
        </w:rPr>
        <w:t xml:space="preserve"> the </w:t>
      </w:r>
      <w:r>
        <w:rPr>
          <w:bCs/>
        </w:rPr>
        <w:t>impending</w:t>
      </w:r>
      <w:r w:rsidRPr="00265432">
        <w:rPr>
          <w:bCs/>
        </w:rPr>
        <w:t xml:space="preserve"> retirement and attrition of hundreds of special agents in the next few years.</w:t>
      </w:r>
      <w:r>
        <w:rPr>
          <w:bCs/>
        </w:rPr>
        <w:t xml:space="preserve">  ATF </w:t>
      </w:r>
      <w:r w:rsidR="000F39CD">
        <w:rPr>
          <w:bCs/>
        </w:rPr>
        <w:t>has begun</w:t>
      </w:r>
      <w:r>
        <w:rPr>
          <w:bCs/>
        </w:rPr>
        <w:t xml:space="preserve"> addressing these challenges and to take a comprehensive approach towards mitigating infrastructure deficiencies in personnel, oversight and management, and fixed operational costs.  </w:t>
      </w:r>
    </w:p>
    <w:p w:rsidR="006B1534" w:rsidRPr="00BA6374" w:rsidRDefault="006B1534" w:rsidP="006B1534">
      <w:pPr>
        <w:rPr>
          <w:bCs/>
        </w:rPr>
      </w:pPr>
    </w:p>
    <w:p w:rsidR="006B1534" w:rsidRDefault="006B1534" w:rsidP="006B1534">
      <w:pPr>
        <w:rPr>
          <w:bCs/>
        </w:rPr>
      </w:pPr>
      <w:r>
        <w:rPr>
          <w:bCs/>
        </w:rPr>
        <w:t>ATF initiated a Voluntary Early Retirement Authority (VERA)/Voluntary Separation Incentive Program (VSIP) resulting in the loss of 164 positions, including 34 special agents and 37 IOIs.  ATF also lost 93 technical, professional, and administrative positions.  To ensure that critical administrative and oversight functions are maintained, special agents have been pulled away from operational duties to cover these responsibilities.  While they are filling vital support needs, the reassignment to primarily administrative duties results in fewer special agents in the field fighting violent crime. This was highlighted in the OIG’s September 2012 report, which repeatedly emphasized that ATF lacked the resources to effectively investigate the scope and nature of complex cases involving firearms trafficking along the Southwest border.</w:t>
      </w:r>
      <w:r w:rsidRPr="00AB4676">
        <w:rPr>
          <w:bCs/>
          <w:vertAlign w:val="superscript"/>
        </w:rPr>
        <w:t xml:space="preserve"> [1</w:t>
      </w:r>
      <w:r>
        <w:rPr>
          <w:bCs/>
          <w:vertAlign w:val="superscript"/>
        </w:rPr>
        <w:t>]</w:t>
      </w:r>
      <w:r w:rsidRPr="00AB4676">
        <w:rPr>
          <w:bCs/>
          <w:vertAlign w:val="superscript"/>
        </w:rPr>
        <w:t xml:space="preserve"> </w:t>
      </w:r>
      <w:r>
        <w:rPr>
          <w:bCs/>
          <w:vertAlign w:val="superscript"/>
        </w:rPr>
        <w:t xml:space="preserve"> </w:t>
      </w:r>
      <w:r>
        <w:rPr>
          <w:bCs/>
        </w:rPr>
        <w:t xml:space="preserve"> The challenging resource environment also likely contributed to the internal leadership failures that subsequently resulted in great damage to ATF and the Department.</w:t>
      </w:r>
    </w:p>
    <w:p w:rsidR="006B1534" w:rsidRDefault="006B1534" w:rsidP="006B1534">
      <w:pPr>
        <w:rPr>
          <w:bCs/>
        </w:rPr>
      </w:pPr>
      <w:r>
        <w:rPr>
          <w:bCs/>
        </w:rPr>
        <w:t xml:space="preserve"> </w:t>
      </w:r>
    </w:p>
    <w:p w:rsidR="006B1534" w:rsidRDefault="006B1534" w:rsidP="006B1534">
      <w:pPr>
        <w:rPr>
          <w:bCs/>
        </w:rPr>
      </w:pPr>
      <w:r>
        <w:rPr>
          <w:bCs/>
        </w:rPr>
        <w:t xml:space="preserve">ATF has continued to operate and execute core mission activities, but it has been able to do so by making difficult choices and sacrifices with existing resources.  </w:t>
      </w:r>
      <w:r w:rsidRPr="00265432">
        <w:rPr>
          <w:bCs/>
        </w:rPr>
        <w:t xml:space="preserve">ATF’s </w:t>
      </w:r>
      <w:r>
        <w:rPr>
          <w:bCs/>
        </w:rPr>
        <w:t>ability to sustain existing programs and provide a flexible response to emergent threats to public safety has been accomplished through balancing critical mission needs with available resources</w:t>
      </w:r>
      <w:r w:rsidRPr="00265432">
        <w:rPr>
          <w:bCs/>
        </w:rPr>
        <w:t xml:space="preserve">.  </w:t>
      </w:r>
    </w:p>
    <w:p w:rsidR="006B1534" w:rsidRDefault="006B1534" w:rsidP="006B1534">
      <w:pPr>
        <w:rPr>
          <w:bCs/>
        </w:rPr>
      </w:pPr>
    </w:p>
    <w:p w:rsidR="006B1534" w:rsidRDefault="006B1534" w:rsidP="006B1534">
      <w:pPr>
        <w:pStyle w:val="ListParagraph"/>
        <w:ind w:left="0"/>
      </w:pPr>
      <w:r>
        <w:t xml:space="preserve">ATF has been challenged over the last decade to keep pace with the growing threats of violent crime, violent gangs, firearms trafficking and criminal use of explosives.  In addition to the attrition of an increasingly aging special agent population, maintaining critical mission activities with existing resources has also affected ATF’s capacity to provide a more robust training and leadership development curriculum and has created limitations of essential movement of the most dynamic leaders in the organization.  It has also caused delays in properly </w:t>
      </w:r>
      <w:r w:rsidR="00C52DD7">
        <w:t>modernizing</w:t>
      </w:r>
      <w:r>
        <w:t xml:space="preserve"> essential law enforcement equipment.  These funding issues have affected ATF’s ability to balance mission needs in high priority areas such as taking violent criminals off city streets and stemming the flow of illegally trafficked firearms across domestic and international borders.  </w:t>
      </w:r>
      <w:r w:rsidR="00C52DD7">
        <w:t xml:space="preserve">The FY 2014 Budget begins to address these resource issues. </w:t>
      </w:r>
    </w:p>
    <w:p w:rsidR="006B1534" w:rsidRDefault="006B1534" w:rsidP="006B1534">
      <w:pPr>
        <w:pStyle w:val="ListParagraph"/>
        <w:ind w:left="0"/>
      </w:pPr>
    </w:p>
    <w:p w:rsidR="006B1534" w:rsidRDefault="006B1534" w:rsidP="006B1534">
      <w:pPr>
        <w:pStyle w:val="ListParagraph"/>
        <w:ind w:left="0"/>
      </w:pPr>
      <w:r>
        <w:t>ATF has initiated several positive steps to assist the agency with moving forward.  Over the past 18 months, ATF has appointed new leadership to fill crucial supervisory positions in nearly all of our 25 Field Divisions, as well as appointed our strongest and most dynamic and experienced former Special Agents in Charge (SACs) as new Senior Executive Service assistant directors at ATF Headquarters.  ATF has also taken several actions designed to increase oversight, enhance communication, and to ensure close investigative, operational, and strategic coordination between field offices and Headquarters.   These include implementing a new Monitored Case Program, a Self Inspection Program (SIP), and establishing employee advisory groups to advise the ATF Acting Director and Deputy Director on pending agency issues and responding to specific employee concerns.</w:t>
      </w:r>
    </w:p>
    <w:p w:rsidR="00E01243" w:rsidRDefault="00E01243" w:rsidP="006B1534">
      <w:pPr>
        <w:rPr>
          <w:bCs/>
        </w:rPr>
      </w:pPr>
    </w:p>
    <w:p w:rsidR="006B1534" w:rsidRDefault="006B1534" w:rsidP="006B1534">
      <w:pPr>
        <w:rPr>
          <w:bCs/>
        </w:rPr>
      </w:pPr>
      <w:r w:rsidRPr="00265432">
        <w:rPr>
          <w:bCs/>
        </w:rPr>
        <w:t xml:space="preserve">Second, ATF is challenged by </w:t>
      </w:r>
      <w:r>
        <w:rPr>
          <w:bCs/>
        </w:rPr>
        <w:t xml:space="preserve">the fact that a large portion of its </w:t>
      </w:r>
      <w:r w:rsidRPr="00265432">
        <w:rPr>
          <w:bCs/>
        </w:rPr>
        <w:t>special agent workforce</w:t>
      </w:r>
      <w:r>
        <w:rPr>
          <w:bCs/>
        </w:rPr>
        <w:t xml:space="preserve"> is approaching retirement</w:t>
      </w:r>
      <w:r w:rsidRPr="00265432">
        <w:rPr>
          <w:bCs/>
        </w:rPr>
        <w:t>.</w:t>
      </w:r>
      <w:r>
        <w:rPr>
          <w:bCs/>
        </w:rPr>
        <w:t xml:space="preserve">  As provided by </w:t>
      </w:r>
      <w:r w:rsidRPr="000354E3">
        <w:t>5 U.S.C. §8335 and 8425,</w:t>
      </w:r>
      <w:r>
        <w:t xml:space="preserve"> r</w:t>
      </w:r>
      <w:r>
        <w:rPr>
          <w:bCs/>
        </w:rPr>
        <w:t>etirement for Federal law enforcement agents is mandatory at the age of 57.  Special agents are eligible for retirement at age 50, provided they have at least 20 years of service.</w:t>
      </w:r>
      <w:r w:rsidRPr="00265432">
        <w:rPr>
          <w:bCs/>
        </w:rPr>
        <w:t xml:space="preserve">  According to a Corporate Executive Board analysis, ATF has experienced the most significant increase in the percent of special agents (Series 1811) over age 50 from 200</w:t>
      </w:r>
      <w:r>
        <w:rPr>
          <w:bCs/>
        </w:rPr>
        <w:t>7 to 2011 as compared to other Federal</w:t>
      </w:r>
      <w:r w:rsidRPr="00265432">
        <w:rPr>
          <w:bCs/>
        </w:rPr>
        <w:t xml:space="preserve"> law enforcement agencies.  </w:t>
      </w:r>
    </w:p>
    <w:p w:rsidR="006B1534" w:rsidRDefault="006B1534" w:rsidP="006B1534">
      <w:pPr>
        <w:rPr>
          <w:bCs/>
        </w:rPr>
      </w:pPr>
    </w:p>
    <w:p w:rsidR="006B1534" w:rsidRDefault="006B1534" w:rsidP="006B1534">
      <w:pPr>
        <w:pStyle w:val="Default"/>
        <w:rPr>
          <w:rFonts w:ascii="Times New Roman" w:hAnsi="Times New Roman" w:cs="Times New Roman"/>
        </w:rPr>
      </w:pPr>
      <w:r>
        <w:rPr>
          <w:rFonts w:ascii="Times New Roman" w:hAnsi="Times New Roman" w:cs="Times New Roman"/>
          <w:bCs/>
        </w:rPr>
        <w:t xml:space="preserve">Over the next 4 years, an additional </w:t>
      </w:r>
      <w:r w:rsidR="00D11A72">
        <w:rPr>
          <w:rFonts w:ascii="Times New Roman" w:hAnsi="Times New Roman" w:cs="Times New Roman"/>
          <w:bCs/>
        </w:rPr>
        <w:t>39</w:t>
      </w:r>
      <w:r>
        <w:rPr>
          <w:rFonts w:ascii="Times New Roman" w:hAnsi="Times New Roman" w:cs="Times New Roman"/>
          <w:bCs/>
        </w:rPr>
        <w:t xml:space="preserve"> percent</w:t>
      </w:r>
      <w:r w:rsidRPr="000354E3">
        <w:rPr>
          <w:rFonts w:ascii="Times New Roman" w:hAnsi="Times New Roman" w:cs="Times New Roman"/>
          <w:bCs/>
        </w:rPr>
        <w:t xml:space="preserve"> </w:t>
      </w:r>
      <w:r w:rsidR="00D11A72">
        <w:rPr>
          <w:rFonts w:ascii="Times New Roman" w:hAnsi="Times New Roman" w:cs="Times New Roman"/>
          <w:bCs/>
        </w:rPr>
        <w:t>of</w:t>
      </w:r>
      <w:r>
        <w:rPr>
          <w:rFonts w:ascii="Times New Roman" w:hAnsi="Times New Roman" w:cs="Times New Roman"/>
          <w:bCs/>
        </w:rPr>
        <w:t xml:space="preserve"> </w:t>
      </w:r>
      <w:r w:rsidRPr="000354E3">
        <w:rPr>
          <w:rFonts w:ascii="Times New Roman" w:hAnsi="Times New Roman" w:cs="Times New Roman"/>
          <w:bCs/>
        </w:rPr>
        <w:t xml:space="preserve">special agents will reach retirement eligibility.  </w:t>
      </w:r>
      <w:r>
        <w:rPr>
          <w:rFonts w:ascii="Times New Roman" w:hAnsi="Times New Roman" w:cs="Times New Roman"/>
          <w:bCs/>
        </w:rPr>
        <w:t>In the next 5 years,</w:t>
      </w:r>
      <w:r w:rsidRPr="000354E3">
        <w:rPr>
          <w:rFonts w:ascii="Times New Roman" w:hAnsi="Times New Roman" w:cs="Times New Roman"/>
          <w:bCs/>
        </w:rPr>
        <w:t xml:space="preserve"> </w:t>
      </w:r>
      <w:r>
        <w:rPr>
          <w:rFonts w:ascii="Times New Roman" w:hAnsi="Times New Roman" w:cs="Times New Roman"/>
          <w:bCs/>
        </w:rPr>
        <w:t>277</w:t>
      </w:r>
      <w:r w:rsidRPr="000354E3">
        <w:rPr>
          <w:rFonts w:ascii="Times New Roman" w:hAnsi="Times New Roman" w:cs="Times New Roman"/>
          <w:bCs/>
        </w:rPr>
        <w:t xml:space="preserve"> of those special agents will face mandatory retirement. </w:t>
      </w:r>
      <w:r w:rsidRPr="000354E3">
        <w:rPr>
          <w:rFonts w:ascii="Times New Roman" w:hAnsi="Times New Roman" w:cs="Times New Roman"/>
        </w:rPr>
        <w:t xml:space="preserve">   Their experience and </w:t>
      </w:r>
      <w:r>
        <w:rPr>
          <w:rFonts w:ascii="Times New Roman" w:hAnsi="Times New Roman" w:cs="Times New Roman"/>
        </w:rPr>
        <w:t>capabilities are</w:t>
      </w:r>
      <w:r w:rsidRPr="000354E3">
        <w:rPr>
          <w:rFonts w:ascii="Times New Roman" w:hAnsi="Times New Roman" w:cs="Times New Roman"/>
        </w:rPr>
        <w:t xml:space="preserve"> invaluable to the development of the next generation of ATF special agents</w:t>
      </w:r>
      <w:r>
        <w:rPr>
          <w:rFonts w:ascii="Times New Roman" w:hAnsi="Times New Roman" w:cs="Times New Roman"/>
        </w:rPr>
        <w:t xml:space="preserve"> and ATF must strategically address this issue now to allow new</w:t>
      </w:r>
      <w:r w:rsidR="00D11A72">
        <w:rPr>
          <w:rFonts w:ascii="Times New Roman" w:hAnsi="Times New Roman" w:cs="Times New Roman"/>
        </w:rPr>
        <w:t>er</w:t>
      </w:r>
      <w:r>
        <w:rPr>
          <w:rFonts w:ascii="Times New Roman" w:hAnsi="Times New Roman" w:cs="Times New Roman"/>
        </w:rPr>
        <w:t xml:space="preserve"> special agents to benefit from the existing experience base.  All special agents-in-charge (SACs) will be eligible to retire by November 2017.  Currently, 63 percent of ATF’s management cadre consists of special agents.</w:t>
      </w:r>
    </w:p>
    <w:p w:rsidR="006B1534" w:rsidRPr="000354E3" w:rsidRDefault="006B1534" w:rsidP="006B1534">
      <w:pPr>
        <w:pStyle w:val="Default"/>
        <w:rPr>
          <w:rFonts w:ascii="Times New Roman" w:hAnsi="Times New Roman" w:cs="Times New Roman"/>
          <w:bCs/>
        </w:rPr>
      </w:pPr>
    </w:p>
    <w:p w:rsidR="006B1534" w:rsidRDefault="006B1534" w:rsidP="006B1534">
      <w:pPr>
        <w:spacing w:after="240"/>
        <w:rPr>
          <w:bCs/>
        </w:rPr>
      </w:pPr>
      <w:r w:rsidRPr="00265432">
        <w:rPr>
          <w:bCs/>
        </w:rPr>
        <w:t xml:space="preserve">ATF will </w:t>
      </w:r>
      <w:r>
        <w:rPr>
          <w:bCs/>
        </w:rPr>
        <w:t>manage this personnel transition through continued hiring and through succession management and training, during the initial probationary training period for ATF special agents.</w:t>
      </w:r>
      <w:r w:rsidRPr="00265432">
        <w:rPr>
          <w:bCs/>
        </w:rPr>
        <w:t xml:space="preserve">  </w:t>
      </w:r>
    </w:p>
    <w:p w:rsidR="006B1534" w:rsidRDefault="006B1534" w:rsidP="006B1534">
      <w:pPr>
        <w:rPr>
          <w:bCs/>
        </w:rPr>
      </w:pPr>
      <w:r>
        <w:t>Under the Frontline business model ATF will be planning and executing the appropriate responses to intelligence-derived assessments, which will culminate in ATF conducting intelligence-led investigations and inspections consistently throughout the field.  This approach is the essence of ATF’s Frontline business model.  Targeted, focused investigations and inspections will allow ATF field offices to prioritize their enforcement efforts across the nation in accordance with established strategic goals and plans. These efforts include reinforcing the intelligence capacity in the field divisions and at Bureau Headquarters. To enhance this ability ATF is targeting IT resources to be devoted to the intelligence mission, and pursuing greater connectivity to the larger intelligence and law enforcement community, through the Organized Crime Drug Enforcement Task Force (OCDETF) Fusion Center and the El Paso Intelligence Center, as well as the 50 state fusion centers</w:t>
      </w:r>
      <w:r>
        <w:rPr>
          <w:bCs/>
        </w:rPr>
        <w:t xml:space="preserve">.  </w:t>
      </w:r>
    </w:p>
    <w:p w:rsidR="006B1534" w:rsidRDefault="006B1534" w:rsidP="006B1534">
      <w:pPr>
        <w:rPr>
          <w:bCs/>
        </w:rPr>
      </w:pPr>
    </w:p>
    <w:p w:rsidR="006B1534" w:rsidRDefault="006B1534" w:rsidP="006B1534">
      <w:r>
        <w:rPr>
          <w:bCs/>
        </w:rPr>
        <w:t xml:space="preserve">ATF is implementing internal process improvements to address resource placement in order to ensure efficiency in resource allocation. To be successful in the newly adopted Frontline endeavor, ATF will more actively make intelligence-led decisions concerning the deployment of its resources, particularly in the areas of professional development, talent management, temporary duty travel, and permanent change of station (PCS) costs.  Transitioning to an intelligence-led approach will require training for all current and newly hired personnel on the integration of law enforcement and intelligence capabilities.  The individual skills and talents of ATF’s workforce will be harnessed and managed, including the identification and professional development of future leaders within ATF.  Under the intelligence-led approach and Frontline business model, these resources will be strategically deployed to address identified threats across the nation.  </w:t>
      </w:r>
      <w:r w:rsidDel="0013177A">
        <w:rPr>
          <w:bCs/>
        </w:rPr>
        <w:t xml:space="preserve"> </w:t>
      </w:r>
    </w:p>
    <w:p w:rsidR="00752EAA" w:rsidRDefault="00752EAA" w:rsidP="00A635D0">
      <w:pPr>
        <w:rPr>
          <w:bCs/>
        </w:rPr>
      </w:pPr>
    </w:p>
    <w:p w:rsidR="008F6875" w:rsidRDefault="00265432" w:rsidP="002E1130">
      <w:pPr>
        <w:pStyle w:val="BodyText"/>
        <w:keepNext/>
      </w:pPr>
      <w:r w:rsidRPr="00265432">
        <w:rPr>
          <w:b/>
          <w:bCs/>
          <w:szCs w:val="24"/>
        </w:rPr>
        <w:lastRenderedPageBreak/>
        <w:t xml:space="preserve">D.  </w:t>
      </w:r>
      <w:r w:rsidRPr="00265432">
        <w:rPr>
          <w:b/>
        </w:rPr>
        <w:t>FY 2014 Adjustments-to-Base (ATBs)</w:t>
      </w:r>
      <w:r w:rsidRPr="00265432">
        <w:t xml:space="preserve"> </w:t>
      </w:r>
    </w:p>
    <w:p w:rsidR="00515532" w:rsidRDefault="00515532" w:rsidP="002E1130">
      <w:pPr>
        <w:pStyle w:val="BodyText"/>
        <w:keepNext/>
      </w:pPr>
    </w:p>
    <w:p w:rsidR="00683CFD" w:rsidRDefault="00265432" w:rsidP="00683CFD">
      <w:r w:rsidRPr="00265432">
        <w:t>ATF requests $</w:t>
      </w:r>
      <w:r w:rsidR="002B4322">
        <w:t>14,587,000</w:t>
      </w:r>
      <w:r w:rsidR="00A9471B">
        <w:t xml:space="preserve"> </w:t>
      </w:r>
      <w:r w:rsidRPr="00265432">
        <w:t xml:space="preserve">in net </w:t>
      </w:r>
      <w:r w:rsidR="00774BC9">
        <w:t xml:space="preserve">ATBs </w:t>
      </w:r>
      <w:r w:rsidRPr="00265432">
        <w:t xml:space="preserve">to </w:t>
      </w:r>
      <w:r w:rsidR="00A9471B">
        <w:t>support</w:t>
      </w:r>
      <w:r w:rsidRPr="00265432">
        <w:t xml:space="preserve"> current services levels in core mission areas of law enforcement operations and </w:t>
      </w:r>
      <w:r w:rsidR="00542F87">
        <w:t>investigative</w:t>
      </w:r>
      <w:r w:rsidRPr="00265432">
        <w:t xml:space="preserve"> </w:t>
      </w:r>
      <w:r w:rsidR="00397503">
        <w:t xml:space="preserve">support </w:t>
      </w:r>
      <w:r w:rsidRPr="00265432">
        <w:t>services.  These resources are necessary to continue meeting critical Administration priorities in combating firearms violence by gangs</w:t>
      </w:r>
      <w:r w:rsidR="0062527B" w:rsidRPr="00265432">
        <w:t>, as</w:t>
      </w:r>
      <w:r w:rsidRPr="00265432">
        <w:t xml:space="preserve"> well as continuing with aggressive firearms trafficking investigative efforts</w:t>
      </w:r>
      <w:r w:rsidR="00A865E5">
        <w:t>.  These investigative efforts include:</w:t>
      </w:r>
      <w:r w:rsidRPr="00265432">
        <w:t xml:space="preserve"> enforcement of </w:t>
      </w:r>
      <w:r w:rsidR="002E3EAB">
        <w:t>Federal</w:t>
      </w:r>
      <w:r w:rsidRPr="00265432">
        <w:t xml:space="preserve"> firearms and explosives laws, arson enforcement activities, and regulation of the</w:t>
      </w:r>
      <w:r w:rsidR="008E772C">
        <w:t xml:space="preserve"> firearms and explosives</w:t>
      </w:r>
      <w:r w:rsidRPr="00265432">
        <w:t xml:space="preserve"> industries.  </w:t>
      </w:r>
      <w:r w:rsidR="00EB1B1C">
        <w:t>ATF</w:t>
      </w:r>
      <w:r w:rsidR="00686EFB">
        <w:t xml:space="preserve"> </w:t>
      </w:r>
      <w:r w:rsidR="00603E45">
        <w:t>is requesting</w:t>
      </w:r>
      <w:r w:rsidRPr="00265432">
        <w:t xml:space="preserve"> ATBs that </w:t>
      </w:r>
      <w:r w:rsidR="00603E45">
        <w:t xml:space="preserve">support critical base expenses such as </w:t>
      </w:r>
      <w:r w:rsidRPr="00265432">
        <w:t>fund</w:t>
      </w:r>
      <w:r w:rsidR="00603E45">
        <w:t>ing</w:t>
      </w:r>
      <w:r w:rsidRPr="00265432">
        <w:t xml:space="preserve"> the government’s s</w:t>
      </w:r>
      <w:r w:rsidR="00EB1B1C">
        <w:t>hare of employee benefits,</w:t>
      </w:r>
      <w:r w:rsidRPr="00265432">
        <w:t xml:space="preserve"> </w:t>
      </w:r>
      <w:r w:rsidR="004D509A">
        <w:t>DHS Security costs</w:t>
      </w:r>
      <w:r w:rsidRPr="00265432">
        <w:t>, costs for overseas operations and operations and maintena</w:t>
      </w:r>
      <w:r w:rsidR="00EB1B1C">
        <w:t xml:space="preserve">nce for wireless communications. </w:t>
      </w:r>
      <w:r w:rsidRPr="00265432">
        <w:t xml:space="preserve"> </w:t>
      </w:r>
    </w:p>
    <w:p w:rsidR="00EB1B1C" w:rsidRPr="00BA6374" w:rsidRDefault="00EB1B1C" w:rsidP="00683CFD"/>
    <w:p w:rsidR="00FF5A9E" w:rsidRDefault="00FF5A9E">
      <w:r>
        <w:br w:type="page"/>
      </w:r>
    </w:p>
    <w:p w:rsidR="008F6875" w:rsidRPr="00C967C3" w:rsidRDefault="00621813" w:rsidP="008F6875">
      <w:pPr>
        <w:pStyle w:val="xl33"/>
        <w:spacing w:beforeAutospacing="1" w:afterAutospacing="1"/>
        <w:jc w:val="left"/>
        <w:rPr>
          <w:rFonts w:ascii="Times New Roman" w:hAnsi="Times New Roman"/>
          <w:color w:val="FF0000"/>
          <w:szCs w:val="24"/>
        </w:rPr>
      </w:pPr>
      <w:r>
        <w:rPr>
          <w:rFonts w:ascii="Times New Roman" w:hAnsi="Times New Roman"/>
          <w:szCs w:val="24"/>
        </w:rPr>
        <w:lastRenderedPageBreak/>
        <w:t>E</w:t>
      </w:r>
      <w:r w:rsidR="008F6875" w:rsidRPr="00006CDB">
        <w:rPr>
          <w:rFonts w:ascii="Times New Roman" w:hAnsi="Times New Roman"/>
          <w:szCs w:val="24"/>
        </w:rPr>
        <w:t xml:space="preserve">. </w:t>
      </w:r>
      <w:r w:rsidR="008F6875">
        <w:rPr>
          <w:rFonts w:ascii="Times New Roman" w:hAnsi="Times New Roman"/>
          <w:szCs w:val="24"/>
        </w:rPr>
        <w:t xml:space="preserve"> </w:t>
      </w:r>
      <w:r w:rsidR="008F6875" w:rsidRPr="00006CDB">
        <w:rPr>
          <w:rFonts w:ascii="Times New Roman" w:hAnsi="Times New Roman"/>
          <w:szCs w:val="24"/>
        </w:rPr>
        <w:t>FY 201</w:t>
      </w:r>
      <w:r w:rsidR="008F6875">
        <w:rPr>
          <w:rFonts w:ascii="Times New Roman" w:hAnsi="Times New Roman"/>
          <w:szCs w:val="24"/>
        </w:rPr>
        <w:t>4</w:t>
      </w:r>
      <w:r w:rsidR="008F6875" w:rsidRPr="00006CDB">
        <w:rPr>
          <w:rFonts w:ascii="Times New Roman" w:hAnsi="Times New Roman"/>
          <w:szCs w:val="24"/>
        </w:rPr>
        <w:t xml:space="preserve"> Decision Unit Profile</w:t>
      </w:r>
      <w:r w:rsidR="008F6875">
        <w:rPr>
          <w:rFonts w:ascii="Times New Roman" w:hAnsi="Times New Roman"/>
          <w:szCs w:val="24"/>
        </w:rPr>
        <w:t xml:space="preserve">: </w:t>
      </w:r>
    </w:p>
    <w:p w:rsidR="008F6875" w:rsidRDefault="008F6875" w:rsidP="008F6875">
      <w:r>
        <w:t xml:space="preserve">In FY 2014, ATF is </w:t>
      </w:r>
      <w:r w:rsidR="00AB2B69">
        <w:t>restructuring</w:t>
      </w:r>
      <w:r w:rsidR="003D7F00">
        <w:t xml:space="preserve"> </w:t>
      </w:r>
      <w:r>
        <w:t xml:space="preserve">its </w:t>
      </w:r>
      <w:r w:rsidR="00AB2B69">
        <w:t>B</w:t>
      </w:r>
      <w:r w:rsidR="00CF4E84">
        <w:t xml:space="preserve">udget </w:t>
      </w:r>
      <w:r>
        <w:t>Decision Units from Firearms, Arson &amp; Explosives</w:t>
      </w:r>
      <w:r w:rsidR="00CF4E84">
        <w:t>,</w:t>
      </w:r>
      <w:r>
        <w:t xml:space="preserve"> and Alcohol &amp; Tobacco to a framework consisting of Law Enforcement Operations and </w:t>
      </w:r>
      <w:r w:rsidR="004106A5">
        <w:t xml:space="preserve">Investigative </w:t>
      </w:r>
      <w:r w:rsidR="00397503">
        <w:t xml:space="preserve">Support </w:t>
      </w:r>
      <w:r>
        <w:t xml:space="preserve">Services.  This new framework better aligns </w:t>
      </w:r>
      <w:r w:rsidR="00A865E5">
        <w:t xml:space="preserve">with </w:t>
      </w:r>
      <w:r>
        <w:t>ATF’s core mission responsibilities of combating violent crime</w:t>
      </w:r>
      <w:r w:rsidR="00A865E5">
        <w:t xml:space="preserve"> </w:t>
      </w:r>
      <w:r w:rsidR="00B71E25">
        <w:t xml:space="preserve">and </w:t>
      </w:r>
      <w:r>
        <w:t xml:space="preserve">protecting the public.  </w:t>
      </w:r>
      <w:r w:rsidR="00914DB8">
        <w:t xml:space="preserve">Under the new decision unit structure, ATF will also continue to support DOJ’s effort in preventing terrorism.  </w:t>
      </w:r>
      <w:r w:rsidRPr="00DF650A">
        <w:t>Th</w:t>
      </w:r>
      <w:r>
        <w:t>e</w:t>
      </w:r>
      <w:r w:rsidRPr="00DF650A">
        <w:t xml:space="preserve"> </w:t>
      </w:r>
      <w:r>
        <w:t xml:space="preserve">revised </w:t>
      </w:r>
      <w:r w:rsidRPr="00DF650A">
        <w:t>resource alignment is reflected below.</w:t>
      </w:r>
    </w:p>
    <w:p w:rsidR="003B345D" w:rsidRDefault="003B345D" w:rsidP="008F6875"/>
    <w:p w:rsidR="003B345D" w:rsidRPr="003A6E33" w:rsidRDefault="003B345D" w:rsidP="003B345D">
      <w:pPr>
        <w:pStyle w:val="Heading1"/>
        <w:spacing w:before="100" w:beforeAutospacing="1" w:after="100" w:afterAutospacing="1"/>
        <w:rPr>
          <w:color w:val="FF0000"/>
        </w:rPr>
      </w:pPr>
      <w:r w:rsidRPr="00762F09">
        <w:rPr>
          <w:rFonts w:ascii="Times New Roman" w:hAnsi="Times New Roman"/>
          <w:szCs w:val="24"/>
        </w:rPr>
        <w:t>ATF Resource Profile FY 201</w:t>
      </w:r>
      <w:r>
        <w:rPr>
          <w:rFonts w:ascii="Times New Roman" w:hAnsi="Times New Roman"/>
          <w:szCs w:val="24"/>
        </w:rPr>
        <w:t xml:space="preserve">4    </w:t>
      </w:r>
    </w:p>
    <w:p w:rsidR="003B345D" w:rsidRPr="00762F09" w:rsidRDefault="003B345D" w:rsidP="003B345D">
      <w:pPr>
        <w:pStyle w:val="Header"/>
        <w:tabs>
          <w:tab w:val="clear" w:pos="4320"/>
          <w:tab w:val="clear" w:pos="8640"/>
        </w:tabs>
        <w:spacing w:before="100" w:beforeAutospacing="1" w:after="100" w:afterAutospacing="1"/>
        <w:jc w:val="center"/>
        <w:rPr>
          <w:b/>
          <w:bCs/>
        </w:rPr>
      </w:pPr>
      <w:r w:rsidRPr="00762F09">
        <w:rPr>
          <w:b/>
          <w:bCs/>
        </w:rPr>
        <w:t>Resources in Support of DOJ Strategic Goals 1 &amp; 2</w:t>
      </w:r>
    </w:p>
    <w:tbl>
      <w:tblPr>
        <w:tblW w:w="9973" w:type="dxa"/>
        <w:tblInd w:w="93" w:type="dxa"/>
        <w:tblLayout w:type="fixed"/>
        <w:tblLook w:val="04A0"/>
      </w:tblPr>
      <w:tblGrid>
        <w:gridCol w:w="1724"/>
        <w:gridCol w:w="1310"/>
        <w:gridCol w:w="1230"/>
        <w:gridCol w:w="71"/>
        <w:gridCol w:w="1350"/>
        <w:gridCol w:w="1530"/>
        <w:gridCol w:w="1277"/>
        <w:gridCol w:w="1481"/>
      </w:tblGrid>
      <w:tr w:rsidR="003B345D" w:rsidRPr="00BC21E4" w:rsidTr="00504A36">
        <w:trPr>
          <w:trHeight w:val="970"/>
        </w:trPr>
        <w:tc>
          <w:tcPr>
            <w:tcW w:w="1724" w:type="dxa"/>
            <w:tcBorders>
              <w:top w:val="nil"/>
              <w:left w:val="nil"/>
              <w:bottom w:val="double" w:sz="6" w:space="0" w:color="999999"/>
              <w:right w:val="single" w:sz="8" w:space="0" w:color="999999"/>
            </w:tcBorders>
            <w:shd w:val="clear" w:color="auto" w:fill="auto"/>
            <w:vAlign w:val="bottom"/>
            <w:hideMark/>
          </w:tcPr>
          <w:p w:rsidR="003B345D" w:rsidRPr="00BC21E4" w:rsidRDefault="003B345D" w:rsidP="003B345D">
            <w:pPr>
              <w:jc w:val="center"/>
              <w:rPr>
                <w:b/>
                <w:bCs/>
                <w:color w:val="000000"/>
              </w:rPr>
            </w:pPr>
            <w:r w:rsidRPr="00BC21E4">
              <w:rPr>
                <w:b/>
                <w:bCs/>
                <w:color w:val="000000"/>
              </w:rPr>
              <w:t>Decision Unit</w:t>
            </w:r>
          </w:p>
        </w:tc>
        <w:tc>
          <w:tcPr>
            <w:tcW w:w="1310" w:type="dxa"/>
            <w:tcBorders>
              <w:top w:val="nil"/>
              <w:left w:val="nil"/>
              <w:bottom w:val="double" w:sz="6" w:space="0" w:color="999999"/>
              <w:right w:val="nil"/>
            </w:tcBorders>
            <w:shd w:val="clear" w:color="auto" w:fill="auto"/>
            <w:vAlign w:val="bottom"/>
            <w:hideMark/>
          </w:tcPr>
          <w:p w:rsidR="003B345D" w:rsidRDefault="003B345D" w:rsidP="003B345D">
            <w:pPr>
              <w:jc w:val="center"/>
              <w:rPr>
                <w:b/>
                <w:bCs/>
                <w:color w:val="000000"/>
              </w:rPr>
            </w:pPr>
            <w:r w:rsidRPr="00BC21E4">
              <w:rPr>
                <w:b/>
                <w:bCs/>
                <w:color w:val="000000"/>
              </w:rPr>
              <w:t>FY 2012 Enacted</w:t>
            </w:r>
            <w:r w:rsidRPr="00BC21E4">
              <w:rPr>
                <w:b/>
                <w:bCs/>
                <w:color w:val="000000"/>
              </w:rPr>
              <w:br/>
              <w:t>FTE</w:t>
            </w:r>
          </w:p>
          <w:p w:rsidR="00D11A72" w:rsidRPr="00BC21E4" w:rsidRDefault="00D11A72" w:rsidP="003B345D">
            <w:pPr>
              <w:jc w:val="center"/>
              <w:rPr>
                <w:b/>
                <w:bCs/>
                <w:color w:val="000000"/>
              </w:rPr>
            </w:pPr>
            <w:r>
              <w:rPr>
                <w:b/>
                <w:bCs/>
                <w:color w:val="000000"/>
              </w:rPr>
              <w:t>(Direct)</w:t>
            </w:r>
          </w:p>
        </w:tc>
        <w:tc>
          <w:tcPr>
            <w:tcW w:w="1301" w:type="dxa"/>
            <w:gridSpan w:val="2"/>
            <w:tcBorders>
              <w:top w:val="nil"/>
              <w:left w:val="nil"/>
              <w:bottom w:val="double" w:sz="6" w:space="0" w:color="999999"/>
              <w:right w:val="nil"/>
            </w:tcBorders>
            <w:shd w:val="clear" w:color="auto" w:fill="auto"/>
            <w:vAlign w:val="bottom"/>
            <w:hideMark/>
          </w:tcPr>
          <w:p w:rsidR="003B345D" w:rsidRPr="00BC21E4" w:rsidRDefault="003B345D" w:rsidP="003B345D">
            <w:pPr>
              <w:jc w:val="center"/>
              <w:rPr>
                <w:b/>
                <w:bCs/>
                <w:color w:val="000000"/>
              </w:rPr>
            </w:pPr>
            <w:r w:rsidRPr="00BC21E4">
              <w:rPr>
                <w:b/>
                <w:bCs/>
                <w:color w:val="000000"/>
              </w:rPr>
              <w:t>FY 2012 Enacted ($000)</w:t>
            </w:r>
          </w:p>
        </w:tc>
        <w:tc>
          <w:tcPr>
            <w:tcW w:w="1350" w:type="dxa"/>
            <w:tcBorders>
              <w:top w:val="nil"/>
              <w:left w:val="nil"/>
              <w:bottom w:val="double" w:sz="6" w:space="0" w:color="999999"/>
              <w:right w:val="nil"/>
            </w:tcBorders>
            <w:shd w:val="clear" w:color="auto" w:fill="auto"/>
            <w:vAlign w:val="bottom"/>
            <w:hideMark/>
          </w:tcPr>
          <w:p w:rsidR="00504A36" w:rsidRDefault="003B345D" w:rsidP="003B345D">
            <w:pPr>
              <w:jc w:val="center"/>
              <w:rPr>
                <w:b/>
                <w:bCs/>
                <w:color w:val="000000"/>
              </w:rPr>
            </w:pPr>
            <w:r w:rsidRPr="00BC21E4">
              <w:rPr>
                <w:b/>
                <w:bCs/>
                <w:color w:val="000000"/>
              </w:rPr>
              <w:t>FY 2013</w:t>
            </w:r>
          </w:p>
          <w:p w:rsidR="00504A36" w:rsidRDefault="00504A36" w:rsidP="003B345D">
            <w:pPr>
              <w:jc w:val="center"/>
              <w:rPr>
                <w:b/>
                <w:bCs/>
                <w:color w:val="000000"/>
              </w:rPr>
            </w:pPr>
            <w:r>
              <w:rPr>
                <w:b/>
                <w:bCs/>
                <w:color w:val="000000"/>
              </w:rPr>
              <w:t xml:space="preserve"> </w:t>
            </w:r>
            <w:r w:rsidR="003B345D" w:rsidRPr="00BC21E4">
              <w:rPr>
                <w:b/>
                <w:bCs/>
                <w:color w:val="000000"/>
              </w:rPr>
              <w:t xml:space="preserve">CR </w:t>
            </w:r>
          </w:p>
          <w:p w:rsidR="003B345D" w:rsidRDefault="003B345D" w:rsidP="003B345D">
            <w:pPr>
              <w:jc w:val="center"/>
              <w:rPr>
                <w:b/>
                <w:bCs/>
                <w:color w:val="000000"/>
              </w:rPr>
            </w:pPr>
            <w:r w:rsidRPr="00BC21E4">
              <w:rPr>
                <w:b/>
                <w:bCs/>
                <w:color w:val="000000"/>
              </w:rPr>
              <w:t>FTE</w:t>
            </w:r>
          </w:p>
          <w:p w:rsidR="00D11A72" w:rsidRPr="00BC21E4" w:rsidRDefault="00D11A72" w:rsidP="003B345D">
            <w:pPr>
              <w:jc w:val="center"/>
              <w:rPr>
                <w:b/>
                <w:bCs/>
                <w:color w:val="000000"/>
              </w:rPr>
            </w:pPr>
            <w:r>
              <w:rPr>
                <w:b/>
                <w:bCs/>
                <w:color w:val="000000"/>
              </w:rPr>
              <w:t>(Direct)</w:t>
            </w:r>
          </w:p>
        </w:tc>
        <w:tc>
          <w:tcPr>
            <w:tcW w:w="1530" w:type="dxa"/>
            <w:tcBorders>
              <w:top w:val="nil"/>
              <w:left w:val="nil"/>
              <w:bottom w:val="double" w:sz="6" w:space="0" w:color="999999"/>
              <w:right w:val="nil"/>
            </w:tcBorders>
            <w:shd w:val="clear" w:color="auto" w:fill="auto"/>
            <w:vAlign w:val="bottom"/>
            <w:hideMark/>
          </w:tcPr>
          <w:p w:rsidR="00504A36" w:rsidRDefault="003B345D" w:rsidP="003B345D">
            <w:pPr>
              <w:jc w:val="center"/>
              <w:rPr>
                <w:b/>
                <w:bCs/>
                <w:color w:val="000000"/>
              </w:rPr>
            </w:pPr>
            <w:r w:rsidRPr="00BC21E4">
              <w:rPr>
                <w:b/>
                <w:bCs/>
                <w:color w:val="000000"/>
              </w:rPr>
              <w:t xml:space="preserve">FY 2013 </w:t>
            </w:r>
          </w:p>
          <w:p w:rsidR="00504A36" w:rsidRDefault="003B345D" w:rsidP="003B345D">
            <w:pPr>
              <w:jc w:val="center"/>
              <w:rPr>
                <w:b/>
                <w:bCs/>
                <w:color w:val="000000"/>
              </w:rPr>
            </w:pPr>
            <w:r w:rsidRPr="00BC21E4">
              <w:rPr>
                <w:b/>
                <w:bCs/>
                <w:color w:val="000000"/>
              </w:rPr>
              <w:t xml:space="preserve">CR </w:t>
            </w:r>
          </w:p>
          <w:p w:rsidR="003B345D" w:rsidRPr="00BC21E4" w:rsidRDefault="003B345D" w:rsidP="003B345D">
            <w:pPr>
              <w:jc w:val="center"/>
              <w:rPr>
                <w:b/>
                <w:bCs/>
                <w:color w:val="000000"/>
              </w:rPr>
            </w:pPr>
            <w:r w:rsidRPr="00BC21E4">
              <w:rPr>
                <w:b/>
                <w:bCs/>
                <w:color w:val="000000"/>
              </w:rPr>
              <w:t>($000)</w:t>
            </w:r>
          </w:p>
        </w:tc>
        <w:tc>
          <w:tcPr>
            <w:tcW w:w="1277" w:type="dxa"/>
            <w:tcBorders>
              <w:top w:val="nil"/>
              <w:left w:val="nil"/>
              <w:bottom w:val="double" w:sz="6" w:space="0" w:color="999999"/>
              <w:right w:val="nil"/>
            </w:tcBorders>
            <w:shd w:val="clear" w:color="auto" w:fill="auto"/>
            <w:vAlign w:val="bottom"/>
            <w:hideMark/>
          </w:tcPr>
          <w:p w:rsidR="003B345D" w:rsidRDefault="003B345D" w:rsidP="003B345D">
            <w:pPr>
              <w:jc w:val="center"/>
              <w:rPr>
                <w:b/>
                <w:bCs/>
                <w:color w:val="000000"/>
              </w:rPr>
            </w:pPr>
            <w:r w:rsidRPr="00BC21E4">
              <w:rPr>
                <w:b/>
                <w:bCs/>
                <w:color w:val="000000"/>
              </w:rPr>
              <w:t>FY 2014 Request FTE</w:t>
            </w:r>
          </w:p>
          <w:p w:rsidR="00D11A72" w:rsidRPr="00BC21E4" w:rsidRDefault="00D11A72" w:rsidP="003B345D">
            <w:pPr>
              <w:jc w:val="center"/>
              <w:rPr>
                <w:b/>
                <w:bCs/>
                <w:color w:val="000000"/>
              </w:rPr>
            </w:pPr>
            <w:r>
              <w:rPr>
                <w:b/>
                <w:bCs/>
                <w:color w:val="000000"/>
              </w:rPr>
              <w:t>(Direct)</w:t>
            </w:r>
          </w:p>
        </w:tc>
        <w:tc>
          <w:tcPr>
            <w:tcW w:w="1481" w:type="dxa"/>
            <w:tcBorders>
              <w:top w:val="nil"/>
              <w:left w:val="nil"/>
              <w:bottom w:val="double" w:sz="6" w:space="0" w:color="999999"/>
              <w:right w:val="nil"/>
            </w:tcBorders>
            <w:shd w:val="clear" w:color="auto" w:fill="auto"/>
            <w:vAlign w:val="bottom"/>
            <w:hideMark/>
          </w:tcPr>
          <w:p w:rsidR="003B345D" w:rsidRPr="00BC21E4" w:rsidRDefault="003B345D" w:rsidP="003B345D">
            <w:pPr>
              <w:jc w:val="center"/>
              <w:rPr>
                <w:b/>
                <w:bCs/>
                <w:color w:val="000000"/>
              </w:rPr>
            </w:pPr>
            <w:r w:rsidRPr="00BC21E4">
              <w:rPr>
                <w:b/>
                <w:bCs/>
                <w:color w:val="000000"/>
              </w:rPr>
              <w:t>FY 2014 Request ($000)</w:t>
            </w:r>
          </w:p>
        </w:tc>
      </w:tr>
      <w:tr w:rsidR="003B345D" w:rsidRPr="000E0811" w:rsidTr="00504A36">
        <w:trPr>
          <w:trHeight w:val="621"/>
        </w:trPr>
        <w:tc>
          <w:tcPr>
            <w:tcW w:w="1724" w:type="dxa"/>
            <w:tcBorders>
              <w:top w:val="nil"/>
              <w:left w:val="nil"/>
              <w:bottom w:val="nil"/>
              <w:right w:val="single" w:sz="8" w:space="0" w:color="999999"/>
            </w:tcBorders>
            <w:shd w:val="clear" w:color="auto" w:fill="auto"/>
            <w:vAlign w:val="bottom"/>
            <w:hideMark/>
          </w:tcPr>
          <w:p w:rsidR="003B345D" w:rsidRPr="000E0811" w:rsidRDefault="003B345D" w:rsidP="003B345D">
            <w:pPr>
              <w:jc w:val="center"/>
              <w:rPr>
                <w:b/>
                <w:color w:val="000000"/>
                <w:sz w:val="22"/>
                <w:szCs w:val="22"/>
              </w:rPr>
            </w:pPr>
            <w:r w:rsidRPr="000E0811">
              <w:rPr>
                <w:b/>
                <w:color w:val="000000"/>
                <w:sz w:val="22"/>
                <w:szCs w:val="22"/>
              </w:rPr>
              <w:t>Law Enforcement Operations</w:t>
            </w:r>
          </w:p>
        </w:tc>
        <w:tc>
          <w:tcPr>
            <w:tcW w:w="1310" w:type="dxa"/>
            <w:tcBorders>
              <w:top w:val="nil"/>
              <w:left w:val="nil"/>
              <w:bottom w:val="nil"/>
              <w:right w:val="nil"/>
            </w:tcBorders>
            <w:shd w:val="clear" w:color="auto" w:fill="auto"/>
            <w:vAlign w:val="bottom"/>
            <w:hideMark/>
          </w:tcPr>
          <w:p w:rsidR="003B345D" w:rsidRPr="000E0811" w:rsidRDefault="003B345D" w:rsidP="003B345D">
            <w:pPr>
              <w:jc w:val="center"/>
              <w:rPr>
                <w:b/>
                <w:color w:val="000000"/>
                <w:sz w:val="22"/>
                <w:szCs w:val="22"/>
              </w:rPr>
            </w:pPr>
            <w:r w:rsidRPr="000E0811">
              <w:rPr>
                <w:b/>
                <w:color w:val="000000"/>
                <w:sz w:val="22"/>
                <w:szCs w:val="22"/>
              </w:rPr>
              <w:t>4,3</w:t>
            </w:r>
            <w:r w:rsidR="007D6E04">
              <w:rPr>
                <w:b/>
                <w:color w:val="000000"/>
                <w:sz w:val="22"/>
                <w:szCs w:val="22"/>
              </w:rPr>
              <w:t>45</w:t>
            </w:r>
          </w:p>
        </w:tc>
        <w:tc>
          <w:tcPr>
            <w:tcW w:w="1230" w:type="dxa"/>
            <w:tcBorders>
              <w:top w:val="nil"/>
              <w:left w:val="nil"/>
              <w:bottom w:val="nil"/>
              <w:right w:val="nil"/>
            </w:tcBorders>
            <w:shd w:val="clear" w:color="auto" w:fill="auto"/>
            <w:vAlign w:val="bottom"/>
            <w:hideMark/>
          </w:tcPr>
          <w:p w:rsidR="003B345D" w:rsidRPr="000E0811" w:rsidRDefault="003B345D" w:rsidP="003B345D">
            <w:pPr>
              <w:jc w:val="center"/>
              <w:rPr>
                <w:b/>
                <w:color w:val="000000"/>
                <w:sz w:val="22"/>
                <w:szCs w:val="22"/>
              </w:rPr>
            </w:pPr>
            <w:r w:rsidRPr="000E0811">
              <w:rPr>
                <w:b/>
                <w:color w:val="000000"/>
                <w:sz w:val="22"/>
                <w:szCs w:val="22"/>
              </w:rPr>
              <w:t>$996,1</w:t>
            </w:r>
            <w:r w:rsidR="00473D14">
              <w:rPr>
                <w:b/>
                <w:color w:val="000000"/>
                <w:sz w:val="22"/>
                <w:szCs w:val="22"/>
              </w:rPr>
              <w:t>72</w:t>
            </w:r>
          </w:p>
        </w:tc>
        <w:tc>
          <w:tcPr>
            <w:tcW w:w="1421" w:type="dxa"/>
            <w:gridSpan w:val="2"/>
            <w:tcBorders>
              <w:top w:val="nil"/>
              <w:left w:val="nil"/>
              <w:bottom w:val="nil"/>
              <w:right w:val="nil"/>
            </w:tcBorders>
            <w:shd w:val="clear" w:color="auto" w:fill="auto"/>
            <w:vAlign w:val="bottom"/>
            <w:hideMark/>
          </w:tcPr>
          <w:p w:rsidR="003B345D" w:rsidRPr="000E0811" w:rsidRDefault="003B345D" w:rsidP="003B345D">
            <w:pPr>
              <w:jc w:val="center"/>
              <w:rPr>
                <w:b/>
                <w:color w:val="000000"/>
                <w:sz w:val="22"/>
                <w:szCs w:val="22"/>
              </w:rPr>
            </w:pPr>
            <w:r w:rsidRPr="000E0811">
              <w:rPr>
                <w:b/>
                <w:color w:val="000000"/>
                <w:sz w:val="22"/>
                <w:szCs w:val="22"/>
              </w:rPr>
              <w:t>4,10</w:t>
            </w:r>
            <w:r w:rsidR="00473D14">
              <w:rPr>
                <w:b/>
                <w:color w:val="000000"/>
                <w:sz w:val="22"/>
                <w:szCs w:val="22"/>
              </w:rPr>
              <w:t>6</w:t>
            </w:r>
          </w:p>
        </w:tc>
        <w:tc>
          <w:tcPr>
            <w:tcW w:w="1530" w:type="dxa"/>
            <w:tcBorders>
              <w:top w:val="nil"/>
              <w:left w:val="nil"/>
              <w:bottom w:val="nil"/>
              <w:right w:val="nil"/>
            </w:tcBorders>
            <w:shd w:val="clear" w:color="auto" w:fill="auto"/>
            <w:vAlign w:val="bottom"/>
            <w:hideMark/>
          </w:tcPr>
          <w:p w:rsidR="003B345D" w:rsidRPr="000E0811" w:rsidRDefault="003B345D" w:rsidP="007D6E04">
            <w:pPr>
              <w:jc w:val="center"/>
              <w:rPr>
                <w:b/>
                <w:color w:val="000000"/>
                <w:sz w:val="22"/>
                <w:szCs w:val="22"/>
              </w:rPr>
            </w:pPr>
            <w:r w:rsidRPr="000E0811">
              <w:rPr>
                <w:b/>
                <w:color w:val="000000"/>
                <w:sz w:val="22"/>
                <w:szCs w:val="22"/>
              </w:rPr>
              <w:t>$</w:t>
            </w:r>
            <w:r w:rsidR="007D6E04">
              <w:rPr>
                <w:b/>
                <w:color w:val="000000"/>
                <w:sz w:val="22"/>
                <w:szCs w:val="22"/>
              </w:rPr>
              <w:t>1,002,4</w:t>
            </w:r>
            <w:r w:rsidR="00473D14">
              <w:rPr>
                <w:b/>
                <w:color w:val="000000"/>
                <w:sz w:val="22"/>
                <w:szCs w:val="22"/>
              </w:rPr>
              <w:t>29</w:t>
            </w:r>
          </w:p>
        </w:tc>
        <w:tc>
          <w:tcPr>
            <w:tcW w:w="1277" w:type="dxa"/>
            <w:tcBorders>
              <w:top w:val="nil"/>
              <w:left w:val="nil"/>
              <w:bottom w:val="nil"/>
              <w:right w:val="nil"/>
            </w:tcBorders>
            <w:shd w:val="clear" w:color="auto" w:fill="auto"/>
            <w:vAlign w:val="bottom"/>
            <w:hideMark/>
          </w:tcPr>
          <w:p w:rsidR="003B345D" w:rsidRPr="000E0811" w:rsidRDefault="003B345D" w:rsidP="003B345D">
            <w:pPr>
              <w:jc w:val="center"/>
              <w:rPr>
                <w:b/>
                <w:color w:val="000000"/>
                <w:sz w:val="22"/>
                <w:szCs w:val="22"/>
              </w:rPr>
            </w:pPr>
            <w:r w:rsidRPr="000E0811">
              <w:rPr>
                <w:b/>
                <w:color w:val="000000"/>
                <w:sz w:val="22"/>
                <w:szCs w:val="22"/>
              </w:rPr>
              <w:t>4,21</w:t>
            </w:r>
            <w:r w:rsidR="00473D14">
              <w:rPr>
                <w:b/>
                <w:color w:val="000000"/>
                <w:sz w:val="22"/>
                <w:szCs w:val="22"/>
              </w:rPr>
              <w:t>7</w:t>
            </w:r>
          </w:p>
        </w:tc>
        <w:tc>
          <w:tcPr>
            <w:tcW w:w="1481" w:type="dxa"/>
            <w:tcBorders>
              <w:top w:val="nil"/>
              <w:left w:val="nil"/>
              <w:bottom w:val="nil"/>
              <w:right w:val="nil"/>
            </w:tcBorders>
            <w:shd w:val="clear" w:color="auto" w:fill="auto"/>
            <w:vAlign w:val="bottom"/>
            <w:hideMark/>
          </w:tcPr>
          <w:p w:rsidR="003B345D" w:rsidRPr="000E0811" w:rsidRDefault="003B345D" w:rsidP="007D6E04">
            <w:pPr>
              <w:jc w:val="center"/>
              <w:rPr>
                <w:b/>
                <w:color w:val="000000"/>
                <w:sz w:val="22"/>
                <w:szCs w:val="22"/>
              </w:rPr>
            </w:pPr>
            <w:r w:rsidRPr="000E0811">
              <w:rPr>
                <w:b/>
                <w:color w:val="000000"/>
                <w:sz w:val="22"/>
                <w:szCs w:val="22"/>
              </w:rPr>
              <w:t>$1,0</w:t>
            </w:r>
            <w:r w:rsidR="007D6E04">
              <w:rPr>
                <w:b/>
                <w:color w:val="000000"/>
                <w:sz w:val="22"/>
                <w:szCs w:val="22"/>
              </w:rPr>
              <w:t>63</w:t>
            </w:r>
            <w:r w:rsidRPr="000E0811">
              <w:rPr>
                <w:b/>
                <w:color w:val="000000"/>
                <w:sz w:val="22"/>
                <w:szCs w:val="22"/>
              </w:rPr>
              <w:t>,</w:t>
            </w:r>
            <w:r w:rsidR="007D6E04">
              <w:rPr>
                <w:b/>
                <w:color w:val="000000"/>
                <w:sz w:val="22"/>
                <w:szCs w:val="22"/>
              </w:rPr>
              <w:t>16</w:t>
            </w:r>
            <w:r w:rsidR="00473D14">
              <w:rPr>
                <w:b/>
                <w:color w:val="000000"/>
                <w:sz w:val="22"/>
                <w:szCs w:val="22"/>
              </w:rPr>
              <w:t>4</w:t>
            </w:r>
          </w:p>
        </w:tc>
      </w:tr>
      <w:tr w:rsidR="003B345D" w:rsidRPr="00BC21E4" w:rsidTr="00504A36">
        <w:trPr>
          <w:trHeight w:val="303"/>
        </w:trPr>
        <w:tc>
          <w:tcPr>
            <w:tcW w:w="1724" w:type="dxa"/>
            <w:tcBorders>
              <w:top w:val="nil"/>
              <w:left w:val="nil"/>
              <w:bottom w:val="nil"/>
              <w:right w:val="single" w:sz="8" w:space="0" w:color="999999"/>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[Firearms Insp]</w:t>
            </w:r>
            <w:r>
              <w:rPr>
                <w:i/>
                <w:color w:val="000000"/>
                <w:sz w:val="18"/>
                <w:szCs w:val="18"/>
              </w:rPr>
              <w:t>*</w:t>
            </w:r>
          </w:p>
        </w:tc>
        <w:tc>
          <w:tcPr>
            <w:tcW w:w="1310"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[715]</w:t>
            </w:r>
          </w:p>
        </w:tc>
        <w:tc>
          <w:tcPr>
            <w:tcW w:w="1230"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[$149,927]</w:t>
            </w:r>
          </w:p>
        </w:tc>
        <w:tc>
          <w:tcPr>
            <w:tcW w:w="1421" w:type="dxa"/>
            <w:gridSpan w:val="2"/>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[715]</w:t>
            </w:r>
          </w:p>
        </w:tc>
        <w:tc>
          <w:tcPr>
            <w:tcW w:w="1530"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[$149,927]</w:t>
            </w:r>
          </w:p>
        </w:tc>
        <w:tc>
          <w:tcPr>
            <w:tcW w:w="1277"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[761]</w:t>
            </w:r>
          </w:p>
        </w:tc>
        <w:tc>
          <w:tcPr>
            <w:tcW w:w="1481"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[$153,690]</w:t>
            </w:r>
          </w:p>
        </w:tc>
      </w:tr>
      <w:tr w:rsidR="003B345D" w:rsidRPr="00BC21E4" w:rsidTr="00504A36">
        <w:trPr>
          <w:trHeight w:val="303"/>
        </w:trPr>
        <w:tc>
          <w:tcPr>
            <w:tcW w:w="1724" w:type="dxa"/>
            <w:tcBorders>
              <w:top w:val="nil"/>
              <w:left w:val="nil"/>
              <w:bottom w:val="nil"/>
              <w:right w:val="single" w:sz="8" w:space="0" w:color="999999"/>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[Explosives Insp]</w:t>
            </w:r>
            <w:r>
              <w:rPr>
                <w:i/>
                <w:color w:val="000000"/>
                <w:sz w:val="18"/>
                <w:szCs w:val="18"/>
              </w:rPr>
              <w:t>*</w:t>
            </w:r>
          </w:p>
        </w:tc>
        <w:tc>
          <w:tcPr>
            <w:tcW w:w="1310"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[226]</w:t>
            </w:r>
          </w:p>
        </w:tc>
        <w:tc>
          <w:tcPr>
            <w:tcW w:w="1230"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[$52,694]</w:t>
            </w:r>
          </w:p>
        </w:tc>
        <w:tc>
          <w:tcPr>
            <w:tcW w:w="1421" w:type="dxa"/>
            <w:gridSpan w:val="2"/>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[226]</w:t>
            </w:r>
          </w:p>
        </w:tc>
        <w:tc>
          <w:tcPr>
            <w:tcW w:w="1530"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[$52,694]</w:t>
            </w:r>
          </w:p>
        </w:tc>
        <w:tc>
          <w:tcPr>
            <w:tcW w:w="1277"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[240]</w:t>
            </w:r>
          </w:p>
        </w:tc>
        <w:tc>
          <w:tcPr>
            <w:tcW w:w="1481"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[$53,882]</w:t>
            </w:r>
          </w:p>
        </w:tc>
      </w:tr>
      <w:tr w:rsidR="003B345D" w:rsidRPr="00BC21E4" w:rsidTr="00504A36">
        <w:trPr>
          <w:trHeight w:val="303"/>
        </w:trPr>
        <w:tc>
          <w:tcPr>
            <w:tcW w:w="1724" w:type="dxa"/>
            <w:tcBorders>
              <w:top w:val="nil"/>
              <w:left w:val="nil"/>
              <w:bottom w:val="nil"/>
              <w:right w:val="single" w:sz="8" w:space="0" w:color="999999"/>
            </w:tcBorders>
            <w:shd w:val="clear" w:color="auto" w:fill="auto"/>
            <w:vAlign w:val="bottom"/>
            <w:hideMark/>
          </w:tcPr>
          <w:p w:rsidR="003B345D" w:rsidRPr="00BC21E4" w:rsidRDefault="003B345D" w:rsidP="003B345D">
            <w:pPr>
              <w:rPr>
                <w:color w:val="000000"/>
                <w:sz w:val="20"/>
                <w:szCs w:val="20"/>
              </w:rPr>
            </w:pPr>
            <w:r w:rsidRPr="00BC21E4">
              <w:rPr>
                <w:color w:val="000000"/>
                <w:sz w:val="20"/>
                <w:szCs w:val="20"/>
              </w:rPr>
              <w:t> </w:t>
            </w:r>
          </w:p>
        </w:tc>
        <w:tc>
          <w:tcPr>
            <w:tcW w:w="1310" w:type="dxa"/>
            <w:tcBorders>
              <w:top w:val="nil"/>
              <w:left w:val="nil"/>
              <w:bottom w:val="nil"/>
              <w:right w:val="nil"/>
            </w:tcBorders>
            <w:shd w:val="clear" w:color="auto" w:fill="auto"/>
            <w:hideMark/>
          </w:tcPr>
          <w:p w:rsidR="003B345D" w:rsidRPr="00BC21E4" w:rsidRDefault="003B345D" w:rsidP="003B345D">
            <w:pPr>
              <w:jc w:val="center"/>
              <w:rPr>
                <w:rFonts w:ascii="Calibri" w:hAnsi="Calibri"/>
                <w:color w:val="000000"/>
                <w:sz w:val="22"/>
                <w:szCs w:val="22"/>
              </w:rPr>
            </w:pPr>
          </w:p>
        </w:tc>
        <w:tc>
          <w:tcPr>
            <w:tcW w:w="1230" w:type="dxa"/>
            <w:tcBorders>
              <w:top w:val="nil"/>
              <w:left w:val="nil"/>
              <w:bottom w:val="nil"/>
              <w:right w:val="nil"/>
            </w:tcBorders>
            <w:shd w:val="clear" w:color="auto" w:fill="auto"/>
            <w:hideMark/>
          </w:tcPr>
          <w:p w:rsidR="003B345D" w:rsidRPr="00BC21E4" w:rsidRDefault="003B345D" w:rsidP="003B345D">
            <w:pPr>
              <w:jc w:val="center"/>
              <w:rPr>
                <w:rFonts w:ascii="Calibri" w:hAnsi="Calibri"/>
                <w:color w:val="000000"/>
                <w:sz w:val="22"/>
                <w:szCs w:val="22"/>
              </w:rPr>
            </w:pPr>
          </w:p>
        </w:tc>
        <w:tc>
          <w:tcPr>
            <w:tcW w:w="1421" w:type="dxa"/>
            <w:gridSpan w:val="2"/>
            <w:tcBorders>
              <w:top w:val="nil"/>
              <w:left w:val="nil"/>
              <w:bottom w:val="nil"/>
              <w:right w:val="nil"/>
            </w:tcBorders>
            <w:shd w:val="clear" w:color="auto" w:fill="auto"/>
            <w:hideMark/>
          </w:tcPr>
          <w:p w:rsidR="003B345D" w:rsidRPr="00BC21E4" w:rsidRDefault="003B345D" w:rsidP="003B345D">
            <w:pPr>
              <w:jc w:val="center"/>
              <w:rPr>
                <w:rFonts w:ascii="Calibri" w:hAnsi="Calibri"/>
                <w:color w:val="000000"/>
                <w:sz w:val="22"/>
                <w:szCs w:val="22"/>
              </w:rPr>
            </w:pPr>
          </w:p>
        </w:tc>
        <w:tc>
          <w:tcPr>
            <w:tcW w:w="1530" w:type="dxa"/>
            <w:tcBorders>
              <w:top w:val="nil"/>
              <w:left w:val="nil"/>
              <w:bottom w:val="nil"/>
              <w:right w:val="nil"/>
            </w:tcBorders>
            <w:shd w:val="clear" w:color="auto" w:fill="auto"/>
            <w:hideMark/>
          </w:tcPr>
          <w:p w:rsidR="003B345D" w:rsidRPr="00BC21E4" w:rsidRDefault="003B345D" w:rsidP="003B345D">
            <w:pPr>
              <w:jc w:val="center"/>
              <w:rPr>
                <w:rFonts w:ascii="Calibri" w:hAnsi="Calibri"/>
                <w:color w:val="000000"/>
                <w:sz w:val="22"/>
                <w:szCs w:val="22"/>
              </w:rPr>
            </w:pPr>
          </w:p>
        </w:tc>
        <w:tc>
          <w:tcPr>
            <w:tcW w:w="1277" w:type="dxa"/>
            <w:tcBorders>
              <w:top w:val="nil"/>
              <w:left w:val="nil"/>
              <w:bottom w:val="nil"/>
              <w:right w:val="nil"/>
            </w:tcBorders>
            <w:shd w:val="clear" w:color="auto" w:fill="auto"/>
            <w:hideMark/>
          </w:tcPr>
          <w:p w:rsidR="003B345D" w:rsidRPr="00BC21E4" w:rsidRDefault="003B345D" w:rsidP="003B345D">
            <w:pPr>
              <w:jc w:val="center"/>
              <w:rPr>
                <w:rFonts w:ascii="Calibri" w:hAnsi="Calibri"/>
                <w:color w:val="000000"/>
                <w:sz w:val="22"/>
                <w:szCs w:val="22"/>
              </w:rPr>
            </w:pPr>
          </w:p>
        </w:tc>
        <w:tc>
          <w:tcPr>
            <w:tcW w:w="1481" w:type="dxa"/>
            <w:tcBorders>
              <w:top w:val="nil"/>
              <w:left w:val="nil"/>
              <w:bottom w:val="nil"/>
              <w:right w:val="nil"/>
            </w:tcBorders>
            <w:shd w:val="clear" w:color="auto" w:fill="auto"/>
            <w:hideMark/>
          </w:tcPr>
          <w:p w:rsidR="003B345D" w:rsidRPr="00BC21E4" w:rsidRDefault="003B345D" w:rsidP="003B345D">
            <w:pPr>
              <w:jc w:val="center"/>
              <w:rPr>
                <w:rFonts w:ascii="Calibri" w:hAnsi="Calibri"/>
                <w:color w:val="000000"/>
                <w:sz w:val="22"/>
                <w:szCs w:val="22"/>
              </w:rPr>
            </w:pPr>
          </w:p>
        </w:tc>
      </w:tr>
      <w:tr w:rsidR="003B345D" w:rsidRPr="00BC21E4" w:rsidTr="00504A36">
        <w:trPr>
          <w:trHeight w:val="606"/>
        </w:trPr>
        <w:tc>
          <w:tcPr>
            <w:tcW w:w="1724" w:type="dxa"/>
            <w:tcBorders>
              <w:top w:val="nil"/>
              <w:left w:val="nil"/>
              <w:bottom w:val="nil"/>
              <w:right w:val="single" w:sz="8" w:space="0" w:color="999999"/>
            </w:tcBorders>
            <w:shd w:val="clear" w:color="auto" w:fill="auto"/>
            <w:vAlign w:val="bottom"/>
            <w:hideMark/>
          </w:tcPr>
          <w:p w:rsidR="003B345D" w:rsidRPr="000E0811" w:rsidRDefault="003B345D" w:rsidP="003B345D">
            <w:pPr>
              <w:jc w:val="center"/>
              <w:rPr>
                <w:b/>
                <w:color w:val="000000"/>
                <w:sz w:val="22"/>
                <w:szCs w:val="22"/>
              </w:rPr>
            </w:pPr>
            <w:r w:rsidRPr="000E0811">
              <w:rPr>
                <w:b/>
                <w:color w:val="000000"/>
                <w:sz w:val="22"/>
                <w:szCs w:val="22"/>
              </w:rPr>
              <w:t>Investigative Support Services</w:t>
            </w:r>
          </w:p>
        </w:tc>
        <w:tc>
          <w:tcPr>
            <w:tcW w:w="1310" w:type="dxa"/>
            <w:tcBorders>
              <w:top w:val="nil"/>
              <w:left w:val="nil"/>
              <w:bottom w:val="nil"/>
              <w:right w:val="nil"/>
            </w:tcBorders>
            <w:shd w:val="clear" w:color="auto" w:fill="auto"/>
            <w:vAlign w:val="bottom"/>
            <w:hideMark/>
          </w:tcPr>
          <w:p w:rsidR="003B345D" w:rsidRPr="000E0811" w:rsidRDefault="007D6E04" w:rsidP="003B345D">
            <w:pPr>
              <w:jc w:val="center"/>
              <w:rPr>
                <w:b/>
                <w:color w:val="000000"/>
                <w:sz w:val="22"/>
                <w:szCs w:val="22"/>
              </w:rPr>
            </w:pPr>
            <w:r>
              <w:rPr>
                <w:b/>
                <w:color w:val="000000"/>
                <w:sz w:val="22"/>
                <w:szCs w:val="22"/>
              </w:rPr>
              <w:t>680</w:t>
            </w:r>
          </w:p>
        </w:tc>
        <w:tc>
          <w:tcPr>
            <w:tcW w:w="1230" w:type="dxa"/>
            <w:tcBorders>
              <w:top w:val="nil"/>
              <w:left w:val="nil"/>
              <w:bottom w:val="nil"/>
              <w:right w:val="nil"/>
            </w:tcBorders>
            <w:shd w:val="clear" w:color="auto" w:fill="auto"/>
            <w:vAlign w:val="bottom"/>
            <w:hideMark/>
          </w:tcPr>
          <w:p w:rsidR="003B345D" w:rsidRPr="000E0811" w:rsidRDefault="003B345D" w:rsidP="003B345D">
            <w:pPr>
              <w:jc w:val="center"/>
              <w:rPr>
                <w:b/>
                <w:color w:val="000000"/>
                <w:sz w:val="22"/>
                <w:szCs w:val="22"/>
              </w:rPr>
            </w:pPr>
            <w:r w:rsidRPr="000E0811">
              <w:rPr>
                <w:b/>
                <w:color w:val="000000"/>
                <w:sz w:val="22"/>
                <w:szCs w:val="22"/>
              </w:rPr>
              <w:t>$155,8</w:t>
            </w:r>
            <w:r w:rsidR="00473D14">
              <w:rPr>
                <w:b/>
                <w:color w:val="000000"/>
                <w:sz w:val="22"/>
                <w:szCs w:val="22"/>
              </w:rPr>
              <w:t>28</w:t>
            </w:r>
          </w:p>
        </w:tc>
        <w:tc>
          <w:tcPr>
            <w:tcW w:w="1421" w:type="dxa"/>
            <w:gridSpan w:val="2"/>
            <w:tcBorders>
              <w:top w:val="nil"/>
              <w:left w:val="nil"/>
              <w:bottom w:val="nil"/>
              <w:right w:val="nil"/>
            </w:tcBorders>
            <w:shd w:val="clear" w:color="auto" w:fill="auto"/>
            <w:vAlign w:val="bottom"/>
            <w:hideMark/>
          </w:tcPr>
          <w:p w:rsidR="003B345D" w:rsidRPr="000E0811" w:rsidRDefault="003B345D" w:rsidP="007D6E04">
            <w:pPr>
              <w:jc w:val="center"/>
              <w:rPr>
                <w:b/>
                <w:color w:val="000000"/>
                <w:sz w:val="22"/>
                <w:szCs w:val="22"/>
              </w:rPr>
            </w:pPr>
            <w:r w:rsidRPr="000E0811">
              <w:rPr>
                <w:b/>
                <w:color w:val="000000"/>
                <w:sz w:val="22"/>
                <w:szCs w:val="22"/>
              </w:rPr>
              <w:t>64</w:t>
            </w:r>
            <w:r w:rsidR="00473D14">
              <w:rPr>
                <w:b/>
                <w:color w:val="000000"/>
                <w:sz w:val="22"/>
                <w:szCs w:val="22"/>
              </w:rPr>
              <w:t>2</w:t>
            </w:r>
          </w:p>
        </w:tc>
        <w:tc>
          <w:tcPr>
            <w:tcW w:w="1530" w:type="dxa"/>
            <w:tcBorders>
              <w:top w:val="nil"/>
              <w:left w:val="nil"/>
              <w:bottom w:val="nil"/>
              <w:right w:val="nil"/>
            </w:tcBorders>
            <w:shd w:val="clear" w:color="auto" w:fill="auto"/>
            <w:vAlign w:val="bottom"/>
            <w:hideMark/>
          </w:tcPr>
          <w:p w:rsidR="003B345D" w:rsidRPr="000E0811" w:rsidRDefault="003B345D" w:rsidP="007D6E04">
            <w:pPr>
              <w:jc w:val="center"/>
              <w:rPr>
                <w:b/>
                <w:color w:val="000000"/>
                <w:sz w:val="22"/>
                <w:szCs w:val="22"/>
              </w:rPr>
            </w:pPr>
            <w:r w:rsidRPr="000E0811">
              <w:rPr>
                <w:b/>
                <w:color w:val="000000"/>
                <w:sz w:val="22"/>
                <w:szCs w:val="22"/>
              </w:rPr>
              <w:t>$15</w:t>
            </w:r>
            <w:r w:rsidR="00473D14">
              <w:rPr>
                <w:b/>
                <w:color w:val="000000"/>
                <w:sz w:val="22"/>
                <w:szCs w:val="22"/>
              </w:rPr>
              <w:t>6,851</w:t>
            </w:r>
          </w:p>
        </w:tc>
        <w:tc>
          <w:tcPr>
            <w:tcW w:w="1277" w:type="dxa"/>
            <w:tcBorders>
              <w:top w:val="nil"/>
              <w:left w:val="nil"/>
              <w:bottom w:val="nil"/>
              <w:right w:val="nil"/>
            </w:tcBorders>
            <w:shd w:val="clear" w:color="auto" w:fill="auto"/>
            <w:vAlign w:val="bottom"/>
            <w:hideMark/>
          </w:tcPr>
          <w:p w:rsidR="003B345D" w:rsidRPr="000E0811" w:rsidRDefault="003B345D" w:rsidP="003B345D">
            <w:pPr>
              <w:jc w:val="center"/>
              <w:rPr>
                <w:b/>
                <w:color w:val="000000"/>
                <w:sz w:val="22"/>
                <w:szCs w:val="22"/>
              </w:rPr>
            </w:pPr>
            <w:r w:rsidRPr="000E0811">
              <w:rPr>
                <w:b/>
                <w:color w:val="000000"/>
                <w:sz w:val="22"/>
                <w:szCs w:val="22"/>
              </w:rPr>
              <w:t>6</w:t>
            </w:r>
            <w:r w:rsidR="00473D14">
              <w:rPr>
                <w:b/>
                <w:color w:val="000000"/>
                <w:sz w:val="22"/>
                <w:szCs w:val="22"/>
              </w:rPr>
              <w:t>59</w:t>
            </w:r>
          </w:p>
        </w:tc>
        <w:tc>
          <w:tcPr>
            <w:tcW w:w="1481" w:type="dxa"/>
            <w:tcBorders>
              <w:top w:val="nil"/>
              <w:left w:val="nil"/>
              <w:bottom w:val="nil"/>
              <w:right w:val="nil"/>
            </w:tcBorders>
            <w:shd w:val="clear" w:color="auto" w:fill="auto"/>
            <w:vAlign w:val="bottom"/>
            <w:hideMark/>
          </w:tcPr>
          <w:p w:rsidR="003B345D" w:rsidRPr="000E0811" w:rsidRDefault="003B345D" w:rsidP="007D6E04">
            <w:pPr>
              <w:jc w:val="center"/>
              <w:rPr>
                <w:b/>
                <w:color w:val="000000"/>
                <w:sz w:val="22"/>
                <w:szCs w:val="22"/>
              </w:rPr>
            </w:pPr>
            <w:r w:rsidRPr="000E0811">
              <w:rPr>
                <w:b/>
                <w:color w:val="000000"/>
                <w:sz w:val="22"/>
                <w:szCs w:val="22"/>
              </w:rPr>
              <w:t>$16</w:t>
            </w:r>
            <w:r w:rsidR="007D6E04">
              <w:rPr>
                <w:b/>
                <w:color w:val="000000"/>
                <w:sz w:val="22"/>
                <w:szCs w:val="22"/>
              </w:rPr>
              <w:t>6</w:t>
            </w:r>
            <w:r w:rsidRPr="000E0811">
              <w:rPr>
                <w:b/>
                <w:color w:val="000000"/>
                <w:sz w:val="22"/>
                <w:szCs w:val="22"/>
              </w:rPr>
              <w:t>,</w:t>
            </w:r>
            <w:r w:rsidR="007D6E04">
              <w:rPr>
                <w:b/>
                <w:color w:val="000000"/>
                <w:sz w:val="22"/>
                <w:szCs w:val="22"/>
              </w:rPr>
              <w:t>35</w:t>
            </w:r>
            <w:r w:rsidR="00473D14">
              <w:rPr>
                <w:b/>
                <w:color w:val="000000"/>
                <w:sz w:val="22"/>
                <w:szCs w:val="22"/>
              </w:rPr>
              <w:t>4</w:t>
            </w:r>
          </w:p>
        </w:tc>
      </w:tr>
      <w:tr w:rsidR="003B345D" w:rsidRPr="00BC21E4" w:rsidTr="00504A36">
        <w:trPr>
          <w:trHeight w:val="303"/>
        </w:trPr>
        <w:tc>
          <w:tcPr>
            <w:tcW w:w="1724" w:type="dxa"/>
            <w:tcBorders>
              <w:top w:val="nil"/>
              <w:left w:val="nil"/>
              <w:bottom w:val="nil"/>
              <w:right w:val="single" w:sz="8" w:space="0" w:color="999999"/>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[Firearms Svcs]</w:t>
            </w:r>
            <w:r>
              <w:rPr>
                <w:i/>
                <w:color w:val="000000"/>
                <w:sz w:val="18"/>
                <w:szCs w:val="18"/>
              </w:rPr>
              <w:t>*</w:t>
            </w:r>
          </w:p>
        </w:tc>
        <w:tc>
          <w:tcPr>
            <w:tcW w:w="1310"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[66]</w:t>
            </w:r>
          </w:p>
        </w:tc>
        <w:tc>
          <w:tcPr>
            <w:tcW w:w="1230"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[$16,659]</w:t>
            </w:r>
          </w:p>
        </w:tc>
        <w:tc>
          <w:tcPr>
            <w:tcW w:w="1421" w:type="dxa"/>
            <w:gridSpan w:val="2"/>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[66]</w:t>
            </w:r>
          </w:p>
        </w:tc>
        <w:tc>
          <w:tcPr>
            <w:tcW w:w="1530"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[$16,659]</w:t>
            </w:r>
          </w:p>
        </w:tc>
        <w:tc>
          <w:tcPr>
            <w:tcW w:w="1277"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[74]</w:t>
            </w:r>
          </w:p>
        </w:tc>
        <w:tc>
          <w:tcPr>
            <w:tcW w:w="1481"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[$17,286]</w:t>
            </w:r>
          </w:p>
        </w:tc>
      </w:tr>
      <w:tr w:rsidR="003B345D" w:rsidRPr="00BC21E4" w:rsidTr="00504A36">
        <w:trPr>
          <w:trHeight w:val="303"/>
        </w:trPr>
        <w:tc>
          <w:tcPr>
            <w:tcW w:w="1724" w:type="dxa"/>
            <w:tcBorders>
              <w:top w:val="nil"/>
              <w:left w:val="nil"/>
              <w:bottom w:val="nil"/>
              <w:right w:val="single" w:sz="8" w:space="0" w:color="999999"/>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[Explosives Svcs]</w:t>
            </w:r>
            <w:r>
              <w:rPr>
                <w:i/>
                <w:color w:val="000000"/>
                <w:sz w:val="18"/>
                <w:szCs w:val="18"/>
              </w:rPr>
              <w:t>*</w:t>
            </w:r>
          </w:p>
        </w:tc>
        <w:tc>
          <w:tcPr>
            <w:tcW w:w="1310"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[21]</w:t>
            </w:r>
          </w:p>
        </w:tc>
        <w:tc>
          <w:tcPr>
            <w:tcW w:w="1230"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[$5,855]</w:t>
            </w:r>
          </w:p>
        </w:tc>
        <w:tc>
          <w:tcPr>
            <w:tcW w:w="1421" w:type="dxa"/>
            <w:gridSpan w:val="2"/>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[21]</w:t>
            </w:r>
          </w:p>
        </w:tc>
        <w:tc>
          <w:tcPr>
            <w:tcW w:w="1530"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[$5,855]</w:t>
            </w:r>
          </w:p>
        </w:tc>
        <w:tc>
          <w:tcPr>
            <w:tcW w:w="1277"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[23]</w:t>
            </w:r>
          </w:p>
        </w:tc>
        <w:tc>
          <w:tcPr>
            <w:tcW w:w="1481" w:type="dxa"/>
            <w:tcBorders>
              <w:top w:val="nil"/>
              <w:left w:val="nil"/>
              <w:bottom w:val="nil"/>
              <w:right w:val="nil"/>
            </w:tcBorders>
            <w:shd w:val="clear" w:color="auto" w:fill="auto"/>
            <w:vAlign w:val="center"/>
            <w:hideMark/>
          </w:tcPr>
          <w:p w:rsidR="003B345D" w:rsidRPr="000E0811" w:rsidRDefault="003B345D" w:rsidP="003B345D">
            <w:pPr>
              <w:jc w:val="center"/>
              <w:rPr>
                <w:i/>
                <w:color w:val="000000"/>
                <w:sz w:val="18"/>
                <w:szCs w:val="18"/>
              </w:rPr>
            </w:pPr>
            <w:r w:rsidRPr="000E0811">
              <w:rPr>
                <w:i/>
                <w:color w:val="000000"/>
                <w:sz w:val="18"/>
                <w:szCs w:val="18"/>
              </w:rPr>
              <w:t>[$6,053]</w:t>
            </w:r>
          </w:p>
        </w:tc>
      </w:tr>
      <w:tr w:rsidR="003B345D" w:rsidRPr="00BC21E4" w:rsidTr="00504A36">
        <w:trPr>
          <w:trHeight w:val="303"/>
        </w:trPr>
        <w:tc>
          <w:tcPr>
            <w:tcW w:w="1724" w:type="dxa"/>
            <w:tcBorders>
              <w:top w:val="nil"/>
              <w:left w:val="nil"/>
              <w:bottom w:val="nil"/>
              <w:right w:val="single" w:sz="8" w:space="0" w:color="999999"/>
            </w:tcBorders>
            <w:shd w:val="clear" w:color="auto" w:fill="auto"/>
            <w:hideMark/>
          </w:tcPr>
          <w:p w:rsidR="003B345D" w:rsidRPr="00BC21E4" w:rsidRDefault="003B345D" w:rsidP="003B345D">
            <w:pPr>
              <w:jc w:val="center"/>
              <w:rPr>
                <w:b/>
                <w:bCs/>
                <w:color w:val="000000"/>
                <w:sz w:val="22"/>
                <w:szCs w:val="22"/>
              </w:rPr>
            </w:pPr>
            <w:r w:rsidRPr="00BC21E4">
              <w:rPr>
                <w:b/>
                <w:bCs/>
                <w:color w:val="000000"/>
                <w:sz w:val="22"/>
                <w:szCs w:val="22"/>
              </w:rPr>
              <w:t> </w:t>
            </w:r>
          </w:p>
        </w:tc>
        <w:tc>
          <w:tcPr>
            <w:tcW w:w="1310" w:type="dxa"/>
            <w:tcBorders>
              <w:top w:val="nil"/>
              <w:left w:val="nil"/>
              <w:bottom w:val="nil"/>
              <w:right w:val="nil"/>
            </w:tcBorders>
            <w:shd w:val="clear" w:color="auto" w:fill="auto"/>
            <w:vAlign w:val="bottom"/>
            <w:hideMark/>
          </w:tcPr>
          <w:p w:rsidR="003B345D" w:rsidRPr="00BC21E4" w:rsidRDefault="003B345D" w:rsidP="003B345D">
            <w:pPr>
              <w:jc w:val="center"/>
              <w:rPr>
                <w:b/>
                <w:bCs/>
                <w:color w:val="000000"/>
                <w:sz w:val="22"/>
                <w:szCs w:val="22"/>
              </w:rPr>
            </w:pPr>
          </w:p>
        </w:tc>
        <w:tc>
          <w:tcPr>
            <w:tcW w:w="1230" w:type="dxa"/>
            <w:tcBorders>
              <w:top w:val="nil"/>
              <w:left w:val="nil"/>
              <w:bottom w:val="nil"/>
              <w:right w:val="nil"/>
            </w:tcBorders>
            <w:shd w:val="clear" w:color="auto" w:fill="auto"/>
            <w:vAlign w:val="bottom"/>
            <w:hideMark/>
          </w:tcPr>
          <w:p w:rsidR="003B345D" w:rsidRPr="00BC21E4" w:rsidRDefault="003B345D" w:rsidP="003B345D">
            <w:pPr>
              <w:jc w:val="center"/>
              <w:rPr>
                <w:b/>
                <w:bCs/>
                <w:color w:val="000000"/>
                <w:sz w:val="22"/>
                <w:szCs w:val="22"/>
              </w:rPr>
            </w:pPr>
          </w:p>
        </w:tc>
        <w:tc>
          <w:tcPr>
            <w:tcW w:w="1421" w:type="dxa"/>
            <w:gridSpan w:val="2"/>
            <w:tcBorders>
              <w:top w:val="nil"/>
              <w:left w:val="nil"/>
              <w:bottom w:val="nil"/>
              <w:right w:val="nil"/>
            </w:tcBorders>
            <w:shd w:val="clear" w:color="auto" w:fill="auto"/>
            <w:vAlign w:val="bottom"/>
            <w:hideMark/>
          </w:tcPr>
          <w:p w:rsidR="003B345D" w:rsidRPr="00BC21E4" w:rsidRDefault="003B345D" w:rsidP="003B345D">
            <w:pPr>
              <w:jc w:val="center"/>
              <w:rPr>
                <w:b/>
                <w:bCs/>
                <w:color w:val="000000"/>
                <w:sz w:val="22"/>
                <w:szCs w:val="22"/>
              </w:rPr>
            </w:pPr>
          </w:p>
        </w:tc>
        <w:tc>
          <w:tcPr>
            <w:tcW w:w="1530" w:type="dxa"/>
            <w:tcBorders>
              <w:top w:val="nil"/>
              <w:left w:val="nil"/>
              <w:bottom w:val="nil"/>
              <w:right w:val="nil"/>
            </w:tcBorders>
            <w:shd w:val="clear" w:color="auto" w:fill="auto"/>
            <w:vAlign w:val="bottom"/>
            <w:hideMark/>
          </w:tcPr>
          <w:p w:rsidR="003B345D" w:rsidRPr="00BC21E4" w:rsidRDefault="003B345D" w:rsidP="003B345D">
            <w:pPr>
              <w:jc w:val="center"/>
              <w:rPr>
                <w:b/>
                <w:bCs/>
                <w:color w:val="000000"/>
                <w:sz w:val="22"/>
                <w:szCs w:val="22"/>
              </w:rPr>
            </w:pPr>
          </w:p>
        </w:tc>
        <w:tc>
          <w:tcPr>
            <w:tcW w:w="1277" w:type="dxa"/>
            <w:tcBorders>
              <w:top w:val="nil"/>
              <w:left w:val="nil"/>
              <w:bottom w:val="nil"/>
              <w:right w:val="nil"/>
            </w:tcBorders>
            <w:shd w:val="clear" w:color="auto" w:fill="auto"/>
            <w:vAlign w:val="bottom"/>
            <w:hideMark/>
          </w:tcPr>
          <w:p w:rsidR="003B345D" w:rsidRPr="00BC21E4" w:rsidRDefault="003B345D" w:rsidP="003B345D">
            <w:pPr>
              <w:jc w:val="center"/>
              <w:rPr>
                <w:b/>
                <w:bCs/>
                <w:color w:val="000000"/>
                <w:sz w:val="22"/>
                <w:szCs w:val="22"/>
              </w:rPr>
            </w:pPr>
          </w:p>
        </w:tc>
        <w:tc>
          <w:tcPr>
            <w:tcW w:w="1481" w:type="dxa"/>
            <w:tcBorders>
              <w:top w:val="nil"/>
              <w:left w:val="nil"/>
              <w:bottom w:val="nil"/>
              <w:right w:val="nil"/>
            </w:tcBorders>
            <w:shd w:val="clear" w:color="auto" w:fill="auto"/>
            <w:vAlign w:val="bottom"/>
            <w:hideMark/>
          </w:tcPr>
          <w:p w:rsidR="003B345D" w:rsidRPr="00BC21E4" w:rsidRDefault="003B345D" w:rsidP="003B345D">
            <w:pPr>
              <w:jc w:val="center"/>
              <w:rPr>
                <w:b/>
                <w:bCs/>
                <w:color w:val="000000"/>
                <w:sz w:val="22"/>
                <w:szCs w:val="22"/>
              </w:rPr>
            </w:pPr>
          </w:p>
        </w:tc>
      </w:tr>
      <w:tr w:rsidR="003B345D" w:rsidRPr="00BC21E4" w:rsidTr="00504A36">
        <w:trPr>
          <w:trHeight w:val="303"/>
        </w:trPr>
        <w:tc>
          <w:tcPr>
            <w:tcW w:w="1724" w:type="dxa"/>
            <w:tcBorders>
              <w:top w:val="nil"/>
              <w:left w:val="nil"/>
              <w:bottom w:val="nil"/>
              <w:right w:val="single" w:sz="8" w:space="0" w:color="999999"/>
            </w:tcBorders>
            <w:shd w:val="clear" w:color="auto" w:fill="auto"/>
            <w:vAlign w:val="center"/>
            <w:hideMark/>
          </w:tcPr>
          <w:p w:rsidR="003B345D" w:rsidRPr="00BC21E4" w:rsidRDefault="003B345D" w:rsidP="003B345D">
            <w:pPr>
              <w:jc w:val="center"/>
              <w:rPr>
                <w:b/>
                <w:bCs/>
                <w:color w:val="000000"/>
                <w:sz w:val="22"/>
                <w:szCs w:val="22"/>
              </w:rPr>
            </w:pPr>
            <w:r w:rsidRPr="00BC21E4">
              <w:rPr>
                <w:b/>
                <w:bCs/>
                <w:color w:val="000000"/>
                <w:sz w:val="22"/>
                <w:szCs w:val="22"/>
              </w:rPr>
              <w:t>Total ATF S&amp;E</w:t>
            </w:r>
          </w:p>
        </w:tc>
        <w:tc>
          <w:tcPr>
            <w:tcW w:w="1310" w:type="dxa"/>
            <w:tcBorders>
              <w:top w:val="nil"/>
              <w:left w:val="nil"/>
              <w:bottom w:val="nil"/>
              <w:right w:val="nil"/>
            </w:tcBorders>
            <w:shd w:val="clear" w:color="auto" w:fill="auto"/>
            <w:vAlign w:val="center"/>
            <w:hideMark/>
          </w:tcPr>
          <w:p w:rsidR="003B345D" w:rsidRPr="00BC21E4" w:rsidRDefault="003B345D" w:rsidP="003B345D">
            <w:pPr>
              <w:jc w:val="center"/>
              <w:rPr>
                <w:b/>
                <w:bCs/>
                <w:color w:val="000000"/>
                <w:sz w:val="22"/>
                <w:szCs w:val="22"/>
              </w:rPr>
            </w:pPr>
            <w:r w:rsidRPr="00BC21E4">
              <w:rPr>
                <w:b/>
                <w:bCs/>
                <w:color w:val="000000"/>
                <w:sz w:val="22"/>
                <w:szCs w:val="22"/>
              </w:rPr>
              <w:t>5,025</w:t>
            </w:r>
          </w:p>
        </w:tc>
        <w:tc>
          <w:tcPr>
            <w:tcW w:w="1230" w:type="dxa"/>
            <w:tcBorders>
              <w:top w:val="nil"/>
              <w:left w:val="nil"/>
              <w:bottom w:val="nil"/>
              <w:right w:val="nil"/>
            </w:tcBorders>
            <w:shd w:val="clear" w:color="auto" w:fill="auto"/>
            <w:vAlign w:val="center"/>
            <w:hideMark/>
          </w:tcPr>
          <w:p w:rsidR="003B345D" w:rsidRPr="00BC21E4" w:rsidRDefault="003B345D" w:rsidP="003B345D">
            <w:pPr>
              <w:jc w:val="center"/>
              <w:rPr>
                <w:b/>
                <w:bCs/>
                <w:color w:val="000000"/>
                <w:sz w:val="22"/>
                <w:szCs w:val="22"/>
              </w:rPr>
            </w:pPr>
            <w:r w:rsidRPr="00BC21E4">
              <w:rPr>
                <w:b/>
                <w:bCs/>
                <w:color w:val="000000"/>
                <w:sz w:val="22"/>
                <w:szCs w:val="22"/>
              </w:rPr>
              <w:t>$1,152,000</w:t>
            </w:r>
          </w:p>
        </w:tc>
        <w:tc>
          <w:tcPr>
            <w:tcW w:w="1421" w:type="dxa"/>
            <w:gridSpan w:val="2"/>
            <w:tcBorders>
              <w:top w:val="nil"/>
              <w:left w:val="nil"/>
              <w:bottom w:val="nil"/>
              <w:right w:val="nil"/>
            </w:tcBorders>
            <w:shd w:val="clear" w:color="auto" w:fill="auto"/>
            <w:vAlign w:val="center"/>
            <w:hideMark/>
          </w:tcPr>
          <w:p w:rsidR="003B345D" w:rsidRPr="00BC21E4" w:rsidRDefault="003B345D" w:rsidP="003B345D">
            <w:pPr>
              <w:jc w:val="center"/>
              <w:rPr>
                <w:b/>
                <w:bCs/>
                <w:color w:val="000000"/>
                <w:sz w:val="22"/>
                <w:szCs w:val="22"/>
              </w:rPr>
            </w:pPr>
            <w:r w:rsidRPr="00BC21E4">
              <w:rPr>
                <w:b/>
                <w:bCs/>
                <w:color w:val="000000"/>
                <w:sz w:val="22"/>
                <w:szCs w:val="22"/>
              </w:rPr>
              <w:t>4,74</w:t>
            </w:r>
            <w:r>
              <w:rPr>
                <w:b/>
                <w:bCs/>
                <w:color w:val="000000"/>
                <w:sz w:val="22"/>
                <w:szCs w:val="22"/>
              </w:rPr>
              <w:t>8</w:t>
            </w:r>
          </w:p>
        </w:tc>
        <w:tc>
          <w:tcPr>
            <w:tcW w:w="1530" w:type="dxa"/>
            <w:tcBorders>
              <w:top w:val="nil"/>
              <w:left w:val="nil"/>
              <w:bottom w:val="nil"/>
              <w:right w:val="nil"/>
            </w:tcBorders>
            <w:shd w:val="clear" w:color="auto" w:fill="auto"/>
            <w:vAlign w:val="center"/>
            <w:hideMark/>
          </w:tcPr>
          <w:p w:rsidR="003B345D" w:rsidRPr="00BC21E4" w:rsidRDefault="003B345D" w:rsidP="007D6E04">
            <w:pPr>
              <w:jc w:val="center"/>
              <w:rPr>
                <w:b/>
                <w:bCs/>
                <w:color w:val="000000"/>
                <w:sz w:val="22"/>
                <w:szCs w:val="22"/>
              </w:rPr>
            </w:pPr>
            <w:r w:rsidRPr="00BC21E4">
              <w:rPr>
                <w:b/>
                <w:bCs/>
                <w:color w:val="000000"/>
                <w:sz w:val="22"/>
                <w:szCs w:val="22"/>
              </w:rPr>
              <w:t>$1,15</w:t>
            </w:r>
            <w:r w:rsidR="007D6E04">
              <w:rPr>
                <w:b/>
                <w:bCs/>
                <w:color w:val="000000"/>
                <w:sz w:val="22"/>
                <w:szCs w:val="22"/>
              </w:rPr>
              <w:t>9</w:t>
            </w:r>
            <w:r w:rsidRPr="00BC21E4">
              <w:rPr>
                <w:b/>
                <w:bCs/>
                <w:color w:val="000000"/>
                <w:sz w:val="22"/>
                <w:szCs w:val="22"/>
              </w:rPr>
              <w:t>,</w:t>
            </w:r>
            <w:r w:rsidR="007D6E04">
              <w:rPr>
                <w:b/>
                <w:bCs/>
                <w:color w:val="000000"/>
                <w:sz w:val="22"/>
                <w:szCs w:val="22"/>
              </w:rPr>
              <w:t>280</w:t>
            </w:r>
          </w:p>
        </w:tc>
        <w:tc>
          <w:tcPr>
            <w:tcW w:w="1277" w:type="dxa"/>
            <w:tcBorders>
              <w:top w:val="nil"/>
              <w:left w:val="nil"/>
              <w:bottom w:val="nil"/>
              <w:right w:val="nil"/>
            </w:tcBorders>
            <w:shd w:val="clear" w:color="auto" w:fill="auto"/>
            <w:vAlign w:val="center"/>
            <w:hideMark/>
          </w:tcPr>
          <w:p w:rsidR="003B345D" w:rsidRPr="00BC21E4" w:rsidRDefault="003B345D" w:rsidP="003B345D">
            <w:pPr>
              <w:jc w:val="center"/>
              <w:rPr>
                <w:b/>
                <w:bCs/>
                <w:color w:val="000000"/>
                <w:sz w:val="22"/>
                <w:szCs w:val="22"/>
              </w:rPr>
            </w:pPr>
            <w:r w:rsidRPr="00BC21E4">
              <w:rPr>
                <w:b/>
                <w:bCs/>
                <w:color w:val="000000"/>
                <w:sz w:val="22"/>
                <w:szCs w:val="22"/>
              </w:rPr>
              <w:t>4,876</w:t>
            </w:r>
          </w:p>
        </w:tc>
        <w:tc>
          <w:tcPr>
            <w:tcW w:w="1481" w:type="dxa"/>
            <w:tcBorders>
              <w:top w:val="nil"/>
              <w:left w:val="nil"/>
              <w:bottom w:val="nil"/>
              <w:right w:val="nil"/>
            </w:tcBorders>
            <w:shd w:val="clear" w:color="auto" w:fill="auto"/>
            <w:vAlign w:val="center"/>
            <w:hideMark/>
          </w:tcPr>
          <w:p w:rsidR="003B345D" w:rsidRPr="00BC21E4" w:rsidRDefault="003B345D" w:rsidP="007D6E04">
            <w:pPr>
              <w:jc w:val="center"/>
              <w:rPr>
                <w:b/>
                <w:bCs/>
                <w:color w:val="000000"/>
                <w:sz w:val="22"/>
                <w:szCs w:val="22"/>
              </w:rPr>
            </w:pPr>
            <w:r w:rsidRPr="00BC21E4">
              <w:rPr>
                <w:b/>
                <w:bCs/>
                <w:color w:val="000000"/>
                <w:sz w:val="22"/>
                <w:szCs w:val="22"/>
              </w:rPr>
              <w:t>$1,2</w:t>
            </w:r>
            <w:r w:rsidR="007D6E04">
              <w:rPr>
                <w:b/>
                <w:bCs/>
                <w:color w:val="000000"/>
                <w:sz w:val="22"/>
                <w:szCs w:val="22"/>
              </w:rPr>
              <w:t>2</w:t>
            </w:r>
            <w:r w:rsidRPr="00BC21E4">
              <w:rPr>
                <w:b/>
                <w:bCs/>
                <w:color w:val="000000"/>
                <w:sz w:val="22"/>
                <w:szCs w:val="22"/>
              </w:rPr>
              <w:t>9,518</w:t>
            </w:r>
          </w:p>
        </w:tc>
      </w:tr>
    </w:tbl>
    <w:p w:rsidR="003B345D" w:rsidRPr="000E0811" w:rsidRDefault="003B345D" w:rsidP="003B345D">
      <w:pPr>
        <w:pStyle w:val="Header"/>
        <w:tabs>
          <w:tab w:val="clear" w:pos="4320"/>
          <w:tab w:val="clear" w:pos="8640"/>
        </w:tabs>
        <w:spacing w:before="100" w:beforeAutospacing="1" w:after="100" w:afterAutospacing="1"/>
        <w:rPr>
          <w:bCs/>
          <w:i/>
          <w:sz w:val="18"/>
          <w:szCs w:val="18"/>
        </w:rPr>
      </w:pPr>
      <w:r w:rsidRPr="000E0811">
        <w:rPr>
          <w:bCs/>
          <w:i/>
          <w:sz w:val="18"/>
          <w:szCs w:val="18"/>
        </w:rPr>
        <w:t>*NOTE: Bracketed figures do not sum to the tot</w:t>
      </w:r>
      <w:r>
        <w:rPr>
          <w:bCs/>
          <w:i/>
          <w:sz w:val="18"/>
          <w:szCs w:val="18"/>
        </w:rPr>
        <w:t>al for each Decision Unit.</w:t>
      </w:r>
    </w:p>
    <w:p w:rsidR="003B345D" w:rsidRDefault="003B345D" w:rsidP="008F6875"/>
    <w:p w:rsidR="009103CC" w:rsidRDefault="009103CC" w:rsidP="009103CC">
      <w:pPr>
        <w:pStyle w:val="Header"/>
        <w:tabs>
          <w:tab w:val="clear" w:pos="4320"/>
          <w:tab w:val="clear" w:pos="8640"/>
        </w:tabs>
        <w:spacing w:before="100" w:beforeAutospacing="1" w:after="100" w:afterAutospacing="1"/>
        <w:jc w:val="center"/>
        <w:rPr>
          <w:b/>
          <w:bCs/>
        </w:rPr>
      </w:pPr>
      <w:bookmarkStart w:id="3" w:name="type02"/>
      <w:bookmarkStart w:id="4" w:name="type03"/>
      <w:bookmarkStart w:id="5" w:name="type06"/>
      <w:bookmarkStart w:id="6" w:name="type07"/>
      <w:bookmarkStart w:id="7" w:name="type08"/>
      <w:bookmarkStart w:id="8" w:name="type09"/>
      <w:bookmarkStart w:id="9" w:name="type10"/>
      <w:bookmarkStart w:id="10" w:name="type11"/>
      <w:bookmarkEnd w:id="3"/>
      <w:bookmarkEnd w:id="4"/>
      <w:bookmarkEnd w:id="5"/>
      <w:bookmarkEnd w:id="6"/>
      <w:bookmarkEnd w:id="7"/>
      <w:bookmarkEnd w:id="8"/>
      <w:bookmarkEnd w:id="9"/>
      <w:bookmarkEnd w:id="10"/>
    </w:p>
    <w:p w:rsidR="009103CC" w:rsidRDefault="009103CC" w:rsidP="009103CC">
      <w:pPr>
        <w:pStyle w:val="Header"/>
        <w:tabs>
          <w:tab w:val="clear" w:pos="4320"/>
          <w:tab w:val="clear" w:pos="8640"/>
        </w:tabs>
        <w:spacing w:before="100" w:beforeAutospacing="1" w:after="100" w:afterAutospacing="1"/>
        <w:jc w:val="center"/>
        <w:rPr>
          <w:b/>
          <w:bCs/>
        </w:rPr>
      </w:pPr>
    </w:p>
    <w:p w:rsidR="007E2FC6" w:rsidRDefault="007E2FC6" w:rsidP="00161C9D">
      <w:pPr>
        <w:pStyle w:val="Header"/>
        <w:tabs>
          <w:tab w:val="clear" w:pos="4320"/>
          <w:tab w:val="clear" w:pos="8640"/>
        </w:tabs>
        <w:spacing w:before="100" w:beforeAutospacing="1" w:after="100" w:afterAutospacing="1"/>
        <w:rPr>
          <w:b/>
          <w:bCs/>
        </w:rPr>
      </w:pPr>
    </w:p>
    <w:p w:rsidR="009103CC" w:rsidRDefault="009103CC" w:rsidP="009103CC">
      <w:pPr>
        <w:pStyle w:val="Header"/>
        <w:tabs>
          <w:tab w:val="clear" w:pos="4320"/>
          <w:tab w:val="clear" w:pos="8640"/>
        </w:tabs>
        <w:spacing w:before="100" w:beforeAutospacing="1" w:after="100" w:afterAutospacing="1"/>
        <w:jc w:val="center"/>
        <w:rPr>
          <w:b/>
          <w:bCs/>
        </w:rPr>
      </w:pPr>
    </w:p>
    <w:p w:rsidR="002D1764" w:rsidRDefault="002D1764" w:rsidP="008F6875">
      <w:pPr>
        <w:pStyle w:val="Header"/>
        <w:tabs>
          <w:tab w:val="clear" w:pos="4320"/>
          <w:tab w:val="clear" w:pos="8640"/>
        </w:tabs>
        <w:spacing w:before="100" w:beforeAutospacing="1" w:after="100" w:afterAutospacing="1"/>
        <w:jc w:val="center"/>
        <w:rPr>
          <w:b/>
          <w:bCs/>
        </w:rPr>
      </w:pPr>
    </w:p>
    <w:p w:rsidR="008F6875" w:rsidRPr="00762F09" w:rsidRDefault="009103CC" w:rsidP="008F6875">
      <w:pPr>
        <w:pStyle w:val="Header"/>
        <w:tabs>
          <w:tab w:val="clear" w:pos="4320"/>
          <w:tab w:val="clear" w:pos="8640"/>
        </w:tabs>
        <w:spacing w:before="100" w:beforeAutospacing="1" w:after="100" w:afterAutospacing="1"/>
        <w:jc w:val="center"/>
        <w:rPr>
          <w:b/>
          <w:bCs/>
        </w:rPr>
      </w:pPr>
      <w:r>
        <w:rPr>
          <w:b/>
          <w:bCs/>
        </w:rPr>
        <w:lastRenderedPageBreak/>
        <w:t xml:space="preserve">By Decision Units and </w:t>
      </w:r>
      <w:r w:rsidR="007E2FC6">
        <w:rPr>
          <w:b/>
          <w:bCs/>
        </w:rPr>
        <w:t>Homeland Security Counterterrorism</w:t>
      </w:r>
      <w:r w:rsidR="008F6875" w:rsidRPr="00762F09">
        <w:rPr>
          <w:b/>
          <w:bCs/>
        </w:rPr>
        <w:t xml:space="preserve"> Crosscut </w:t>
      </w:r>
      <w:r w:rsidR="00BE4799">
        <w:rPr>
          <w:b/>
          <w:bCs/>
        </w:rPr>
        <w:t>($000)</w:t>
      </w:r>
    </w:p>
    <w:p w:rsidR="008F6875" w:rsidRPr="00762F09" w:rsidRDefault="008F6875" w:rsidP="008F6875">
      <w:pPr>
        <w:pStyle w:val="xl19"/>
        <w:spacing w:before="100" w:beforeAutospacing="1" w:after="100" w:afterAutospacing="1"/>
        <w:jc w:val="center"/>
        <w:rPr>
          <w:b/>
          <w:bCs/>
        </w:rPr>
      </w:pPr>
      <w:r w:rsidRPr="00762F09">
        <w:rPr>
          <w:b/>
          <w:bCs/>
        </w:rPr>
        <w:t xml:space="preserve"> Decision Units</w:t>
      </w:r>
    </w:p>
    <w:p w:rsidR="00790C92" w:rsidRPr="009103CC" w:rsidRDefault="0032687B" w:rsidP="009103CC">
      <w:pPr>
        <w:pStyle w:val="xl19"/>
        <w:spacing w:before="100" w:beforeAutospacing="1" w:after="100" w:afterAutospacing="1"/>
        <w:jc w:val="center"/>
      </w:pPr>
      <w:r>
        <w:pict>
          <v:group id="_x0000_s1718" editas="canvas" alt="The first graphic on page 9 portrays the policy resource breakout and Decision Unit structure for ATF.  Firearms programs - 76%; Arson &amp; Explosives programs - 22%; Alcohol &amp; Tobacco Diversion programs - 2%." style="width:481.45pt;height:160.3pt;mso-position-horizontal-relative:char;mso-position-vertical-relative:line" coordorigin=",331" coordsize="9629,3206">
            <o:lock v:ext="edit" aspectratio="t"/>
            <v:shape id="_x0000_s1719" type="#_x0000_t75" style="position:absolute;top:331;width:9629;height:3206" o:preferrelative="f" stroked="t" strokeweight=".5pt">
              <v:fill o:detectmouseclick="t"/>
              <v:path o:extrusionok="t" o:connecttype="none"/>
              <o:lock v:ext="edit" text="t"/>
            </v:shape>
            <v:shape id="_x0000_s1720" style="position:absolute;left:1419;top:1889;width:16;height:530" coordsize="16,530" path="m16,66l,49,,33r,l,16,,,,,,464r,l,480r,17l,497r,16l16,530,16,66xe" fillcolor="black" stroked="f">
              <v:fill r:id="rId16" o:title="" type="tile"/>
              <v:path arrowok="t"/>
            </v:shape>
            <v:shape id="_x0000_s1721" style="position:absolute;left:1419;top:1889;width:16;height:530" coordsize="16,530" path="m16,66l,49,,33r,l,16,,,,,,464r,l,480r,17l,497r,16l16,530,16,66xe" filled="f" strokeweight="44e-5mm">
              <v:path arrowok="t"/>
            </v:shape>
            <v:shape id="_x0000_s1722" style="position:absolute;left:1435;top:1889;width:1614;height:530" coordsize="1614,530" path="m1614,l,66,,530,1614,464,1614,xe" fillcolor="black" stroked="f">
              <v:fill r:id="rId16" o:title="" type="tile"/>
              <v:path arrowok="t"/>
            </v:shape>
            <v:shape id="_x0000_s1723" style="position:absolute;left:1435;top:1889;width:1614;height:530" coordsize="1614,530" path="m1614,l,66,,530,1614,464,1614,xe" filled="f" strokeweight="44e-5mm">
              <v:path arrowok="t"/>
            </v:shape>
            <v:shape id="_x0000_s1724" style="position:absolute;left:1419;top:1458;width:1630;height:497" coordsize="1630,497" path="m16,497l,464r,l,431,,414,,398,,381,16,364,32,348,49,315,65,298,81,282r33,-17l130,248r49,-16l195,215r49,-16l277,182r49,-16l375,149r49,-17l473,116r49,l587,99,619,83,701,66r49,l815,50r82,l945,33r82,l1076,17r81,l1206,17,1288,r65,l1435,r195,431l16,497xe" fillcolor="black" stroked="f">
              <v:fill r:id="rId17" o:title="" type="tile"/>
              <v:path arrowok="t"/>
            </v:shape>
            <v:shape id="_x0000_s1725" style="position:absolute;left:1435;top:1469;width:1630;height:497" coordsize="1630,497" path="m16,497l,464r,l,431,,414,,398,,381,16,364,32,348,49,315,65,298,81,282r33,-17l130,248r49,-16l195,215r49,-16l277,182r49,-16l375,149r49,-17l473,116r49,l587,99,619,83,701,66r49,l815,50r82,l945,33r82,l1076,17r81,l1206,17,1288,r65,l1435,r195,431l16,497xe" filled="f" strokeweight="44e-5mm">
              <v:path arrowok="t"/>
            </v:shape>
            <v:shape id="_x0000_s1726" style="position:absolute;left:1435;top:1325;width:294;height:299" coordsize="18,18" path="m,l6,,18,18e" filled="f" strokeweight="44e-5mm">
              <v:path arrowok="t"/>
            </v:shape>
            <v:shape id="_x0000_s1727" style="position:absolute;left:1843;top:1972;width:3261;height:894" coordsize="3261,894" path="m3261,r,16l3245,33r,16l3228,66r-16,33l3196,116r-16,16l3147,149r-16,16l3098,182r-49,16l3016,215r-32,16l2951,248r-65,17l2853,281r-49,17l2739,314r-49,l2625,331r-49,16l2511,364r-65,l2380,381r-65,l2266,397r-81,l2103,414r-65,l1956,414r-48,l1810,430r-82,l1679,430r-98,l1533,430r-82,l1386,414r-82,l1223,414r-49,l1092,397r-65,l945,397,880,381,831,364r-81,l701,347r-65,l570,331,521,314,456,298,424,281,358,265,310,248r-33,l228,231,195,215,163,198,130,182,98,149,65,132,49,116,32,99,16,82,,66,,530r16,16l32,563r17,16l65,596r33,17l130,646r33,16l195,679r33,16l277,712r33,l358,729r66,16l456,762r65,16l570,795r66,16l701,811r49,17l831,828r49,16l945,861r82,l1092,861r82,17l1223,878r81,l1386,878r65,16l1533,894r48,l1679,894r49,l1810,894r98,-16l1956,878r82,l2103,878r82,-17l2266,861r49,-17l2380,844r66,-16l2511,828r65,-17l2625,795r65,-17l2739,778r65,-16l2853,745r33,-16l2951,712r33,-17l3016,679r33,-17l3098,646r33,-17l3147,613r33,-17l3196,579r16,-16l3228,530r17,-17l3245,497r16,-17l3261,463,3261,xe" fillcolor="black" stroked="f">
              <v:fill r:id="rId18" o:title="" type="tile"/>
              <v:path arrowok="t"/>
            </v:shape>
            <v:shape id="_x0000_s1728" style="position:absolute;left:1843;top:1972;width:3261;height:894" coordsize="3261,894" path="m3261,r,16l3245,33r,16l3228,66r-16,33l3196,116r-16,16l3147,149r-16,16l3098,182r-49,16l3016,215r-32,16l2951,248r-65,17l2853,281r-49,17l2739,314r-49,l2625,331r-49,16l2511,364r-65,l2380,381r-65,l2266,397r-81,l2103,414r-65,l1956,414r-48,l1810,430r-82,l1679,430r-98,l1533,430r-82,l1386,414r-82,l1223,414r-49,l1092,397r-65,l945,397,880,381,831,364r-81,l701,347r-65,l570,331,521,314,456,298,424,281,358,265,310,248r-33,l228,231,195,215,163,198,130,182,98,149,65,132,49,116,32,99,16,82,,66,,530r16,16l32,563r17,16l65,596r33,17l130,646r33,16l195,679r33,16l277,712r33,l358,729r66,16l456,762r65,16l570,795r66,16l701,811r49,17l831,828r49,16l945,861r82,l1092,861r82,17l1223,878r81,l1386,878r65,16l1533,894r48,l1679,894r49,l1810,894r98,-16l1956,878r82,l2103,878r82,-17l2266,861r49,-17l2380,844r66,-16l2511,828r65,-17l2625,795r65,-17l2739,778r65,-16l2853,745r33,-16l2951,712r33,-17l3016,679r33,-17l3098,646r33,-17l3147,613r33,-17l3196,579r16,-16l3228,530r17,-17l3245,497r16,-17l3261,463,3261,xe" filled="f" strokeweight="44e-5mm">
              <v:path arrowok="t"/>
            </v:shape>
            <v:shape id="_x0000_s1729" style="position:absolute;left:1843;top:1541;width:3261;height:861" coordsize="3261,861" path="m1614,r98,l1761,r81,l1924,r65,l2071,16r49,l2201,16r82,17l2332,33r81,16l2495,66r32,l2609,83r65,16l2707,99r65,17l2821,132r49,17l2935,165r33,17l3000,199r49,16l3082,232r32,16l3147,265r16,16l3196,315r16,l3228,348r17,16l3245,381r16,16l3261,431r,16l3245,464r,16l3228,497r-16,33l3196,530r-16,33l3147,580r-16,16l3098,613r-49,16l3016,646r-32,16l2935,679r-49,17l2837,712r-33,17l2739,745r-65,17l2625,762r-65,16l2495,795r-49,l2364,812r-81,16l2234,828r-82,l2103,845r-81,l1924,845r-49,l1793,861r-81,l1647,861r-82,l1467,861r-49,l1337,845r-65,l1190,845r-81,-17l1060,828r-82,l897,812r-49,l766,795,701,778r-49,l587,762,538,745,473,729,424,712r-49,l326,696,277,679,244,662,195,646,163,629,130,613,98,580r-17,l49,547,32,530,16,513,,497,1614,431,1614,xe" fillcolor="black" stroked="f">
              <v:fill r:id="rId19" o:title="" type="tile"/>
              <v:path arrowok="t"/>
            </v:shape>
            <v:shape id="_x0000_s1730" style="position:absolute;left:1843;top:1541;width:3261;height:861" coordsize="3261,861" path="m1614,r98,l1761,r81,l1924,r65,l2071,16r49,l2201,16r82,17l2332,33r81,16l2495,66r32,l2609,83r65,16l2707,99r65,17l2821,132r49,17l2935,165r33,17l3000,199r49,16l3082,232r32,16l3147,265r16,16l3196,315r16,l3228,348r17,16l3245,381r16,16l3261,431r,16l3245,464r,16l3228,497r-16,33l3196,530r-16,33l3147,580r-16,16l3098,613r-49,16l3016,646r-32,16l2935,679r-49,17l2837,712r-33,17l2739,745r-65,17l2625,762r-65,16l2495,795r-49,l2364,812r-81,16l2234,828r-82,l2103,845r-81,l1924,845r-49,l1793,861r-81,l1647,861r-82,l1467,861r-49,l1337,845r-65,l1190,845r-81,-17l1060,828r-82,l897,812r-49,l766,795,701,778r-49,l587,762,538,745,473,729,424,712r-49,l326,696,277,679,244,662,195,646,163,629,130,613,98,580r-17,l49,547,32,530,16,513,,497,1614,431,1614,xe" filled="f" strokeweight="44e-5mm">
              <v:path arrowok="t"/>
            </v:shape>
            <v:shape id="_x0000_s1731" style="position:absolute;left:4713;top:2717;width:244;height:331" coordsize="15,20" path="m15,20r-6,l,e" filled="f" strokeweight="44e-5mm">
              <v:path arrowok="t"/>
            </v:shape>
            <v:rect id="_x0000_s1732" style="position:absolute;left:204;top:889;width:2463;height:552" filled="f" stroked="f">
              <v:textbox style="mso-next-textbox:#_x0000_s1732;mso-fit-shape-to-text:t" inset="0,0,0,0">
                <w:txbxContent>
                  <w:p w:rsidR="00E01243" w:rsidRPr="005215B8" w:rsidRDefault="00E01243" w:rsidP="00870DC2">
                    <w:r w:rsidRPr="005215B8">
                      <w:rPr>
                        <w:color w:val="000000"/>
                      </w:rPr>
                      <w:t>Investigative</w:t>
                    </w:r>
                    <w:r>
                      <w:rPr>
                        <w:color w:val="000000"/>
                      </w:rPr>
                      <w:t xml:space="preserve"> Support Services</w:t>
                    </w:r>
                  </w:p>
                </w:txbxContent>
              </v:textbox>
            </v:rect>
            <v:rect id="_x0000_s1734" style="position:absolute;left:578;top:1470;width:575;height:276" filled="f" stroked="f">
              <v:textbox style="mso-next-textbox:#_x0000_s1734;mso-fit-shape-to-text:t" inset="0,0,0,0">
                <w:txbxContent>
                  <w:p w:rsidR="00E01243" w:rsidRPr="005215B8" w:rsidRDefault="00E01243" w:rsidP="00870DC2">
                    <w:r w:rsidRPr="005215B8">
                      <w:rPr>
                        <w:color w:val="000000"/>
                      </w:rPr>
                      <w:t>14%</w:t>
                    </w:r>
                  </w:p>
                </w:txbxContent>
              </v:textbox>
            </v:rect>
            <v:rect id="_x0000_s1735" style="position:absolute;left:3490;top:331;width:109;height:276;mso-wrap-style:none" filled="f" stroked="f">
              <v:textbox style="mso-next-textbox:#_x0000_s1735;mso-fit-shape-to-text:t" inset="0,0,0,0">
                <w:txbxContent>
                  <w:p w:rsidR="00E01243" w:rsidRDefault="00E01243" w:rsidP="00870DC2"/>
                </w:txbxContent>
              </v:textbox>
            </v:rect>
            <v:rect id="_x0000_s1736" style="position:absolute;left:3555;top:613;width:109;height:276;mso-wrap-style:none" filled="f" stroked="f">
              <v:textbox style="mso-next-textbox:#_x0000_s1736;mso-fit-shape-to-text:t" inset="0,0,0,0">
                <w:txbxContent>
                  <w:p w:rsidR="00E01243" w:rsidRDefault="00E01243" w:rsidP="00870DC2"/>
                </w:txbxContent>
              </v:textbox>
            </v:rect>
            <v:rect id="_x0000_s1737" style="position:absolute;left:3522;top:895;width:109;height:276;mso-wrap-style:none" filled="f" stroked="f">
              <v:textbox style="mso-next-textbox:#_x0000_s1737;mso-fit-shape-to-text:t" inset="0,0,0,0">
                <w:txbxContent>
                  <w:p w:rsidR="00E01243" w:rsidRDefault="00E01243" w:rsidP="00870DC2"/>
                </w:txbxContent>
              </v:textbox>
            </v:rect>
            <v:rect id="_x0000_s1738" style="position:absolute;left:3799;top:1176;width:109;height:276;mso-wrap-style:none" filled="f" stroked="f">
              <v:textbox style="mso-next-textbox:#_x0000_s1738;mso-fit-shape-to-text:t" inset="0,0,0,0">
                <w:txbxContent>
                  <w:p w:rsidR="00E01243" w:rsidRDefault="00E01243" w:rsidP="00870DC2"/>
                </w:txbxContent>
              </v:textbox>
            </v:rect>
            <v:rect id="_x0000_s1739" style="position:absolute;left:4990;top:2772;width:2839;height:276;mso-wrap-style:none" filled="f" stroked="f">
              <v:textbox style="mso-next-textbox:#_x0000_s1739;mso-fit-shape-to-text:t" inset="0,0,0,0">
                <w:txbxContent>
                  <w:p w:rsidR="00E01243" w:rsidRPr="005215B8" w:rsidRDefault="00E01243" w:rsidP="00870DC2">
                    <w:r w:rsidRPr="005215B8">
                      <w:rPr>
                        <w:color w:val="000000"/>
                      </w:rPr>
                      <w:t>Law Enforcement Operations</w:t>
                    </w:r>
                  </w:p>
                </w:txbxContent>
              </v:textbox>
            </v:rect>
            <v:rect id="_x0000_s1740" style="position:absolute;left:6121;top:3048;width:490;height:276" filled="f" stroked="f">
              <v:textbox style="mso-next-textbox:#_x0000_s1740;mso-fit-shape-to-text:t" inset="0,0,0,0">
                <w:txbxContent>
                  <w:p w:rsidR="00E01243" w:rsidRPr="005215B8" w:rsidRDefault="00E01243" w:rsidP="00870DC2">
                    <w:r w:rsidRPr="005215B8">
                      <w:rPr>
                        <w:color w:val="000000"/>
                      </w:rPr>
                      <w:t>86%</w:t>
                    </w:r>
                  </w:p>
                </w:txbxContent>
              </v:textbox>
            </v:rect>
            <v:rect id="_x0000_s3864" style="position:absolute;left:5717;top:3261;width:1081;height:276;mso-wrap-style:none" filled="f" stroked="f">
              <v:textbox style="mso-next-textbox:#_x0000_s3864;mso-fit-shape-to-text:t" inset="0,0,0,0">
                <w:txbxContent>
                  <w:p w:rsidR="00E01243" w:rsidRPr="005215B8" w:rsidRDefault="00E01243" w:rsidP="00870DC2">
                    <w:r>
                      <w:rPr>
                        <w:color w:val="000000"/>
                      </w:rPr>
                      <w:t>$1,063,165</w:t>
                    </w:r>
                  </w:p>
                </w:txbxContent>
              </v:textbox>
            </v:rect>
            <v:rect id="_x0000_s3865" style="position:absolute;left:221;top:1746;width:901;height:276;mso-wrap-style:none" filled="f" stroked="f">
              <v:textbox style="mso-next-textbox:#_x0000_s3865;mso-fit-shape-to-text:t" inset="0,0,0,0">
                <w:txbxContent>
                  <w:p w:rsidR="00E01243" w:rsidRPr="005215B8" w:rsidRDefault="00E01243" w:rsidP="00870DC2">
                    <w:r>
                      <w:rPr>
                        <w:color w:val="000000"/>
                      </w:rPr>
                      <w:t>$166,353</w:t>
                    </w:r>
                  </w:p>
                </w:txbxContent>
              </v:textbox>
            </v:rect>
            <w10:wrap type="none"/>
            <w10:anchorlock/>
          </v:group>
        </w:pict>
      </w:r>
    </w:p>
    <w:p w:rsidR="00161C9D" w:rsidRDefault="00161C9D" w:rsidP="007E2FC6">
      <w:pPr>
        <w:pStyle w:val="BodyText"/>
        <w:spacing w:before="100" w:beforeAutospacing="1" w:after="100" w:afterAutospacing="1"/>
        <w:jc w:val="center"/>
        <w:rPr>
          <w:b/>
          <w:szCs w:val="24"/>
        </w:rPr>
      </w:pPr>
    </w:p>
    <w:p w:rsidR="00161C9D" w:rsidRDefault="00161C9D" w:rsidP="007E2FC6">
      <w:pPr>
        <w:pStyle w:val="BodyText"/>
        <w:spacing w:before="100" w:beforeAutospacing="1" w:after="100" w:afterAutospacing="1"/>
        <w:jc w:val="center"/>
        <w:rPr>
          <w:b/>
          <w:szCs w:val="24"/>
        </w:rPr>
      </w:pPr>
    </w:p>
    <w:p w:rsidR="008F6875" w:rsidRPr="00762F09" w:rsidRDefault="008F6875" w:rsidP="007E2FC6">
      <w:pPr>
        <w:pStyle w:val="BodyText"/>
        <w:spacing w:before="100" w:beforeAutospacing="1" w:after="100" w:afterAutospacing="1"/>
        <w:jc w:val="center"/>
        <w:rPr>
          <w:b/>
          <w:szCs w:val="24"/>
        </w:rPr>
      </w:pPr>
      <w:r w:rsidRPr="00762F09">
        <w:rPr>
          <w:b/>
          <w:szCs w:val="24"/>
        </w:rPr>
        <w:t>ATF Homeland Security Counterterrorism Crosscut</w:t>
      </w:r>
    </w:p>
    <w:p w:rsidR="00621813" w:rsidRPr="0036334D" w:rsidRDefault="0032687B" w:rsidP="0036334D">
      <w:pPr>
        <w:pStyle w:val="BodyText"/>
        <w:spacing w:before="100" w:beforeAutospacing="1" w:after="100" w:afterAutospacing="1"/>
        <w:jc w:val="center"/>
        <w:rPr>
          <w:bCs/>
          <w:szCs w:val="24"/>
        </w:rPr>
      </w:pPr>
      <w:r>
        <w:rPr>
          <w:bCs/>
          <w:szCs w:val="24"/>
        </w:rPr>
      </w:r>
      <w:r>
        <w:rPr>
          <w:bCs/>
          <w:szCs w:val="24"/>
        </w:rPr>
        <w:pict>
          <v:group id="_x0000_s1695" editas="canvas" alt="The second graphic on page 9 portrays the policy resource breakout between Counter terrorism/Homeland Security and Other activities.  Homeland Security accounts for 40% of ATF's total resources and Other activities account for the balance of 60% of total resources." style="width:445.25pt;height:204.95pt;mso-position-horizontal-relative:char;mso-position-vertical-relative:line" coordorigin="-760" coordsize="8905,4099">
            <o:lock v:ext="edit" aspectratio="t"/>
            <v:shape id="_x0000_s1696" type="#_x0000_t75" style="position:absolute;left:-760;width:8905;height:4099" o:preferrelative="f" stroked="t" strokeweight=".5pt">
              <v:fill o:detectmouseclick="t"/>
              <v:path o:extrusionok="t" o:connecttype="none"/>
              <o:lock v:ext="edit" text="t"/>
            </v:shape>
            <v:shape id="_x0000_s1697" style="position:absolute;left:3823;top:1515;width:1437;height:920" coordsize="1437,920" path="m1437,r,15l1422,29r,30l1408,74r,15l1393,104r-30,29l1348,148r-14,15l1304,178r-15,15l1245,208r-30,14l1185,237r-29,15l1111,267r-44,15l1022,297r-29,15l948,312r-59,29l845,341r-45,15l741,371r-74,15l622,386r-44,15l519,401r-60,15l385,416r-59,14l267,430r-60,l118,445r-59,l,445,,920r59,l118,920r89,-14l267,906r59,l385,891r74,l519,876r59,l622,861r45,l741,846r59,-15l845,816r44,l948,787r45,l1022,772r45,-15l1111,742r45,-15l1185,713r30,-15l1245,683r44,-15l1304,653r30,-15l1348,623r15,-14l1393,579r15,-15l1408,549r14,-15l1422,505r15,-15l1437,475,1437,xe" fillcolor="black" stroked="f">
              <v:fill r:id="rId16" o:title="" type="tile"/>
              <v:path arrowok="t"/>
            </v:shape>
            <v:shape id="_x0000_s1698" style="position:absolute;left:3823;top:1515;width:1437;height:920" coordsize="1437,920" path="m1437,r,15l1422,29r,30l1408,74r,15l1393,104r-30,29l1348,148r-14,15l1304,178r-15,15l1245,208r-30,14l1185,237r-29,15l1111,267r-44,15l1022,297r-29,15l948,312r-59,29l845,341r-45,15l741,371r-74,15l622,386r-44,15l519,401r-60,15l385,416r-59,14l267,430r-60,l118,445r-59,l,445,,920r59,l118,920r89,-14l267,906r59,l385,891r74,l519,876r59,l622,861r45,l741,846r59,-15l845,816r44,l948,787r45,l1022,772r45,-15l1111,742r45,-15l1185,713r30,-15l1245,683r44,-15l1304,653r30,-15l1348,623r15,-14l1393,579r15,-15l1408,549r14,-15l1422,505r15,-15l1437,475,1437,xe" filled="f">
              <v:path arrowok="t"/>
            </v:shape>
            <v:shape id="_x0000_s1699" style="position:absolute;left:2282;top:1203;width:1245;height:787" coordsize="1245,787" path="m1245,312l,,,475,1245,787r,-475xe" fillcolor="black" stroked="f">
              <v:fill r:id="rId16" o:title="" type="tile"/>
              <v:path arrowok="t"/>
            </v:shape>
            <v:shape id="_x0000_s1700" style="position:absolute;left:2282;top:1203;width:1245;height:787" coordsize="1245,787" path="m1245,312l,,,475,1245,787r,-475xe" filled="f">
              <v:path arrowok="t"/>
            </v:shape>
            <v:shape id="_x0000_s1701" style="position:absolute;left:3527;top:1515;width:296;height:920" coordsize="296,920" path="m,l296,445r,475l,475,,xe" fillcolor="black" stroked="f">
              <v:fill r:id="rId16" o:title="" type="tile"/>
              <v:path arrowok="t"/>
            </v:shape>
            <v:shape id="_x0000_s1702" style="position:absolute;left:3527;top:1515;width:296;height:920" coordsize="296,920" path="m,l296,445r,475l,475,,xe" filled="f">
              <v:path arrowok="t"/>
            </v:shape>
            <v:shape id="_x0000_s1703" style="position:absolute;left:2282;top:1069;width:2978;height:891" coordsize="2978,891" path="m,134l44,119r74,-15l163,104,207,89,281,74,341,60r44,l459,45r60,l578,30r74,l711,15r59,l859,15,919,r59,l1037,r89,l1185,r60,l1333,r60,l1452,r89,l1600,r59,15l1748,15r60,l1867,30r89,l2000,45r60,l2134,60r59,14l2237,74r74,15l2356,104r44,15l2474,134r30,l2549,149r59,15l2652,178r30,15l2726,223r30,l2786,238r29,15l2845,282r30,15l2889,312r30,15l2934,342r15,15l2963,386r,15l2963,416r15,30l2978,461r,14l2963,490r,15l2949,535r-15,15l2919,565r-15,14l2875,609r-30,15l2830,639r-44,15l2756,668r-30,15l2682,698r-30,15l2608,728r-59,15l2504,758r-30,14l2430,787r-74,15l2311,802r-44,15l2193,832r-59,l2089,847r-89,15l1956,862r-59,14l1808,876r-60,l1689,891r-89,l1541,891,1245,446,,134xe" fillcolor="black" stroked="f">
              <v:fill r:id="rId17" o:title="" type="tile"/>
              <v:path arrowok="t"/>
            </v:shape>
            <v:shape id="_x0000_s1704" style="position:absolute;left:2282;top:1069;width:2978;height:891" coordsize="2978,891" path="m,134l44,119r74,-15l163,104,207,89,281,74,341,60r44,l459,45r60,l578,30r74,l711,15r59,l859,15,919,r59,l1037,r89,l1185,r60,l1333,r60,l1452,r89,l1600,r59,15l1748,15r60,l1867,30r89,l2000,45r60,l2134,60r59,14l2237,74r74,15l2356,104r44,15l2474,134r30,l2549,149r59,15l2652,178r30,15l2726,223r30,l2786,238r29,15l2845,282r30,15l2889,312r30,15l2934,342r15,15l2963,386r,15l2963,416r15,30l2978,461r,14l2963,490r,15l2949,535r-15,15l2919,565r-15,14l2875,609r-30,15l2830,639r-44,15l2756,668r-30,15l2682,698r-30,15l2608,728r-59,15l2504,758r-30,14l2430,787r-74,15l2311,802r-44,15l2193,832r-59,l2089,847r-89,15l1956,862r-59,14l1808,876r-60,l1689,891r-89,l1541,891,1245,446,,134xe" filled="f">
              <v:path arrowok="t"/>
            </v:shape>
            <v:shape id="_x0000_s1705" style="position:absolute;left:5053;top:1025;width:281;height:282" coordsize="19,19" path="m19,l12,,,19e" filled="f">
              <v:path arrowok="t"/>
            </v:shape>
            <v:shape id="_x0000_s1706" style="position:absolute;left:1719;top:1515;width:2015;height:935" coordsize="2015,935" path="m2015,445r-59,l1896,460r-88,l1748,460r-59,l1630,460r-89,l1482,445r-60,l1363,445r-59,l1215,430r-59,l1096,430r-44,-14l963,416,919,401r-60,l815,386r-59,l681,371,637,356,593,341r-45,l474,312r-30,l400,297,355,282,326,267,281,252,237,237,207,222,178,208,148,193,118,178,104,163,74,148,59,133,44,104,29,89,15,74r,-15l,29,,15,,,,475r,15l,505r15,29l15,549r14,15l44,579r15,30l74,623r30,15l118,653r30,15l178,683r29,15l237,713r44,14l326,742r29,15l400,772r44,15l474,787r74,29l593,816r44,15l681,846r75,15l815,861r44,15l919,876r44,15l1052,891r44,15l1156,906r59,l1304,920r59,l1422,920r60,l1541,935r89,l1689,935r59,l1808,935r88,l1956,920r59,l2015,445xe" fillcolor="black" stroked="f">
              <v:fill r:id="rId18" o:title="" type="tile"/>
              <v:path arrowok="t"/>
            </v:shape>
            <v:shape id="_x0000_s1707" style="position:absolute;left:1719;top:1515;width:2015;height:935" coordsize="2015,935" path="m2015,445r-59,l1896,460r-88,l1748,460r-59,l1630,460r-89,l1482,445r-60,l1363,445r-59,l1215,430r-59,l1096,430r-44,-14l963,416,919,401r-60,l815,386r-59,l681,371,637,356,593,341r-45,l474,312r-30,l400,297,355,282,326,267,281,252,237,237,207,222,178,208,148,193,118,178,104,163,74,148,59,133,44,104,29,89,15,74r,-15l,29,,15,,,,475r,15l,505r15,29l15,549r14,15l44,579r15,30l74,623r30,15l118,653r30,15l178,683r29,15l237,713r44,14l326,742r29,15l400,772r44,15l474,787r74,29l593,816r44,15l681,846r75,15l815,861r44,15l919,876r44,15l1052,891r44,15l1156,906r59,l1304,920r59,l1422,920r60,l1541,935r89,l1689,935r59,l1808,935r88,l1956,920r59,l2015,445xe" filled="f">
              <v:path arrowok="t"/>
            </v:shape>
            <v:shape id="_x0000_s1708" style="position:absolute;left:1719;top:1203;width:2015;height:772" coordsize="2015,772" path="m2015,757r-59,l1867,772r-59,l1748,772r-59,l1600,772r-59,l1482,757r-89,l1333,757r-59,l1215,742r-89,l1082,742r-60,-14l933,713r-44,l830,698r-45,l711,683,667,668r-60,l548,653,504,638,459,624,415,609,355,594,326,579,296,564,237,549,207,534,178,520,163,505,118,490,104,475,74,460,59,431,44,416,29,401,15,386,,356,,341,,327,,312,,297,,282,15,267,29,237r,-14l44,208,74,178,89,163r15,-15l133,134r45,-15l192,104,222,89,281,74,311,59,341,44,385,30,444,15,474,,1719,312r296,445xe" fillcolor="black" stroked="f">
              <v:fill r:id="rId19" o:title="" type="tile"/>
              <v:path arrowok="t"/>
            </v:shape>
            <v:shape id="_x0000_s1709" style="position:absolute;left:1719;top:1203;width:2015;height:772" coordsize="2015,772" path="m2015,757r-59,l1867,772r-59,l1748,772r-59,l1600,772r-59,l1482,757r-89,l1333,757r-59,l1215,742r-89,l1082,742r-60,-14l933,713r-44,l830,698r-45,l711,683,667,668r-60,l548,653,504,638,459,624,415,609,355,594,326,579,296,564,237,549,207,534,178,520,163,505,118,490,104,475,74,460,59,431,44,416,29,401,15,386,,356,,341,,327,,312,,297,,282,15,267,29,237r,-14l44,208,74,178,89,163r15,-15l133,134r45,-15l192,104,222,89,281,74,311,59,341,44,385,30,444,15,474,,1719,312r296,445xe" filled="f">
              <v:path arrowok="t"/>
            </v:shape>
            <v:shape id="_x0000_s1710" style="position:absolute;left:1704;top:2198;width:207;height:579" coordsize="14,39" path="m,39r7,l14,e" filled="f">
              <v:path arrowok="t"/>
            </v:shape>
            <v:rect id="_x0000_s1711" style="position:absolute;left:4964;top:697;width:1540;height:276;mso-wrap-style:none" filled="f" stroked="f">
              <v:textbox style="mso-next-textbox:#_x0000_s1711;mso-fit-shape-to-text:t" inset="0,0,0,0">
                <w:txbxContent>
                  <w:p w:rsidR="00E01243" w:rsidRPr="005215B8" w:rsidRDefault="00E01243" w:rsidP="00870DC2">
                    <w:r w:rsidRPr="005215B8">
                      <w:rPr>
                        <w:color w:val="000000"/>
                      </w:rPr>
                      <w:t>Other Activities</w:t>
                    </w:r>
                  </w:p>
                </w:txbxContent>
              </v:textbox>
            </v:rect>
            <v:rect id="_x0000_s1712" style="position:absolute;left:5455;top:927;width:440;height:276;mso-wrap-style:none" filled="f" stroked="f">
              <v:textbox style="mso-next-textbox:#_x0000_s1712;mso-fit-shape-to-text:t" inset="0,0,0,0">
                <w:txbxContent>
                  <w:p w:rsidR="00E01243" w:rsidRPr="005215B8" w:rsidRDefault="00E01243" w:rsidP="00870DC2">
                    <w:r w:rsidRPr="005215B8">
                      <w:rPr>
                        <w:color w:val="000000"/>
                      </w:rPr>
                      <w:t xml:space="preserve">60% </w:t>
                    </w:r>
                  </w:p>
                </w:txbxContent>
              </v:textbox>
            </v:rect>
            <v:rect id="_x0000_s1713" style="position:absolute;left:218;top:2198;width:1653;height:276;mso-wrap-style:none" filled="f" stroked="f">
              <v:textbox style="mso-next-textbox:#_x0000_s1713;mso-fit-shape-to-text:t" inset="0,0,0,0">
                <w:txbxContent>
                  <w:p w:rsidR="00E01243" w:rsidRPr="005215B8" w:rsidRDefault="00E01243" w:rsidP="00870DC2">
                    <w:r w:rsidRPr="005215B8">
                      <w:rPr>
                        <w:color w:val="000000"/>
                      </w:rPr>
                      <w:t xml:space="preserve">Counterterrorism </w:t>
                    </w:r>
                  </w:p>
                </w:txbxContent>
              </v:textbox>
            </v:rect>
            <v:rect id="_x0000_s1714" style="position:absolute;left:468;top:2428;width:1000;height:276;mso-wrap-style:none" filled="f" stroked="f">
              <v:textbox style="mso-next-textbox:#_x0000_s1714;mso-fit-shape-to-text:t" inset="0,0,0,0">
                <w:txbxContent>
                  <w:p w:rsidR="00E01243" w:rsidRPr="005215B8" w:rsidRDefault="00E01243" w:rsidP="00870DC2">
                    <w:r w:rsidRPr="005215B8">
                      <w:rPr>
                        <w:color w:val="000000"/>
                      </w:rPr>
                      <w:t xml:space="preserve">Homeland </w:t>
                    </w:r>
                  </w:p>
                </w:txbxContent>
              </v:textbox>
            </v:rect>
            <v:rect id="_x0000_s1715" style="position:absolute;left:558;top:2658;width:800;height:276;mso-wrap-style:none" filled="f" stroked="f">
              <v:textbox style="mso-next-textbox:#_x0000_s1715;mso-fit-shape-to-text:t" inset="0,0,0,0">
                <w:txbxContent>
                  <w:p w:rsidR="00E01243" w:rsidRPr="005215B8" w:rsidRDefault="00E01243" w:rsidP="00870DC2">
                    <w:r w:rsidRPr="005215B8">
                      <w:rPr>
                        <w:color w:val="000000"/>
                      </w:rPr>
                      <w:t xml:space="preserve">Security </w:t>
                    </w:r>
                  </w:p>
                </w:txbxContent>
              </v:textbox>
            </v:rect>
            <v:rect id="_x0000_s1716" style="position:absolute;left:771;top:2935;width:109;height:276;mso-wrap-style:none" filled="f" stroked="f">
              <v:textbox style="mso-next-textbox:#_x0000_s1716;mso-fit-shape-to-text:t" inset="0,0,0,0">
                <w:txbxContent>
                  <w:p w:rsidR="00E01243" w:rsidRDefault="00E01243" w:rsidP="00870DC2"/>
                </w:txbxContent>
              </v:textbox>
            </v:rect>
            <v:rect id="_x0000_s1717" style="position:absolute;left:771;top:2903;width:440;height:276;mso-wrap-style:none" filled="f" stroked="f">
              <v:textbox style="mso-next-textbox:#_x0000_s1717;mso-fit-shape-to-text:t" inset="0,0,0,0">
                <w:txbxContent>
                  <w:p w:rsidR="00E01243" w:rsidRPr="005215B8" w:rsidRDefault="00E01243" w:rsidP="00870DC2">
                    <w:r w:rsidRPr="005215B8">
                      <w:rPr>
                        <w:color w:val="000000"/>
                      </w:rPr>
                      <w:t>40%</w:t>
                    </w:r>
                  </w:p>
                </w:txbxContent>
              </v:textbox>
            </v:rect>
            <v:rect id="_x0000_s3866" style="position:absolute;left:5334;top:1307;width:901;height:276;mso-wrap-style:none" filled="f" stroked="f">
              <v:textbox style="mso-next-textbox:#_x0000_s3866;mso-fit-shape-to-text:t" inset="0,0,0,0">
                <w:txbxContent>
                  <w:p w:rsidR="00E01243" w:rsidRPr="005215B8" w:rsidRDefault="00E01243" w:rsidP="00870DC2">
                    <w:r>
                      <w:rPr>
                        <w:color w:val="000000"/>
                      </w:rPr>
                      <w:t>$737,711</w:t>
                    </w:r>
                  </w:p>
                </w:txbxContent>
              </v:textbox>
            </v:rect>
            <v:rect id="_x0000_s3867" style="position:absolute;left:456;top:3211;width:901;height:276;mso-wrap-style:none" filled="f" stroked="f">
              <v:textbox style="mso-next-textbox:#_x0000_s3867;mso-fit-shape-to-text:t" inset="0,0,0,0">
                <w:txbxContent>
                  <w:p w:rsidR="00E01243" w:rsidRPr="005215B8" w:rsidRDefault="00E01243" w:rsidP="00870DC2">
                    <w:r>
                      <w:rPr>
                        <w:color w:val="000000"/>
                      </w:rPr>
                      <w:t>$491,807</w:t>
                    </w:r>
                  </w:p>
                </w:txbxContent>
              </v:textbox>
            </v:rect>
            <w10:wrap type="none"/>
            <w10:anchorlock/>
          </v:group>
        </w:pict>
      </w:r>
    </w:p>
    <w:p w:rsidR="00621813" w:rsidRDefault="00621813" w:rsidP="00621813">
      <w:pPr>
        <w:pStyle w:val="BudgetHeading2"/>
        <w:numPr>
          <w:ilvl w:val="0"/>
          <w:numId w:val="0"/>
        </w:numPr>
        <w:rPr>
          <w:bCs w:val="0"/>
        </w:rPr>
      </w:pPr>
    </w:p>
    <w:p w:rsidR="00161C9D" w:rsidRDefault="00161C9D" w:rsidP="00621813">
      <w:pPr>
        <w:pStyle w:val="BudgetHeading2"/>
        <w:numPr>
          <w:ilvl w:val="0"/>
          <w:numId w:val="0"/>
        </w:numPr>
        <w:rPr>
          <w:bCs w:val="0"/>
        </w:rPr>
      </w:pPr>
    </w:p>
    <w:p w:rsidR="00161C9D" w:rsidRDefault="00161C9D" w:rsidP="00621813">
      <w:pPr>
        <w:pStyle w:val="BudgetHeading2"/>
        <w:numPr>
          <w:ilvl w:val="0"/>
          <w:numId w:val="0"/>
        </w:numPr>
        <w:rPr>
          <w:bCs w:val="0"/>
        </w:rPr>
      </w:pPr>
    </w:p>
    <w:p w:rsidR="001761BF" w:rsidRDefault="001761BF" w:rsidP="00621813">
      <w:pPr>
        <w:pStyle w:val="BudgetHeading2"/>
        <w:numPr>
          <w:ilvl w:val="0"/>
          <w:numId w:val="0"/>
        </w:numPr>
        <w:rPr>
          <w:bCs w:val="0"/>
        </w:rPr>
      </w:pPr>
    </w:p>
    <w:p w:rsidR="00161C9D" w:rsidRDefault="00161C9D" w:rsidP="00621813">
      <w:pPr>
        <w:pStyle w:val="BudgetHeading2"/>
        <w:numPr>
          <w:ilvl w:val="0"/>
          <w:numId w:val="0"/>
        </w:numPr>
        <w:rPr>
          <w:bCs w:val="0"/>
        </w:rPr>
      </w:pPr>
    </w:p>
    <w:p w:rsidR="00161C9D" w:rsidRDefault="00161C9D" w:rsidP="00621813">
      <w:pPr>
        <w:pStyle w:val="BudgetHeading2"/>
        <w:numPr>
          <w:ilvl w:val="0"/>
          <w:numId w:val="0"/>
        </w:numPr>
        <w:rPr>
          <w:bCs w:val="0"/>
        </w:rPr>
      </w:pPr>
    </w:p>
    <w:p w:rsidR="002D1764" w:rsidRDefault="002D1764" w:rsidP="00621813">
      <w:pPr>
        <w:pStyle w:val="BudgetHeading2"/>
        <w:numPr>
          <w:ilvl w:val="0"/>
          <w:numId w:val="0"/>
        </w:numPr>
        <w:rPr>
          <w:bCs w:val="0"/>
        </w:rPr>
      </w:pPr>
    </w:p>
    <w:p w:rsidR="002D1764" w:rsidRDefault="002D1764" w:rsidP="00621813">
      <w:pPr>
        <w:pStyle w:val="BudgetHeading2"/>
        <w:numPr>
          <w:ilvl w:val="0"/>
          <w:numId w:val="0"/>
        </w:numPr>
        <w:rPr>
          <w:bCs w:val="0"/>
        </w:rPr>
      </w:pPr>
    </w:p>
    <w:p w:rsidR="00621813" w:rsidRDefault="00621813" w:rsidP="00621813">
      <w:pPr>
        <w:pStyle w:val="BudgetHeading2"/>
        <w:numPr>
          <w:ilvl w:val="0"/>
          <w:numId w:val="0"/>
        </w:numPr>
        <w:rPr>
          <w:b w:val="0"/>
          <w:bCs w:val="0"/>
        </w:rPr>
      </w:pPr>
      <w:r>
        <w:rPr>
          <w:bCs w:val="0"/>
        </w:rPr>
        <w:lastRenderedPageBreak/>
        <w:t>F</w:t>
      </w:r>
      <w:r w:rsidRPr="00F33778">
        <w:rPr>
          <w:bCs w:val="0"/>
        </w:rPr>
        <w:t xml:space="preserve">.  </w:t>
      </w:r>
      <w:r w:rsidRPr="002E1130">
        <w:rPr>
          <w:bCs w:val="0"/>
        </w:rPr>
        <w:t>Environmental Management</w:t>
      </w:r>
    </w:p>
    <w:p w:rsidR="00621813" w:rsidRDefault="00621813" w:rsidP="00621813">
      <w:pPr>
        <w:pStyle w:val="BodyText"/>
        <w:keepNext/>
        <w:rPr>
          <w:b/>
          <w:bCs/>
          <w:szCs w:val="24"/>
        </w:rPr>
      </w:pPr>
    </w:p>
    <w:p w:rsidR="00621813" w:rsidRDefault="00621813" w:rsidP="00621813">
      <w:r w:rsidRPr="002E1130">
        <w:rPr>
          <w:color w:val="000000"/>
        </w:rPr>
        <w:t xml:space="preserve">ATF has fully implemented Environmental Management Systems at its four laboratories, </w:t>
      </w:r>
      <w:r w:rsidR="00A865E5">
        <w:rPr>
          <w:color w:val="000000"/>
        </w:rPr>
        <w:t xml:space="preserve">including the environmentally-friendly </w:t>
      </w:r>
      <w:r w:rsidRPr="002E1130">
        <w:rPr>
          <w:color w:val="000000"/>
        </w:rPr>
        <w:t>Fire Research Laboratory (FRL)</w:t>
      </w:r>
      <w:r w:rsidR="006F6372">
        <w:rPr>
          <w:color w:val="000000"/>
        </w:rPr>
        <w:t>.</w:t>
      </w:r>
      <w:r w:rsidRPr="002E1130">
        <w:rPr>
          <w:color w:val="000000"/>
        </w:rPr>
        <w:t xml:space="preserve"> The FRL reuses 75</w:t>
      </w:r>
      <w:r w:rsidR="00B71E25">
        <w:rPr>
          <w:color w:val="000000"/>
        </w:rPr>
        <w:t xml:space="preserve"> percent </w:t>
      </w:r>
      <w:r w:rsidRPr="002E1130">
        <w:rPr>
          <w:color w:val="000000"/>
        </w:rPr>
        <w:t>of the water utilized for fire suppression and controls its test fire emissions into the outside environment by using a wet electrostatic precipitator</w:t>
      </w:r>
      <w:r w:rsidR="006F6372">
        <w:rPr>
          <w:color w:val="000000"/>
        </w:rPr>
        <w:t>,</w:t>
      </w:r>
      <w:r w:rsidRPr="002E1130">
        <w:rPr>
          <w:color w:val="000000"/>
        </w:rPr>
        <w:t xml:space="preserve"> virtually elimina</w:t>
      </w:r>
      <w:r w:rsidR="006F6372">
        <w:rPr>
          <w:color w:val="000000"/>
        </w:rPr>
        <w:t>ting</w:t>
      </w:r>
      <w:r w:rsidRPr="002E1130">
        <w:rPr>
          <w:color w:val="000000"/>
        </w:rPr>
        <w:t xml:space="preserve"> the exhaust contaminates.  Additionally, ATF has reviewed its acquisition policy and procedures </w:t>
      </w:r>
      <w:r w:rsidR="006F2B39">
        <w:rPr>
          <w:color w:val="000000"/>
        </w:rPr>
        <w:t xml:space="preserve">to ensure compliance </w:t>
      </w:r>
      <w:r w:rsidRPr="002E1130">
        <w:rPr>
          <w:color w:val="000000"/>
        </w:rPr>
        <w:t xml:space="preserve">with the Department's Green Purchasing Program. </w:t>
      </w:r>
      <w:r w:rsidR="00A95011">
        <w:rPr>
          <w:color w:val="000000"/>
        </w:rPr>
        <w:t xml:space="preserve"> </w:t>
      </w:r>
      <w:r w:rsidRPr="002E1130">
        <w:rPr>
          <w:color w:val="000000"/>
        </w:rPr>
        <w:t>Green purchasing training has been conducted for all Contracting Officers and Purchase Card Holders.  ATF is developing policy and procedures to</w:t>
      </w:r>
      <w:r w:rsidR="006F2B39">
        <w:rPr>
          <w:color w:val="000000"/>
        </w:rPr>
        <w:t xml:space="preserve"> address</w:t>
      </w:r>
      <w:r w:rsidRPr="002E1130">
        <w:rPr>
          <w:color w:val="000000"/>
        </w:rPr>
        <w:t xml:space="preserve"> compliance with Executive Order 13423, as it relates to Toxic and Hazardous Chemical reduction, Sustainable Buildings, Energy Management, Transportation, Recycling, Water Management, Environmental Management Systems, and Electronics </w:t>
      </w:r>
      <w:r w:rsidRPr="002E1130">
        <w:t>Stewardship</w:t>
      </w:r>
      <w:r w:rsidRPr="002E1130">
        <w:rPr>
          <w:color w:val="000000"/>
        </w:rPr>
        <w:t xml:space="preserve">.  More information on </w:t>
      </w:r>
      <w:r w:rsidR="002E3EAB">
        <w:rPr>
          <w:color w:val="000000"/>
        </w:rPr>
        <w:t>Federal</w:t>
      </w:r>
      <w:r w:rsidRPr="002E1130">
        <w:rPr>
          <w:color w:val="000000"/>
        </w:rPr>
        <w:t xml:space="preserve"> Environmental Requirements and DOJ’s Environmental Programs can be found at </w:t>
      </w:r>
      <w:hyperlink r:id="rId20" w:history="1">
        <w:r w:rsidRPr="002E1130">
          <w:rPr>
            <w:rStyle w:val="Hyperlink"/>
          </w:rPr>
          <w:t>www.usdoj.gov\jmd\ep</w:t>
        </w:r>
      </w:hyperlink>
      <w:r w:rsidRPr="002E1130">
        <w:rPr>
          <w:color w:val="000000"/>
        </w:rPr>
        <w:t>.</w:t>
      </w:r>
      <w:r>
        <w:rPr>
          <w:color w:val="000000"/>
        </w:rPr>
        <w:t xml:space="preserve"> </w:t>
      </w:r>
    </w:p>
    <w:p w:rsidR="002546F2" w:rsidRDefault="002546F2" w:rsidP="00403AA9">
      <w:pPr>
        <w:rPr>
          <w:b/>
          <w:bCs/>
        </w:rPr>
      </w:pPr>
    </w:p>
    <w:p w:rsidR="003442F0" w:rsidRDefault="003442F0">
      <w:pPr>
        <w:rPr>
          <w:b/>
          <w:bCs/>
        </w:rPr>
      </w:pPr>
      <w:r>
        <w:rPr>
          <w:b/>
          <w:bCs/>
        </w:rPr>
        <w:br w:type="page"/>
      </w:r>
    </w:p>
    <w:p w:rsidR="00403AA9" w:rsidRDefault="00403AA9" w:rsidP="00403AA9">
      <w:pPr>
        <w:rPr>
          <w:b/>
          <w:bCs/>
        </w:rPr>
      </w:pPr>
      <w:r>
        <w:rPr>
          <w:b/>
          <w:bCs/>
        </w:rPr>
        <w:lastRenderedPageBreak/>
        <w:t xml:space="preserve">II. </w:t>
      </w:r>
      <w:r w:rsidRPr="00EB7CB2">
        <w:rPr>
          <w:b/>
          <w:bCs/>
        </w:rPr>
        <w:t>Summary of Program Changes</w:t>
      </w:r>
    </w:p>
    <w:p w:rsidR="00503D76" w:rsidRPr="009A2BB6" w:rsidRDefault="00503D76" w:rsidP="00403AA9">
      <w:pPr>
        <w:rPr>
          <w:b/>
          <w:bCs/>
          <w:color w:val="FF000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4590"/>
        <w:gridCol w:w="810"/>
        <w:gridCol w:w="720"/>
        <w:gridCol w:w="1080"/>
        <w:gridCol w:w="720"/>
      </w:tblGrid>
      <w:tr w:rsidR="00503D76" w:rsidRPr="000E2AEC" w:rsidTr="00C22494">
        <w:trPr>
          <w:cantSplit/>
        </w:trPr>
        <w:tc>
          <w:tcPr>
            <w:tcW w:w="1818" w:type="dxa"/>
            <w:vMerge w:val="restart"/>
            <w:shd w:val="clear" w:color="auto" w:fill="E6E6E6"/>
          </w:tcPr>
          <w:p w:rsidR="00503D76" w:rsidRPr="000E2AEC" w:rsidRDefault="00503D76" w:rsidP="00503D76">
            <w:pPr>
              <w:pStyle w:val="BodyText"/>
              <w:jc w:val="center"/>
              <w:rPr>
                <w:b/>
                <w:bCs/>
                <w:szCs w:val="24"/>
              </w:rPr>
            </w:pPr>
          </w:p>
          <w:p w:rsidR="00503D76" w:rsidRPr="000E2AEC" w:rsidRDefault="00503D76" w:rsidP="00503D76">
            <w:pPr>
              <w:pStyle w:val="BodyText"/>
              <w:jc w:val="center"/>
              <w:rPr>
                <w:b/>
                <w:bCs/>
                <w:szCs w:val="24"/>
              </w:rPr>
            </w:pPr>
            <w:r w:rsidRPr="000E2AEC">
              <w:rPr>
                <w:b/>
                <w:bCs/>
                <w:szCs w:val="24"/>
              </w:rPr>
              <w:t>Item Name</w:t>
            </w:r>
          </w:p>
        </w:tc>
        <w:tc>
          <w:tcPr>
            <w:tcW w:w="7200" w:type="dxa"/>
            <w:gridSpan w:val="4"/>
            <w:shd w:val="clear" w:color="auto" w:fill="E6E6E6"/>
          </w:tcPr>
          <w:p w:rsidR="00503D76" w:rsidRPr="000E2AEC" w:rsidRDefault="00503D76" w:rsidP="00503D76">
            <w:pPr>
              <w:pStyle w:val="BodyText"/>
              <w:jc w:val="center"/>
              <w:rPr>
                <w:b/>
                <w:bCs/>
                <w:szCs w:val="24"/>
              </w:rPr>
            </w:pPr>
          </w:p>
          <w:p w:rsidR="00503D76" w:rsidRPr="000E2AEC" w:rsidRDefault="00503D76" w:rsidP="00503D76">
            <w:pPr>
              <w:pStyle w:val="BodyText"/>
              <w:jc w:val="center"/>
              <w:rPr>
                <w:b/>
                <w:bCs/>
                <w:szCs w:val="24"/>
              </w:rPr>
            </w:pPr>
            <w:r w:rsidRPr="000E2AEC">
              <w:rPr>
                <w:b/>
                <w:bCs/>
                <w:szCs w:val="24"/>
              </w:rPr>
              <w:t>Description</w:t>
            </w:r>
          </w:p>
        </w:tc>
        <w:tc>
          <w:tcPr>
            <w:tcW w:w="720" w:type="dxa"/>
            <w:vMerge w:val="restart"/>
            <w:shd w:val="clear" w:color="auto" w:fill="E6E6E6"/>
          </w:tcPr>
          <w:p w:rsidR="00503D76" w:rsidRPr="000E2AEC" w:rsidRDefault="00503D76" w:rsidP="00503D76">
            <w:pPr>
              <w:pStyle w:val="BodyText"/>
              <w:jc w:val="center"/>
              <w:rPr>
                <w:b/>
                <w:bCs/>
                <w:szCs w:val="24"/>
              </w:rPr>
            </w:pPr>
          </w:p>
          <w:p w:rsidR="00503D76" w:rsidRPr="000E2AEC" w:rsidRDefault="00503D76" w:rsidP="00503D76">
            <w:pPr>
              <w:pStyle w:val="BodyText"/>
              <w:jc w:val="center"/>
              <w:rPr>
                <w:b/>
                <w:bCs/>
                <w:szCs w:val="24"/>
              </w:rPr>
            </w:pPr>
            <w:r w:rsidRPr="000E2AEC">
              <w:rPr>
                <w:b/>
                <w:bCs/>
                <w:szCs w:val="24"/>
              </w:rPr>
              <w:t>Page</w:t>
            </w:r>
          </w:p>
        </w:tc>
      </w:tr>
      <w:tr w:rsidR="00503D76" w:rsidRPr="000E2AEC" w:rsidTr="00C22494">
        <w:trPr>
          <w:cantSplit/>
        </w:trPr>
        <w:tc>
          <w:tcPr>
            <w:tcW w:w="1818" w:type="dxa"/>
            <w:vMerge/>
          </w:tcPr>
          <w:p w:rsidR="00503D76" w:rsidRPr="000E2AEC" w:rsidRDefault="00503D76" w:rsidP="00503D76">
            <w:pPr>
              <w:pStyle w:val="BodyText"/>
              <w:jc w:val="center"/>
              <w:rPr>
                <w:b/>
                <w:bCs/>
                <w:szCs w:val="24"/>
              </w:rPr>
            </w:pPr>
          </w:p>
        </w:tc>
        <w:tc>
          <w:tcPr>
            <w:tcW w:w="4590" w:type="dxa"/>
          </w:tcPr>
          <w:p w:rsidR="00503D76" w:rsidRPr="000E2AEC" w:rsidRDefault="00503D76" w:rsidP="00503D76">
            <w:pPr>
              <w:pStyle w:val="BodyText"/>
              <w:jc w:val="center"/>
              <w:rPr>
                <w:b/>
                <w:bCs/>
                <w:szCs w:val="24"/>
              </w:rPr>
            </w:pPr>
          </w:p>
        </w:tc>
        <w:tc>
          <w:tcPr>
            <w:tcW w:w="810" w:type="dxa"/>
            <w:shd w:val="clear" w:color="auto" w:fill="F3F3F3"/>
          </w:tcPr>
          <w:p w:rsidR="00503D76" w:rsidRPr="000E2AEC" w:rsidRDefault="00503D76" w:rsidP="00503D76">
            <w:pPr>
              <w:pStyle w:val="BodyText"/>
              <w:jc w:val="center"/>
              <w:rPr>
                <w:b/>
                <w:bCs/>
                <w:szCs w:val="24"/>
              </w:rPr>
            </w:pPr>
          </w:p>
          <w:p w:rsidR="00503D76" w:rsidRPr="000E2AEC" w:rsidRDefault="00503D76" w:rsidP="00503D76">
            <w:pPr>
              <w:pStyle w:val="BodyText"/>
              <w:jc w:val="center"/>
              <w:rPr>
                <w:b/>
                <w:bCs/>
                <w:szCs w:val="24"/>
              </w:rPr>
            </w:pPr>
            <w:r w:rsidRPr="000E2AEC">
              <w:rPr>
                <w:b/>
                <w:bCs/>
                <w:szCs w:val="24"/>
              </w:rPr>
              <w:t>Pos.</w:t>
            </w:r>
          </w:p>
        </w:tc>
        <w:tc>
          <w:tcPr>
            <w:tcW w:w="720" w:type="dxa"/>
            <w:shd w:val="clear" w:color="auto" w:fill="F3F3F3"/>
          </w:tcPr>
          <w:p w:rsidR="00503D76" w:rsidRPr="000E2AEC" w:rsidRDefault="00503D76" w:rsidP="00503D76">
            <w:pPr>
              <w:pStyle w:val="BodyText"/>
              <w:jc w:val="center"/>
              <w:rPr>
                <w:b/>
                <w:bCs/>
                <w:szCs w:val="24"/>
              </w:rPr>
            </w:pPr>
          </w:p>
          <w:p w:rsidR="00503D76" w:rsidRPr="000E2AEC" w:rsidRDefault="00503D76" w:rsidP="00503D76">
            <w:pPr>
              <w:pStyle w:val="BodyText"/>
              <w:jc w:val="center"/>
              <w:rPr>
                <w:b/>
                <w:bCs/>
                <w:szCs w:val="24"/>
              </w:rPr>
            </w:pPr>
            <w:r w:rsidRPr="000E2AEC">
              <w:rPr>
                <w:b/>
                <w:bCs/>
                <w:szCs w:val="24"/>
              </w:rPr>
              <w:t>FTE</w:t>
            </w:r>
          </w:p>
        </w:tc>
        <w:tc>
          <w:tcPr>
            <w:tcW w:w="1080" w:type="dxa"/>
            <w:shd w:val="clear" w:color="auto" w:fill="F3F3F3"/>
          </w:tcPr>
          <w:p w:rsidR="00503D76" w:rsidRPr="000E2AEC" w:rsidRDefault="00503D76" w:rsidP="00503D76">
            <w:pPr>
              <w:pStyle w:val="BodyText"/>
              <w:jc w:val="center"/>
              <w:rPr>
                <w:b/>
                <w:bCs/>
                <w:szCs w:val="24"/>
              </w:rPr>
            </w:pPr>
            <w:r w:rsidRPr="000E2AEC">
              <w:rPr>
                <w:b/>
                <w:bCs/>
                <w:szCs w:val="24"/>
              </w:rPr>
              <w:t>Dollars ($000)</w:t>
            </w:r>
          </w:p>
        </w:tc>
        <w:tc>
          <w:tcPr>
            <w:tcW w:w="720" w:type="dxa"/>
            <w:vMerge/>
          </w:tcPr>
          <w:p w:rsidR="00503D76" w:rsidRPr="000E2AEC" w:rsidRDefault="00503D76" w:rsidP="00503D76">
            <w:pPr>
              <w:pStyle w:val="BodyText"/>
              <w:jc w:val="center"/>
              <w:rPr>
                <w:b/>
                <w:bCs/>
                <w:szCs w:val="24"/>
              </w:rPr>
            </w:pPr>
          </w:p>
        </w:tc>
      </w:tr>
      <w:tr w:rsidR="00503D76" w:rsidRPr="000E2AEC" w:rsidTr="00C22494">
        <w:tc>
          <w:tcPr>
            <w:tcW w:w="1818" w:type="dxa"/>
          </w:tcPr>
          <w:p w:rsidR="00503D76" w:rsidRPr="000E2AEC" w:rsidRDefault="009112CA" w:rsidP="002D1764">
            <w:pPr>
              <w:pStyle w:val="BodyText"/>
              <w:rPr>
                <w:b/>
                <w:bCs/>
                <w:szCs w:val="24"/>
              </w:rPr>
            </w:pPr>
            <w:r>
              <w:rPr>
                <w:b/>
                <w:bCs/>
                <w:szCs w:val="24"/>
              </w:rPr>
              <w:t xml:space="preserve">Enforcement, </w:t>
            </w:r>
            <w:r w:rsidR="00603E45">
              <w:rPr>
                <w:b/>
                <w:bCs/>
                <w:szCs w:val="24"/>
              </w:rPr>
              <w:t>T</w:t>
            </w:r>
            <w:r w:rsidR="002D1764">
              <w:rPr>
                <w:b/>
                <w:bCs/>
                <w:szCs w:val="24"/>
              </w:rPr>
              <w:t>racing, and Inspections</w:t>
            </w:r>
          </w:p>
        </w:tc>
        <w:tc>
          <w:tcPr>
            <w:tcW w:w="4590" w:type="dxa"/>
          </w:tcPr>
          <w:p w:rsidR="00503D76" w:rsidRPr="00982D89" w:rsidRDefault="009112CA" w:rsidP="006046B0">
            <w:pPr>
              <w:pStyle w:val="BodyText"/>
              <w:rPr>
                <w:bCs/>
                <w:szCs w:val="24"/>
              </w:rPr>
            </w:pPr>
            <w:r w:rsidRPr="009112CA">
              <w:rPr>
                <w:color w:val="000000"/>
                <w:szCs w:val="24"/>
              </w:rPr>
              <w:t xml:space="preserve">The requested </w:t>
            </w:r>
            <w:r>
              <w:rPr>
                <w:color w:val="000000"/>
                <w:szCs w:val="24"/>
              </w:rPr>
              <w:t>resources</w:t>
            </w:r>
            <w:r w:rsidRPr="009112CA">
              <w:rPr>
                <w:color w:val="000000"/>
                <w:szCs w:val="24"/>
              </w:rPr>
              <w:t xml:space="preserve"> will support increased criminal enforcement and inspections capabilities for ATF, as well as enhance crime gun tracing activities at ATF’s National Tracing Center.</w:t>
            </w:r>
          </w:p>
        </w:tc>
        <w:tc>
          <w:tcPr>
            <w:tcW w:w="810" w:type="dxa"/>
          </w:tcPr>
          <w:p w:rsidR="00ED0083" w:rsidRDefault="00ED0083" w:rsidP="009112CA">
            <w:pPr>
              <w:pStyle w:val="BodyText"/>
              <w:jc w:val="center"/>
              <w:rPr>
                <w:b/>
                <w:bCs/>
                <w:szCs w:val="24"/>
              </w:rPr>
            </w:pPr>
          </w:p>
          <w:p w:rsidR="00982D89" w:rsidRDefault="00982D89" w:rsidP="009112CA">
            <w:pPr>
              <w:pStyle w:val="BodyText"/>
              <w:jc w:val="center"/>
              <w:rPr>
                <w:b/>
                <w:bCs/>
                <w:szCs w:val="24"/>
              </w:rPr>
            </w:pPr>
          </w:p>
          <w:p w:rsidR="00503D76" w:rsidRPr="000E2AEC" w:rsidRDefault="0016039B" w:rsidP="009112CA">
            <w:pPr>
              <w:pStyle w:val="BodyText"/>
              <w:rPr>
                <w:b/>
                <w:bCs/>
                <w:szCs w:val="24"/>
              </w:rPr>
            </w:pPr>
            <w:r>
              <w:rPr>
                <w:b/>
                <w:bCs/>
                <w:szCs w:val="24"/>
              </w:rPr>
              <w:t>255</w:t>
            </w:r>
          </w:p>
        </w:tc>
        <w:tc>
          <w:tcPr>
            <w:tcW w:w="720" w:type="dxa"/>
          </w:tcPr>
          <w:p w:rsidR="00ED0083" w:rsidRDefault="00ED0083" w:rsidP="009112CA">
            <w:pPr>
              <w:pStyle w:val="BodyText"/>
              <w:jc w:val="center"/>
              <w:rPr>
                <w:b/>
                <w:bCs/>
                <w:szCs w:val="24"/>
              </w:rPr>
            </w:pPr>
          </w:p>
          <w:p w:rsidR="00982D89" w:rsidRDefault="00982D89" w:rsidP="009112CA">
            <w:pPr>
              <w:pStyle w:val="BodyText"/>
              <w:jc w:val="center"/>
              <w:rPr>
                <w:b/>
                <w:bCs/>
                <w:szCs w:val="24"/>
              </w:rPr>
            </w:pPr>
          </w:p>
          <w:p w:rsidR="00503D76" w:rsidRPr="000E2AEC" w:rsidRDefault="0016039B" w:rsidP="009112CA">
            <w:pPr>
              <w:pStyle w:val="BodyText"/>
              <w:rPr>
                <w:b/>
                <w:bCs/>
                <w:szCs w:val="24"/>
              </w:rPr>
            </w:pPr>
            <w:r>
              <w:rPr>
                <w:b/>
                <w:bCs/>
                <w:szCs w:val="24"/>
              </w:rPr>
              <w:t>128</w:t>
            </w:r>
          </w:p>
        </w:tc>
        <w:tc>
          <w:tcPr>
            <w:tcW w:w="1080" w:type="dxa"/>
          </w:tcPr>
          <w:p w:rsidR="00ED0083" w:rsidRDefault="00ED0083" w:rsidP="009112CA">
            <w:pPr>
              <w:pStyle w:val="BodyText"/>
              <w:jc w:val="center"/>
              <w:rPr>
                <w:b/>
                <w:bCs/>
                <w:szCs w:val="24"/>
              </w:rPr>
            </w:pPr>
          </w:p>
          <w:p w:rsidR="00982D89" w:rsidRDefault="00982D89" w:rsidP="009112CA">
            <w:pPr>
              <w:pStyle w:val="BodyText"/>
              <w:jc w:val="center"/>
              <w:rPr>
                <w:b/>
                <w:bCs/>
                <w:szCs w:val="24"/>
              </w:rPr>
            </w:pPr>
          </w:p>
          <w:p w:rsidR="00503D76" w:rsidRPr="000E2AEC" w:rsidRDefault="009F194D" w:rsidP="005C0D00">
            <w:pPr>
              <w:pStyle w:val="BodyText"/>
              <w:rPr>
                <w:b/>
                <w:bCs/>
                <w:szCs w:val="24"/>
              </w:rPr>
            </w:pPr>
            <w:r>
              <w:rPr>
                <w:b/>
                <w:bCs/>
                <w:szCs w:val="24"/>
              </w:rPr>
              <w:t>$</w:t>
            </w:r>
            <w:r w:rsidR="002D1764">
              <w:rPr>
                <w:b/>
                <w:bCs/>
                <w:szCs w:val="24"/>
              </w:rPr>
              <w:t>5</w:t>
            </w:r>
            <w:r w:rsidR="005C0D00">
              <w:rPr>
                <w:b/>
                <w:bCs/>
                <w:szCs w:val="24"/>
              </w:rPr>
              <w:t>1</w:t>
            </w:r>
            <w:r w:rsidR="002D1764">
              <w:rPr>
                <w:b/>
                <w:bCs/>
                <w:szCs w:val="24"/>
              </w:rPr>
              <w:t>,078</w:t>
            </w:r>
          </w:p>
        </w:tc>
        <w:tc>
          <w:tcPr>
            <w:tcW w:w="720" w:type="dxa"/>
          </w:tcPr>
          <w:p w:rsidR="00503D76" w:rsidRDefault="00503D76" w:rsidP="009112CA">
            <w:pPr>
              <w:pStyle w:val="BodyText"/>
              <w:jc w:val="center"/>
              <w:rPr>
                <w:b/>
                <w:bCs/>
                <w:szCs w:val="24"/>
              </w:rPr>
            </w:pPr>
          </w:p>
          <w:p w:rsidR="00982D89" w:rsidRDefault="00982D89" w:rsidP="009112CA">
            <w:pPr>
              <w:pStyle w:val="BodyText"/>
              <w:jc w:val="center"/>
              <w:rPr>
                <w:b/>
                <w:bCs/>
                <w:szCs w:val="24"/>
              </w:rPr>
            </w:pPr>
          </w:p>
          <w:p w:rsidR="00ED0083" w:rsidRPr="000E2AEC" w:rsidRDefault="00B66D5D" w:rsidP="009112CA">
            <w:pPr>
              <w:pStyle w:val="BodyText"/>
              <w:jc w:val="center"/>
              <w:rPr>
                <w:b/>
                <w:bCs/>
                <w:szCs w:val="24"/>
              </w:rPr>
            </w:pPr>
            <w:r>
              <w:rPr>
                <w:b/>
                <w:bCs/>
                <w:szCs w:val="24"/>
              </w:rPr>
              <w:t>5</w:t>
            </w:r>
            <w:r w:rsidR="004164C1">
              <w:rPr>
                <w:b/>
                <w:bCs/>
                <w:szCs w:val="24"/>
              </w:rPr>
              <w:t>5</w:t>
            </w:r>
          </w:p>
        </w:tc>
      </w:tr>
      <w:tr w:rsidR="005C0D00" w:rsidRPr="000E2AEC" w:rsidTr="005C0D00">
        <w:tc>
          <w:tcPr>
            <w:tcW w:w="1818" w:type="dxa"/>
          </w:tcPr>
          <w:p w:rsidR="005C0D00" w:rsidRDefault="005C0D00" w:rsidP="002D1764">
            <w:pPr>
              <w:pStyle w:val="BodyText"/>
              <w:rPr>
                <w:b/>
                <w:bCs/>
                <w:szCs w:val="24"/>
              </w:rPr>
            </w:pPr>
            <w:r>
              <w:rPr>
                <w:b/>
                <w:bCs/>
                <w:szCs w:val="24"/>
              </w:rPr>
              <w:t>National Integrated Ballistics Information Network (NIBIN)</w:t>
            </w:r>
          </w:p>
        </w:tc>
        <w:tc>
          <w:tcPr>
            <w:tcW w:w="4590" w:type="dxa"/>
          </w:tcPr>
          <w:p w:rsidR="005C0D00" w:rsidRPr="009112CA" w:rsidRDefault="005C0D00" w:rsidP="005C0D00">
            <w:pPr>
              <w:pStyle w:val="BodyText"/>
              <w:rPr>
                <w:color w:val="000000"/>
                <w:szCs w:val="24"/>
              </w:rPr>
            </w:pPr>
            <w:r>
              <w:t>NIBIN is the only automated ballistic imaging network in operation in the U.S.  This enhancement will make necessary upgrades to equipment, assist state and local law enforcement with input and analysis of ballistics information, and train state and local partners</w:t>
            </w:r>
            <w:r w:rsidR="00D11A72">
              <w:t>.</w:t>
            </w:r>
          </w:p>
        </w:tc>
        <w:tc>
          <w:tcPr>
            <w:tcW w:w="810" w:type="dxa"/>
            <w:vAlign w:val="center"/>
          </w:tcPr>
          <w:p w:rsidR="005C0D00" w:rsidRDefault="005C0D00" w:rsidP="005C0D00">
            <w:pPr>
              <w:pStyle w:val="BodyText"/>
              <w:jc w:val="center"/>
              <w:rPr>
                <w:b/>
                <w:bCs/>
                <w:szCs w:val="24"/>
              </w:rPr>
            </w:pPr>
            <w:r>
              <w:rPr>
                <w:b/>
                <w:bCs/>
                <w:szCs w:val="24"/>
              </w:rPr>
              <w:t>0</w:t>
            </w:r>
          </w:p>
        </w:tc>
        <w:tc>
          <w:tcPr>
            <w:tcW w:w="720" w:type="dxa"/>
            <w:vAlign w:val="center"/>
          </w:tcPr>
          <w:p w:rsidR="005C0D00" w:rsidRDefault="005C0D00" w:rsidP="005C0D00">
            <w:pPr>
              <w:pStyle w:val="BodyText"/>
              <w:jc w:val="center"/>
              <w:rPr>
                <w:b/>
                <w:bCs/>
                <w:szCs w:val="24"/>
              </w:rPr>
            </w:pPr>
            <w:r>
              <w:rPr>
                <w:b/>
                <w:bCs/>
                <w:szCs w:val="24"/>
              </w:rPr>
              <w:t>0</w:t>
            </w:r>
          </w:p>
        </w:tc>
        <w:tc>
          <w:tcPr>
            <w:tcW w:w="1080" w:type="dxa"/>
            <w:vAlign w:val="center"/>
          </w:tcPr>
          <w:p w:rsidR="001C203B" w:rsidRDefault="005C0D00">
            <w:pPr>
              <w:pStyle w:val="BodyText"/>
              <w:jc w:val="center"/>
              <w:rPr>
                <w:b/>
                <w:bCs/>
                <w:szCs w:val="24"/>
              </w:rPr>
            </w:pPr>
            <w:r>
              <w:rPr>
                <w:b/>
                <w:bCs/>
                <w:szCs w:val="24"/>
              </w:rPr>
              <w:t>$22,000</w:t>
            </w:r>
          </w:p>
        </w:tc>
        <w:tc>
          <w:tcPr>
            <w:tcW w:w="720" w:type="dxa"/>
            <w:vAlign w:val="center"/>
          </w:tcPr>
          <w:p w:rsidR="001C203B" w:rsidRDefault="00504A36">
            <w:pPr>
              <w:pStyle w:val="BodyText"/>
              <w:jc w:val="center"/>
              <w:rPr>
                <w:b/>
                <w:bCs/>
                <w:szCs w:val="24"/>
              </w:rPr>
            </w:pPr>
            <w:r>
              <w:rPr>
                <w:b/>
                <w:bCs/>
                <w:szCs w:val="24"/>
              </w:rPr>
              <w:t>5</w:t>
            </w:r>
            <w:r w:rsidR="004164C1">
              <w:rPr>
                <w:b/>
                <w:bCs/>
                <w:szCs w:val="24"/>
              </w:rPr>
              <w:t>8</w:t>
            </w:r>
          </w:p>
        </w:tc>
      </w:tr>
      <w:tr w:rsidR="00A51E13" w:rsidRPr="000E2AEC" w:rsidTr="00C22494">
        <w:tc>
          <w:tcPr>
            <w:tcW w:w="1818" w:type="dxa"/>
          </w:tcPr>
          <w:p w:rsidR="00A51E13" w:rsidRDefault="00A51E13" w:rsidP="002D1764">
            <w:pPr>
              <w:pStyle w:val="BodyText"/>
              <w:rPr>
                <w:b/>
                <w:bCs/>
                <w:szCs w:val="24"/>
              </w:rPr>
            </w:pPr>
            <w:r>
              <w:rPr>
                <w:b/>
                <w:bCs/>
                <w:szCs w:val="24"/>
              </w:rPr>
              <w:t>Administrative Efficiencies</w:t>
            </w:r>
          </w:p>
        </w:tc>
        <w:tc>
          <w:tcPr>
            <w:tcW w:w="4590" w:type="dxa"/>
          </w:tcPr>
          <w:p w:rsidR="00527BC8" w:rsidRPr="00982D89" w:rsidRDefault="00527BC8" w:rsidP="006046B0">
            <w:pPr>
              <w:pStyle w:val="BodyText"/>
              <w:rPr>
                <w:bCs/>
                <w:szCs w:val="24"/>
              </w:rPr>
            </w:pPr>
            <w:r>
              <w:rPr>
                <w:bCs/>
                <w:szCs w:val="24"/>
              </w:rPr>
              <w:t xml:space="preserve">ATF has achieved administrative efficiencies through management of its contractual services and </w:t>
            </w:r>
            <w:r w:rsidR="003E7A10">
              <w:rPr>
                <w:bCs/>
                <w:szCs w:val="24"/>
              </w:rPr>
              <w:t>implementation of the VERA/VSIP authority in FY 2012 to attain cost avoidance through staffing reductions.</w:t>
            </w:r>
          </w:p>
        </w:tc>
        <w:tc>
          <w:tcPr>
            <w:tcW w:w="810" w:type="dxa"/>
          </w:tcPr>
          <w:p w:rsidR="00527BC8" w:rsidRDefault="00527BC8" w:rsidP="00503D76">
            <w:pPr>
              <w:pStyle w:val="BodyText"/>
              <w:jc w:val="center"/>
              <w:rPr>
                <w:b/>
                <w:bCs/>
                <w:szCs w:val="24"/>
              </w:rPr>
            </w:pPr>
          </w:p>
          <w:p w:rsidR="003E7A10" w:rsidRDefault="003E7A10" w:rsidP="00503D76">
            <w:pPr>
              <w:pStyle w:val="BodyText"/>
              <w:jc w:val="center"/>
              <w:rPr>
                <w:b/>
                <w:bCs/>
                <w:szCs w:val="24"/>
              </w:rPr>
            </w:pPr>
          </w:p>
          <w:p w:rsidR="00A51E13" w:rsidRDefault="00C22494" w:rsidP="00C22494">
            <w:pPr>
              <w:pStyle w:val="BodyText"/>
              <w:jc w:val="center"/>
              <w:rPr>
                <w:b/>
                <w:bCs/>
                <w:szCs w:val="24"/>
              </w:rPr>
            </w:pPr>
            <w:r>
              <w:rPr>
                <w:b/>
                <w:bCs/>
                <w:szCs w:val="24"/>
              </w:rPr>
              <w:t>(164)</w:t>
            </w:r>
          </w:p>
        </w:tc>
        <w:tc>
          <w:tcPr>
            <w:tcW w:w="720" w:type="dxa"/>
          </w:tcPr>
          <w:p w:rsidR="00527BC8" w:rsidRDefault="00527BC8" w:rsidP="00503D76">
            <w:pPr>
              <w:pStyle w:val="BodyText"/>
              <w:jc w:val="center"/>
              <w:rPr>
                <w:b/>
                <w:bCs/>
                <w:szCs w:val="24"/>
              </w:rPr>
            </w:pPr>
          </w:p>
          <w:p w:rsidR="003E7A10" w:rsidRDefault="003E7A10" w:rsidP="00503D76">
            <w:pPr>
              <w:pStyle w:val="BodyText"/>
              <w:jc w:val="center"/>
              <w:rPr>
                <w:b/>
                <w:bCs/>
                <w:szCs w:val="24"/>
              </w:rPr>
            </w:pPr>
          </w:p>
          <w:p w:rsidR="00A51E13" w:rsidRDefault="00527BC8" w:rsidP="00503D76">
            <w:pPr>
              <w:pStyle w:val="BodyText"/>
              <w:jc w:val="center"/>
              <w:rPr>
                <w:b/>
                <w:bCs/>
                <w:szCs w:val="24"/>
              </w:rPr>
            </w:pPr>
            <w:r>
              <w:rPr>
                <w:b/>
                <w:bCs/>
                <w:szCs w:val="24"/>
              </w:rPr>
              <w:t>0</w:t>
            </w:r>
          </w:p>
        </w:tc>
        <w:tc>
          <w:tcPr>
            <w:tcW w:w="1080" w:type="dxa"/>
          </w:tcPr>
          <w:p w:rsidR="00527BC8" w:rsidRDefault="00527BC8" w:rsidP="00503D76">
            <w:pPr>
              <w:pStyle w:val="BodyText"/>
              <w:jc w:val="center"/>
              <w:rPr>
                <w:b/>
                <w:bCs/>
                <w:szCs w:val="24"/>
              </w:rPr>
            </w:pPr>
          </w:p>
          <w:p w:rsidR="003E7A10" w:rsidRDefault="003E7A10" w:rsidP="00503D76">
            <w:pPr>
              <w:pStyle w:val="BodyText"/>
              <w:jc w:val="center"/>
              <w:rPr>
                <w:b/>
                <w:bCs/>
                <w:szCs w:val="24"/>
              </w:rPr>
            </w:pPr>
          </w:p>
          <w:p w:rsidR="00A51E13" w:rsidRDefault="00527BC8" w:rsidP="00503D76">
            <w:pPr>
              <w:pStyle w:val="BodyText"/>
              <w:jc w:val="center"/>
              <w:rPr>
                <w:b/>
                <w:bCs/>
                <w:szCs w:val="24"/>
              </w:rPr>
            </w:pPr>
            <w:r>
              <w:rPr>
                <w:b/>
                <w:bCs/>
                <w:szCs w:val="24"/>
              </w:rPr>
              <w:t>($7,399)</w:t>
            </w:r>
          </w:p>
        </w:tc>
        <w:tc>
          <w:tcPr>
            <w:tcW w:w="720" w:type="dxa"/>
          </w:tcPr>
          <w:p w:rsidR="00527BC8" w:rsidRDefault="00527BC8" w:rsidP="00503D76">
            <w:pPr>
              <w:pStyle w:val="BodyText"/>
              <w:jc w:val="center"/>
              <w:rPr>
                <w:b/>
                <w:bCs/>
                <w:szCs w:val="24"/>
              </w:rPr>
            </w:pPr>
          </w:p>
          <w:p w:rsidR="003E7A10" w:rsidRDefault="003E7A10" w:rsidP="00503D76">
            <w:pPr>
              <w:pStyle w:val="BodyText"/>
              <w:jc w:val="center"/>
              <w:rPr>
                <w:b/>
                <w:bCs/>
                <w:szCs w:val="24"/>
              </w:rPr>
            </w:pPr>
          </w:p>
          <w:p w:rsidR="00A51E13" w:rsidRDefault="004164C1" w:rsidP="00503D76">
            <w:pPr>
              <w:pStyle w:val="BodyText"/>
              <w:jc w:val="center"/>
              <w:rPr>
                <w:b/>
                <w:bCs/>
                <w:szCs w:val="24"/>
              </w:rPr>
            </w:pPr>
            <w:r>
              <w:rPr>
                <w:b/>
                <w:bCs/>
                <w:szCs w:val="24"/>
              </w:rPr>
              <w:t>61</w:t>
            </w:r>
          </w:p>
        </w:tc>
      </w:tr>
      <w:tr w:rsidR="00A51E13" w:rsidRPr="000E2AEC" w:rsidTr="00C22494">
        <w:tc>
          <w:tcPr>
            <w:tcW w:w="1818" w:type="dxa"/>
          </w:tcPr>
          <w:p w:rsidR="00A51E13" w:rsidRDefault="0016039B" w:rsidP="002D1764">
            <w:pPr>
              <w:pStyle w:val="BodyText"/>
              <w:rPr>
                <w:b/>
                <w:bCs/>
                <w:szCs w:val="24"/>
              </w:rPr>
            </w:pPr>
            <w:r>
              <w:rPr>
                <w:b/>
                <w:bCs/>
                <w:szCs w:val="24"/>
              </w:rPr>
              <w:t>IT Savings</w:t>
            </w:r>
          </w:p>
        </w:tc>
        <w:tc>
          <w:tcPr>
            <w:tcW w:w="4590" w:type="dxa"/>
          </w:tcPr>
          <w:p w:rsidR="00527BC8" w:rsidRPr="00982D89" w:rsidRDefault="003E7A10" w:rsidP="006046B0">
            <w:pPr>
              <w:pStyle w:val="BodyText"/>
              <w:rPr>
                <w:bCs/>
                <w:szCs w:val="24"/>
              </w:rPr>
            </w:pPr>
            <w:r>
              <w:rPr>
                <w:bCs/>
                <w:szCs w:val="24"/>
              </w:rPr>
              <w:t>The Department is implementing cost saving efforts through IT projects that are developing infrastructure to enable DOJ components to better collaborate on IT contracts.</w:t>
            </w:r>
          </w:p>
        </w:tc>
        <w:tc>
          <w:tcPr>
            <w:tcW w:w="810" w:type="dxa"/>
          </w:tcPr>
          <w:p w:rsidR="00527BC8" w:rsidRDefault="00527BC8" w:rsidP="00503D76">
            <w:pPr>
              <w:pStyle w:val="BodyText"/>
              <w:jc w:val="center"/>
              <w:rPr>
                <w:b/>
                <w:bCs/>
                <w:szCs w:val="24"/>
              </w:rPr>
            </w:pPr>
          </w:p>
          <w:p w:rsidR="003E7A10" w:rsidRDefault="003E7A10" w:rsidP="00503D76">
            <w:pPr>
              <w:pStyle w:val="BodyText"/>
              <w:jc w:val="center"/>
              <w:rPr>
                <w:b/>
                <w:bCs/>
                <w:szCs w:val="24"/>
              </w:rPr>
            </w:pPr>
          </w:p>
          <w:p w:rsidR="00A51E13" w:rsidRDefault="00527BC8" w:rsidP="00503D76">
            <w:pPr>
              <w:pStyle w:val="BodyText"/>
              <w:jc w:val="center"/>
              <w:rPr>
                <w:b/>
                <w:bCs/>
                <w:szCs w:val="24"/>
              </w:rPr>
            </w:pPr>
            <w:r>
              <w:rPr>
                <w:b/>
                <w:bCs/>
                <w:szCs w:val="24"/>
              </w:rPr>
              <w:t>0</w:t>
            </w:r>
          </w:p>
        </w:tc>
        <w:tc>
          <w:tcPr>
            <w:tcW w:w="720" w:type="dxa"/>
          </w:tcPr>
          <w:p w:rsidR="00527BC8" w:rsidRDefault="00527BC8" w:rsidP="00503D76">
            <w:pPr>
              <w:pStyle w:val="BodyText"/>
              <w:jc w:val="center"/>
              <w:rPr>
                <w:b/>
                <w:bCs/>
                <w:szCs w:val="24"/>
              </w:rPr>
            </w:pPr>
          </w:p>
          <w:p w:rsidR="003E7A10" w:rsidRDefault="003E7A10" w:rsidP="00503D76">
            <w:pPr>
              <w:pStyle w:val="BodyText"/>
              <w:jc w:val="center"/>
              <w:rPr>
                <w:b/>
                <w:bCs/>
                <w:szCs w:val="24"/>
              </w:rPr>
            </w:pPr>
          </w:p>
          <w:p w:rsidR="00A51E13" w:rsidRDefault="00527BC8" w:rsidP="00503D76">
            <w:pPr>
              <w:pStyle w:val="BodyText"/>
              <w:jc w:val="center"/>
              <w:rPr>
                <w:b/>
                <w:bCs/>
                <w:szCs w:val="24"/>
              </w:rPr>
            </w:pPr>
            <w:r>
              <w:rPr>
                <w:b/>
                <w:bCs/>
                <w:szCs w:val="24"/>
              </w:rPr>
              <w:t>0</w:t>
            </w:r>
          </w:p>
        </w:tc>
        <w:tc>
          <w:tcPr>
            <w:tcW w:w="1080" w:type="dxa"/>
          </w:tcPr>
          <w:p w:rsidR="00527BC8" w:rsidRDefault="00527BC8" w:rsidP="00503D76">
            <w:pPr>
              <w:pStyle w:val="BodyText"/>
              <w:jc w:val="center"/>
              <w:rPr>
                <w:b/>
                <w:bCs/>
                <w:szCs w:val="24"/>
              </w:rPr>
            </w:pPr>
          </w:p>
          <w:p w:rsidR="003E7A10" w:rsidRDefault="003E7A10" w:rsidP="00503D76">
            <w:pPr>
              <w:pStyle w:val="BodyText"/>
              <w:jc w:val="center"/>
              <w:rPr>
                <w:b/>
                <w:bCs/>
                <w:szCs w:val="24"/>
              </w:rPr>
            </w:pPr>
          </w:p>
          <w:p w:rsidR="00A51E13" w:rsidRDefault="00527BC8" w:rsidP="00503D76">
            <w:pPr>
              <w:pStyle w:val="BodyText"/>
              <w:jc w:val="center"/>
              <w:rPr>
                <w:b/>
                <w:bCs/>
                <w:szCs w:val="24"/>
              </w:rPr>
            </w:pPr>
            <w:r>
              <w:rPr>
                <w:b/>
                <w:bCs/>
                <w:szCs w:val="24"/>
              </w:rPr>
              <w:t>($2,748)</w:t>
            </w:r>
          </w:p>
        </w:tc>
        <w:tc>
          <w:tcPr>
            <w:tcW w:w="720" w:type="dxa"/>
          </w:tcPr>
          <w:p w:rsidR="00A51E13" w:rsidRDefault="00A51E13" w:rsidP="00503D76">
            <w:pPr>
              <w:pStyle w:val="BodyText"/>
              <w:jc w:val="center"/>
              <w:rPr>
                <w:b/>
                <w:bCs/>
                <w:szCs w:val="24"/>
              </w:rPr>
            </w:pPr>
          </w:p>
          <w:p w:rsidR="003E7A10" w:rsidRDefault="003E7A10" w:rsidP="00503D76">
            <w:pPr>
              <w:pStyle w:val="BodyText"/>
              <w:jc w:val="center"/>
              <w:rPr>
                <w:b/>
                <w:bCs/>
                <w:szCs w:val="24"/>
              </w:rPr>
            </w:pPr>
          </w:p>
          <w:p w:rsidR="00527BC8" w:rsidRDefault="00A2456E" w:rsidP="00503D76">
            <w:pPr>
              <w:pStyle w:val="BodyText"/>
              <w:jc w:val="center"/>
              <w:rPr>
                <w:b/>
                <w:bCs/>
                <w:szCs w:val="24"/>
              </w:rPr>
            </w:pPr>
            <w:r>
              <w:rPr>
                <w:b/>
                <w:bCs/>
                <w:szCs w:val="24"/>
              </w:rPr>
              <w:t>6</w:t>
            </w:r>
            <w:r w:rsidR="004164C1">
              <w:rPr>
                <w:b/>
                <w:bCs/>
                <w:szCs w:val="24"/>
              </w:rPr>
              <w:t>3</w:t>
            </w:r>
          </w:p>
        </w:tc>
      </w:tr>
    </w:tbl>
    <w:p w:rsidR="00504A36" w:rsidRDefault="00504A36" w:rsidP="00403AA9">
      <w:pPr>
        <w:tabs>
          <w:tab w:val="left" w:pos="7950"/>
        </w:tabs>
        <w:spacing w:before="100" w:beforeAutospacing="1" w:after="100" w:afterAutospacing="1"/>
        <w:rPr>
          <w:b/>
          <w:bCs/>
        </w:rPr>
      </w:pPr>
    </w:p>
    <w:p w:rsidR="003442F0" w:rsidRDefault="003442F0">
      <w:pPr>
        <w:rPr>
          <w:b/>
          <w:bCs/>
        </w:rPr>
      </w:pPr>
      <w:r>
        <w:rPr>
          <w:b/>
          <w:bCs/>
        </w:rPr>
        <w:br w:type="page"/>
      </w:r>
    </w:p>
    <w:p w:rsidR="00403AA9" w:rsidRDefault="00403AA9" w:rsidP="00403AA9">
      <w:pPr>
        <w:tabs>
          <w:tab w:val="left" w:pos="7950"/>
        </w:tabs>
        <w:spacing w:before="100" w:beforeAutospacing="1" w:after="100" w:afterAutospacing="1"/>
        <w:rPr>
          <w:b/>
          <w:bCs/>
        </w:rPr>
      </w:pPr>
      <w:r>
        <w:rPr>
          <w:b/>
          <w:bCs/>
        </w:rPr>
        <w:lastRenderedPageBreak/>
        <w:t>III. Appropriations Language and Analysis of Appropriations Language</w:t>
      </w:r>
    </w:p>
    <w:p w:rsidR="001A3C1E" w:rsidRDefault="001A3C1E" w:rsidP="001A3C1E">
      <w:pPr>
        <w:tabs>
          <w:tab w:val="left" w:pos="7950"/>
        </w:tabs>
        <w:spacing w:before="100" w:beforeAutospacing="1" w:after="100" w:afterAutospacing="1"/>
        <w:rPr>
          <w:b/>
          <w:bCs/>
        </w:rPr>
      </w:pPr>
      <w:r>
        <w:rPr>
          <w:b/>
          <w:bCs/>
        </w:rPr>
        <w:t>Appropriations Language</w:t>
      </w:r>
    </w:p>
    <w:p w:rsidR="00AE2FE9" w:rsidRPr="00CD0707" w:rsidRDefault="001A3C1E" w:rsidP="00AE2FE9">
      <w:pPr>
        <w:rPr>
          <w:i/>
          <w:color w:val="FF0000"/>
        </w:rPr>
      </w:pPr>
      <w:r w:rsidRPr="00F818F7">
        <w:t>For necessary expenses of the Bureau of Alcohol, Tobacco, Firearms and Explosives, for training of State and local law enforcement agencies with or without reimbursement, including training in connection with the training and acquisition of canines for explosives and fire accelerants detection; and for provision of laboratory assistance to State and local law enforcement agencies, with o</w:t>
      </w:r>
      <w:r w:rsidR="00503D76">
        <w:t>r without reimbursement, [$1</w:t>
      </w:r>
      <w:r>
        <w:t>,</w:t>
      </w:r>
      <w:r w:rsidR="00503D76">
        <w:t>153,345</w:t>
      </w:r>
      <w:r w:rsidRPr="00F818F7">
        <w:t>,000</w:t>
      </w:r>
      <w:r w:rsidRPr="00DA0309">
        <w:t xml:space="preserve">] </w:t>
      </w:r>
      <w:r w:rsidRPr="00C22494">
        <w:rPr>
          <w:i/>
          <w:color w:val="FF0000"/>
        </w:rPr>
        <w:t>$</w:t>
      </w:r>
      <w:r w:rsidR="0016039B" w:rsidRPr="00C22494">
        <w:rPr>
          <w:i/>
          <w:color w:val="FF0000"/>
        </w:rPr>
        <w:t>1,2</w:t>
      </w:r>
      <w:r w:rsidR="005C0D00">
        <w:rPr>
          <w:i/>
          <w:color w:val="FF0000"/>
        </w:rPr>
        <w:t>2</w:t>
      </w:r>
      <w:r w:rsidR="0016039B" w:rsidRPr="00C22494">
        <w:rPr>
          <w:i/>
          <w:color w:val="FF0000"/>
        </w:rPr>
        <w:t>9</w:t>
      </w:r>
      <w:r w:rsidR="007A16F9">
        <w:rPr>
          <w:i/>
          <w:color w:val="FF0000"/>
        </w:rPr>
        <w:t>,</w:t>
      </w:r>
      <w:r w:rsidR="0016039B" w:rsidRPr="00C22494">
        <w:rPr>
          <w:i/>
          <w:color w:val="FF0000"/>
        </w:rPr>
        <w:t>518,000</w:t>
      </w:r>
      <w:r w:rsidRPr="00F818F7">
        <w:t>, of which not to exceed $36,000 shall be for official reception and representation expenses, not to exceed $1,000,000 shall be available for the payment of attorneys' fees as provided by section 924(d)(2) of title 18, United States Code</w:t>
      </w:r>
      <w:r w:rsidR="00AE2FE9">
        <w:t xml:space="preserve">, and not to exceed </w:t>
      </w:r>
      <w:r w:rsidRPr="00AE2FE9">
        <w:t>$20,000,000</w:t>
      </w:r>
      <w:r w:rsidRPr="00F818F7">
        <w:t xml:space="preserve"> shall remain available until expended: Provided, That no funds ap</w:t>
      </w:r>
      <w:r w:rsidR="00ED7848">
        <w:t>propriated herein</w:t>
      </w:r>
      <w:r w:rsidRPr="00F818F7">
        <w:t xml:space="preserve"> shall be available for salaries or administrative expenses in connection with consolidating or centralizing, within the Department of Justice, the records, or any portion thereof, of acquisition and disposition of firearms maintained by Federal firearms licensees: </w:t>
      </w:r>
      <w:r w:rsidR="007A2E7D">
        <w:t>[</w:t>
      </w:r>
      <w:r w:rsidRPr="00F818F7">
        <w:t>Provided further, That no funds appropriated herein shall be used to pay administrative expenses or the compensation of any officer or employee of the United States to implement an amendment or amendments to 27 CFR 478.118 or to change the definition of ``Curios or relics'' in 27 CFR 478.11 or remove any item from ATF Publication 5300.11 as it existed on January 1, 1994:</w:t>
      </w:r>
      <w:r w:rsidR="007A2E7D">
        <w:t>]</w:t>
      </w:r>
      <w:r w:rsidRPr="00F818F7">
        <w:t xml:space="preserve"> Provided further, That none of the funds appropriated herein shall be available to investigate or act upon applications for relief from Federal firearms disabilities under 18 U.S.C. 925(c): Provided further, That such funds shall be available to investigate and act upon applications filed by corporations for relief from Federal firearms disabilities under section 925(c) of title 18, United States Code: Provided further, That no funds made available by this or any other Act may be used to transfer the functions, missions, or activities of the Bureau of Alcohol, Tobacco, Firearms and Explosives to other agencies or Departments: Provided further, That[, during the current fiscal year and in each fiscal year thereafter,] no funds appropriated under this or any other Act may be used to disclose part or all of the contents of the Firearms Trace System database maintained by the National Trace Center of the Bureau of Alcohol, Tobacco, Firearms and Explosives or any information required to be kept by licensees pursuant to section 923(g) of title 18, United States Code, or required to be reported pursuant to paragraphs (3) and (7) of such section, except to: (1) a Federal, State, local, or tribal law enforcement agency, or a Federal, State, or local prosecutor; or (2) a foreign law enforcement agency solely in connection with or for use in a criminal investigation or prosecution; or (3) a Federal agency for a national security or intelligence purpose; unless such disclosure of such data to any of the entities described in (1), (2) or (3) of this proviso would compromise the identity of any undercover law enforcement officer or confidential informant, or interfere with any case under investigation; and no person or entity described in (1), (2) or (3) shall knowingly and publicly disclose such data; and all such data shall be immune from legal process, shall not be subject to subpoena or other discovery, shall be inadmissible in evidence, and shall not be used, relied on, or disclosed in any manner, nor shall testimony or other evidence be permitted based on the data, in a civil action in any State (including the District of Columbia) or Federal court or in an administrative proceeding other than a proceeding commenced by the Bureau of Alcohol, Tobacco, Firearms and Explosives to enforce the provisions of chapter 44 of such title, or a review of such an action or proceeding; except that this proviso shall not be construed to prevent: (A) the disclosure of statistical information concerning total production, importation, and </w:t>
      </w:r>
      <w:r w:rsidRPr="00F818F7">
        <w:lastRenderedPageBreak/>
        <w:t xml:space="preserve">exportation by each licensed importer (as defined in section 921(a)(9) of such title) and licensed manufacturer (as defined in section 921(a)(10) of such title); (B) the sharing or exchange of such information among and between Federal, State, local, or foreign law enforcement agencies, Federal, State, or local prosecutors, and Federal national security, intelligence, or counterterrorism officials; or (C) the publication of annual statistical reports on products regulated by the Bureau of Alcohol, Tobacco, Firearms and Explosives, including total production, importation, and exportation by each licensed importer (as so defined) and licensed manufacturer (as so defined), or statistical aggregate data regarding firearms traffickers and trafficking channels, or firearms misuse, felons, and trafficking investigations: </w:t>
      </w:r>
      <w:r w:rsidR="00AE2FE9">
        <w:t>[</w:t>
      </w:r>
      <w:r w:rsidRPr="00F818F7">
        <w:t>Provided further, That no funds made available by this or any other Act shall be expended to promulgate or implement any rule requiring a physical inventory of any business licensed under section 923 of title 18, United States Code:</w:t>
      </w:r>
      <w:r w:rsidR="00AE2FE9">
        <w:t>]</w:t>
      </w:r>
      <w:r w:rsidRPr="00F818F7">
        <w:t xml:space="preserve"> Provided further, That no funds made available by this or any other Act may be used to electronically retrieve information gathered pursuant to 18 U.S.C. 923(g)(4) by name or any personal identification code: Provided further, That no funds authorized or made available under this or any other Act may be used to deny any application for a license under section 923 of title 18, United States Code, or renewal of such a license due to a lack of business activity, provided that the applicant is otherwise eligible to receive such a license, and is eligible to report business income or to claim an income tax deduction for business expenses under the Internal Revenue Code of 1986. </w:t>
      </w:r>
      <w:r w:rsidRPr="00F818F7">
        <w:cr/>
      </w:r>
      <w:r w:rsidRPr="00F818F7">
        <w:cr/>
      </w:r>
      <w:r w:rsidR="00AE2FE9">
        <w:rPr>
          <w:b/>
          <w:bCs/>
        </w:rPr>
        <w:t>Analysis of Appropriations Language</w:t>
      </w:r>
    </w:p>
    <w:p w:rsidR="00AE2FE9" w:rsidRDefault="00AE2FE9" w:rsidP="00AE2FE9"/>
    <w:p w:rsidR="00AB0420" w:rsidRDefault="00D85214" w:rsidP="00AB0420">
      <w:r>
        <w:t xml:space="preserve">The appropriations language proposes to delete a proviso that prohibits </w:t>
      </w:r>
      <w:r w:rsidRPr="00446041">
        <w:t>ATF</w:t>
      </w:r>
      <w:r>
        <w:t xml:space="preserve"> from initiating notice and comment rulemaking to explore whether and how FFLs might be required to account for their firearms inventory, as the absence of such accountability undermines ATF’s ability to investigate lost or stolen weapons in a timely manner.  </w:t>
      </w:r>
    </w:p>
    <w:p w:rsidR="00AB0420" w:rsidRDefault="00AB0420" w:rsidP="00AB0420"/>
    <w:p w:rsidR="00AB0420" w:rsidRDefault="00AB0420" w:rsidP="00AB0420">
      <w:r>
        <w:t xml:space="preserve">The appropriations language proposes to delete a proviso that prohibits </w:t>
      </w:r>
      <w:r w:rsidRPr="00446041">
        <w:t>ATF</w:t>
      </w:r>
      <w:r>
        <w:t xml:space="preserve"> from implementing any amendment or amendments to 27 CFR 478.118 or to change the definition of “Curios or relics” or remove any item from ATF Publication 5300.11 as it existed on January 1, 1994.  This restriction limits ATF regulatory ability on some imported firearms, as under the Gun Control Act, firearms classified as curios or relics are subject to fewer restrictions on transfer and sale.</w:t>
      </w:r>
    </w:p>
    <w:p w:rsidR="00AE2FE9" w:rsidRDefault="00AE2FE9" w:rsidP="001A3C1E">
      <w:pPr>
        <w:pStyle w:val="style"/>
        <w:ind w:right="428"/>
      </w:pPr>
    </w:p>
    <w:p w:rsidR="001A3C1E" w:rsidRDefault="001A3C1E" w:rsidP="001A3C1E">
      <w:pPr>
        <w:pStyle w:val="style"/>
        <w:ind w:right="428"/>
      </w:pPr>
      <w:r w:rsidRPr="00F818F7">
        <w:t>(Cancellation)</w:t>
      </w:r>
    </w:p>
    <w:p w:rsidR="001A3C1E" w:rsidRDefault="001A3C1E" w:rsidP="001A3C1E">
      <w:pPr>
        <w:pStyle w:val="style"/>
        <w:ind w:right="428"/>
      </w:pPr>
      <w:r w:rsidRPr="00F818F7">
        <w:cr/>
        <w:t>Of the unobligated balances from prior year appropriations under this heading, $12,400,000 are hereby permanently cancelled: Provided, That no amounts may be cancelled from amounts that were designated by the Congress as an emergency requirement pursuant to the Concurrent Resolution on the Budget or the Balanced Budget and Emergency Deficit Control Act of 1985, as amended.  (Department of Justice Appropriations Act, 2012.)</w:t>
      </w:r>
    </w:p>
    <w:p w:rsidR="001A3C1E" w:rsidRDefault="001A3C1E" w:rsidP="001A3C1E">
      <w:pPr>
        <w:pStyle w:val="style"/>
        <w:ind w:right="428"/>
      </w:pPr>
    </w:p>
    <w:p w:rsidR="00C6046B" w:rsidRPr="00CD0707" w:rsidRDefault="00C6046B" w:rsidP="00C6046B">
      <w:pPr>
        <w:rPr>
          <w:i/>
          <w:color w:val="FF0000"/>
        </w:rPr>
      </w:pPr>
      <w:r>
        <w:rPr>
          <w:b/>
          <w:bCs/>
        </w:rPr>
        <w:t>Analysis of Appropriations Language</w:t>
      </w:r>
    </w:p>
    <w:p w:rsidR="00C6046B" w:rsidRDefault="00C6046B" w:rsidP="001A3C1E">
      <w:pPr>
        <w:pStyle w:val="style"/>
        <w:ind w:right="428"/>
      </w:pPr>
    </w:p>
    <w:p w:rsidR="00AB0420" w:rsidRDefault="00C6046B" w:rsidP="001A3C1E">
      <w:pPr>
        <w:pStyle w:val="style"/>
        <w:ind w:right="428"/>
      </w:pPr>
      <w:r>
        <w:t xml:space="preserve">The Department </w:t>
      </w:r>
      <w:r w:rsidR="007A2E7D">
        <w:t xml:space="preserve">requests cancellation </w:t>
      </w:r>
      <w:r w:rsidR="00AB0420">
        <w:t>of these</w:t>
      </w:r>
      <w:r w:rsidR="007A2E7D">
        <w:t xml:space="preserve"> amounts as prior year unobligated balances.  Note:  A full year 2013 appropriation for this account was not enacted at the time the budget was prepared; therefore, this account is operating under a continuing resolution </w:t>
      </w:r>
    </w:p>
    <w:p w:rsidR="00C6046B" w:rsidRDefault="00AB0420" w:rsidP="001A3C1E">
      <w:pPr>
        <w:pStyle w:val="style"/>
        <w:ind w:right="428"/>
      </w:pPr>
      <w:r>
        <w:lastRenderedPageBreak/>
        <w:t>(P.L. 112-175).  The amounts included for FY 2013 reflect the annualized level provided by the continuing resolution.</w:t>
      </w:r>
    </w:p>
    <w:p w:rsidR="00AB0420" w:rsidRDefault="00AB0420" w:rsidP="001A3C1E">
      <w:pPr>
        <w:pStyle w:val="style"/>
        <w:ind w:right="428"/>
        <w:rPr>
          <w:b/>
        </w:rPr>
      </w:pPr>
    </w:p>
    <w:p w:rsidR="001A3C1E" w:rsidRDefault="001A3C1E" w:rsidP="001A3C1E">
      <w:pPr>
        <w:pStyle w:val="style"/>
        <w:ind w:right="428"/>
        <w:rPr>
          <w:b/>
        </w:rPr>
      </w:pPr>
      <w:r w:rsidRPr="00C204BC">
        <w:rPr>
          <w:b/>
        </w:rPr>
        <w:t>Violent Crime Reduction Program</w:t>
      </w:r>
      <w:r w:rsidR="00CD3907">
        <w:rPr>
          <w:b/>
        </w:rPr>
        <w:t xml:space="preserve"> (VCRP)</w:t>
      </w:r>
    </w:p>
    <w:p w:rsidR="00CD3907" w:rsidRDefault="00CD3907" w:rsidP="00CD3907">
      <w:pPr>
        <w:spacing w:before="100" w:beforeAutospacing="1" w:after="240"/>
      </w:pPr>
      <w:r w:rsidRPr="00CD3907">
        <w:rPr>
          <w:bCs/>
          <w:color w:val="000000"/>
        </w:rPr>
        <w:t xml:space="preserve">Pursuant to </w:t>
      </w:r>
      <w:r w:rsidRPr="00CD3907">
        <w:rPr>
          <w:color w:val="000000"/>
        </w:rPr>
        <w:t>Title 31 USC 1555, remaining balances for the VCRP have had no disbursements made against the appropriation for two consecutive years.  Therefore, t</w:t>
      </w:r>
      <w:r>
        <w:rPr>
          <w:color w:val="000000"/>
        </w:rPr>
        <w:t xml:space="preserve">he funds </w:t>
      </w:r>
      <w:r w:rsidRPr="00CD3907">
        <w:rPr>
          <w:color w:val="000000"/>
        </w:rPr>
        <w:t xml:space="preserve">are being </w:t>
      </w:r>
      <w:r w:rsidR="004E0EA9">
        <w:rPr>
          <w:color w:val="000000"/>
        </w:rPr>
        <w:t>returned to the General Fund of the U.S. Treasury.</w:t>
      </w:r>
      <w:r w:rsidRPr="00CD3907">
        <w:rPr>
          <w:color w:val="000000"/>
        </w:rPr>
        <w:br/>
      </w:r>
      <w:r>
        <w:rPr>
          <w:rFonts w:ascii="Verdana" w:hAnsi="Verdana"/>
          <w:color w:val="000000"/>
          <w:sz w:val="20"/>
          <w:szCs w:val="20"/>
        </w:rPr>
        <w:br/>
      </w:r>
    </w:p>
    <w:p w:rsidR="001A3C1E" w:rsidRDefault="001A3C1E">
      <w:pPr>
        <w:rPr>
          <w:bCs/>
        </w:rPr>
      </w:pPr>
      <w:r>
        <w:rPr>
          <w:bCs/>
        </w:rPr>
        <w:br w:type="page"/>
      </w:r>
    </w:p>
    <w:p w:rsidR="00CF110C" w:rsidRDefault="00394287" w:rsidP="00CF110C">
      <w:pPr>
        <w:tabs>
          <w:tab w:val="left" w:pos="7950"/>
        </w:tabs>
        <w:spacing w:before="100" w:beforeAutospacing="1" w:after="100" w:afterAutospacing="1"/>
        <w:rPr>
          <w:b/>
          <w:bCs/>
        </w:rPr>
      </w:pPr>
      <w:r w:rsidRPr="00594A5C">
        <w:rPr>
          <w:b/>
          <w:bCs/>
        </w:rPr>
        <w:lastRenderedPageBreak/>
        <w:t>IV</w:t>
      </w:r>
      <w:r w:rsidR="00885F4B" w:rsidRPr="00594A5C">
        <w:rPr>
          <w:b/>
          <w:bCs/>
        </w:rPr>
        <w:t xml:space="preserve">.   Decision Unit </w:t>
      </w:r>
      <w:r w:rsidRPr="00594A5C">
        <w:rPr>
          <w:b/>
          <w:bCs/>
        </w:rPr>
        <w:t>Justification</w:t>
      </w:r>
      <w:r w:rsidR="000B63CB">
        <w:rPr>
          <w:b/>
          <w:bCs/>
        </w:rPr>
        <w:t xml:space="preserve"> </w:t>
      </w:r>
      <w:r w:rsidR="00A04325">
        <w:rPr>
          <w:b/>
          <w:bCs/>
        </w:rPr>
        <w:t>and Performance</w:t>
      </w:r>
      <w:r w:rsidR="00991FF4">
        <w:rPr>
          <w:b/>
          <w:bCs/>
        </w:rPr>
        <w:t xml:space="preserve"> </w:t>
      </w:r>
    </w:p>
    <w:p w:rsidR="00EE3CDA" w:rsidRDefault="009339E6" w:rsidP="00CF110C">
      <w:pPr>
        <w:tabs>
          <w:tab w:val="left" w:pos="7950"/>
        </w:tabs>
        <w:spacing w:before="100" w:beforeAutospacing="1" w:after="100" w:afterAutospacing="1"/>
        <w:rPr>
          <w:b/>
          <w:bCs/>
        </w:rPr>
      </w:pPr>
      <w:r w:rsidRPr="009339E6">
        <w:rPr>
          <w:b/>
          <w:bCs/>
        </w:rPr>
        <w:t>A</w:t>
      </w:r>
      <w:r w:rsidR="00515532">
        <w:rPr>
          <w:b/>
          <w:bCs/>
        </w:rPr>
        <w:t>.</w:t>
      </w:r>
      <w:r w:rsidRPr="009339E6">
        <w:rPr>
          <w:b/>
          <w:bCs/>
        </w:rPr>
        <w:t xml:space="preserve">  </w:t>
      </w:r>
      <w:r w:rsidR="00265432" w:rsidRPr="00265432">
        <w:rPr>
          <w:b/>
          <w:bCs/>
          <w:u w:val="single"/>
        </w:rPr>
        <w:t>LAW ENFORCEMENT OPERATIONS</w:t>
      </w:r>
      <w:r w:rsidR="00DA5F46">
        <w:rPr>
          <w:b/>
          <w:bCs/>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1260"/>
        <w:gridCol w:w="1440"/>
      </w:tblGrid>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DC3BE1" w:rsidRDefault="00DC3BE1" w:rsidP="00DC3BE1">
            <w:pPr>
              <w:spacing w:before="100" w:beforeAutospacing="1" w:after="100" w:afterAutospacing="1"/>
              <w:rPr>
                <w:b/>
                <w:bCs/>
              </w:rPr>
            </w:pPr>
            <w:r>
              <w:rPr>
                <w:b/>
                <w:bCs/>
              </w:rPr>
              <w:t>LAW ENFORCEMENT OPERATIONS</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DC3BE1" w:rsidRDefault="00DC3BE1" w:rsidP="008F6444">
            <w:pPr>
              <w:spacing w:before="100" w:beforeAutospacing="1" w:after="100" w:afterAutospacing="1"/>
              <w:jc w:val="center"/>
              <w:rPr>
                <w:b/>
                <w:bCs/>
              </w:rPr>
            </w:pPr>
            <w:r w:rsidRPr="00DC3BE1">
              <w:rPr>
                <w:b/>
                <w:bCs/>
              </w:rPr>
              <w:t>Perm. Pos.</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DC3BE1" w:rsidRDefault="00DC3BE1" w:rsidP="008F6444">
            <w:pPr>
              <w:spacing w:before="100" w:beforeAutospacing="1" w:after="100" w:afterAutospacing="1"/>
              <w:jc w:val="center"/>
              <w:rPr>
                <w:b/>
                <w:bCs/>
              </w:rPr>
            </w:pPr>
            <w:r w:rsidRPr="00DC3BE1">
              <w:rPr>
                <w:b/>
                <w:bCs/>
              </w:rPr>
              <w:t>FTE</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DC3BE1" w:rsidRDefault="00DC3BE1" w:rsidP="008F6444">
            <w:pPr>
              <w:spacing w:before="100" w:beforeAutospacing="1" w:after="100" w:afterAutospacing="1"/>
              <w:jc w:val="center"/>
              <w:rPr>
                <w:b/>
                <w:bCs/>
              </w:rPr>
            </w:pPr>
            <w:r w:rsidRPr="00DC3BE1">
              <w:rPr>
                <w:b/>
                <w:bCs/>
              </w:rPr>
              <w:t>Amount</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DC3BE1">
            <w:pPr>
              <w:spacing w:before="100" w:beforeAutospacing="1" w:after="100" w:afterAutospacing="1"/>
              <w:rPr>
                <w:bCs/>
              </w:rPr>
            </w:pPr>
            <w:r w:rsidRPr="00757AF8">
              <w:rPr>
                <w:bCs/>
              </w:rPr>
              <w:t xml:space="preserve">2012 Enacted </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4B5386">
            <w:pPr>
              <w:spacing w:before="100" w:beforeAutospacing="1" w:after="100" w:afterAutospacing="1"/>
              <w:jc w:val="right"/>
              <w:rPr>
                <w:bCs/>
              </w:rPr>
            </w:pPr>
            <w:r w:rsidRPr="00757AF8">
              <w:rPr>
                <w:bCs/>
              </w:rPr>
              <w:t>4,</w:t>
            </w:r>
            <w:r w:rsidR="004B5386" w:rsidRPr="00757AF8">
              <w:rPr>
                <w:bCs/>
              </w:rPr>
              <w:t>4</w:t>
            </w:r>
            <w:r w:rsidR="004B5386">
              <w:rPr>
                <w:bCs/>
              </w:rPr>
              <w:t>11</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151883">
            <w:pPr>
              <w:spacing w:before="100" w:beforeAutospacing="1" w:after="100" w:afterAutospacing="1"/>
              <w:jc w:val="right"/>
              <w:rPr>
                <w:bCs/>
              </w:rPr>
            </w:pPr>
            <w:r w:rsidRPr="00757AF8">
              <w:rPr>
                <w:bCs/>
              </w:rPr>
              <w:t>4,</w:t>
            </w:r>
            <w:r w:rsidR="00151883" w:rsidRPr="00757AF8">
              <w:rPr>
                <w:bCs/>
              </w:rPr>
              <w:t>3</w:t>
            </w:r>
            <w:r w:rsidR="00144FAF">
              <w:rPr>
                <w:bCs/>
              </w:rPr>
              <w:t>45</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151883">
            <w:pPr>
              <w:spacing w:before="100" w:beforeAutospacing="1" w:after="100" w:afterAutospacing="1"/>
              <w:jc w:val="right"/>
              <w:rPr>
                <w:bCs/>
              </w:rPr>
            </w:pPr>
            <w:r w:rsidRPr="00757AF8">
              <w:rPr>
                <w:bCs/>
              </w:rPr>
              <w:t>$996,</w:t>
            </w:r>
            <w:r w:rsidR="00151883" w:rsidRPr="00757AF8">
              <w:rPr>
                <w:bCs/>
              </w:rPr>
              <w:t>13</w:t>
            </w:r>
            <w:r w:rsidR="00345A79">
              <w:rPr>
                <w:bCs/>
              </w:rPr>
              <w:t>5</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DC3BE1">
            <w:pPr>
              <w:spacing w:before="100" w:beforeAutospacing="1" w:after="100" w:afterAutospacing="1"/>
              <w:rPr>
                <w:bCs/>
              </w:rPr>
            </w:pPr>
            <w:bookmarkStart w:id="11" w:name="_Hlk131234810"/>
            <w:r w:rsidRPr="00757AF8">
              <w:rPr>
                <w:bCs/>
              </w:rPr>
              <w:t xml:space="preserve">2012 Enacted w/Rescissions </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4B5386">
            <w:pPr>
              <w:spacing w:before="100" w:beforeAutospacing="1" w:after="100" w:afterAutospacing="1"/>
              <w:jc w:val="right"/>
              <w:rPr>
                <w:bCs/>
              </w:rPr>
            </w:pPr>
            <w:r w:rsidRPr="00757AF8">
              <w:rPr>
                <w:bCs/>
              </w:rPr>
              <w:t>4,</w:t>
            </w:r>
            <w:r w:rsidR="004B5386" w:rsidRPr="00757AF8">
              <w:rPr>
                <w:bCs/>
              </w:rPr>
              <w:t>4</w:t>
            </w:r>
            <w:r w:rsidR="004B5386">
              <w:rPr>
                <w:bCs/>
              </w:rPr>
              <w:t>11</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151883">
            <w:pPr>
              <w:spacing w:before="100" w:beforeAutospacing="1" w:after="100" w:afterAutospacing="1"/>
              <w:jc w:val="right"/>
              <w:rPr>
                <w:bCs/>
              </w:rPr>
            </w:pPr>
            <w:r w:rsidRPr="00757AF8">
              <w:rPr>
                <w:bCs/>
              </w:rPr>
              <w:t>4,</w:t>
            </w:r>
            <w:r w:rsidR="00151883" w:rsidRPr="00757AF8">
              <w:rPr>
                <w:bCs/>
              </w:rPr>
              <w:t>3</w:t>
            </w:r>
            <w:r w:rsidR="00144FAF">
              <w:rPr>
                <w:bCs/>
              </w:rPr>
              <w:t>45</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151883">
            <w:pPr>
              <w:spacing w:before="100" w:beforeAutospacing="1" w:after="100" w:afterAutospacing="1"/>
              <w:jc w:val="right"/>
              <w:rPr>
                <w:bCs/>
              </w:rPr>
            </w:pPr>
            <w:r w:rsidRPr="00757AF8">
              <w:rPr>
                <w:bCs/>
              </w:rPr>
              <w:t>996,</w:t>
            </w:r>
            <w:r w:rsidR="00151883" w:rsidRPr="00757AF8">
              <w:rPr>
                <w:bCs/>
              </w:rPr>
              <w:t>13</w:t>
            </w:r>
            <w:r w:rsidR="00345A79">
              <w:rPr>
                <w:bCs/>
              </w:rPr>
              <w:t>5</w:t>
            </w:r>
          </w:p>
        </w:tc>
      </w:tr>
      <w:bookmarkEnd w:id="11"/>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DC3BE1">
            <w:pPr>
              <w:spacing w:before="100" w:beforeAutospacing="1" w:after="100" w:afterAutospacing="1"/>
              <w:rPr>
                <w:bCs/>
              </w:rPr>
            </w:pPr>
            <w:r w:rsidRPr="00757AF8">
              <w:rPr>
                <w:bCs/>
              </w:rPr>
              <w:t xml:space="preserve">2013 </w:t>
            </w:r>
            <w:r w:rsidR="00B171A6" w:rsidRPr="00757AF8">
              <w:rPr>
                <w:bCs/>
              </w:rPr>
              <w:t>Continuing Resolution</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151883">
            <w:pPr>
              <w:spacing w:before="100" w:beforeAutospacing="1" w:after="100" w:afterAutospacing="1"/>
              <w:jc w:val="right"/>
              <w:rPr>
                <w:bCs/>
              </w:rPr>
            </w:pPr>
            <w:r w:rsidRPr="00757AF8">
              <w:rPr>
                <w:bCs/>
              </w:rPr>
              <w:t>4,</w:t>
            </w:r>
            <w:r w:rsidR="00151883">
              <w:rPr>
                <w:bCs/>
              </w:rPr>
              <w:t>411</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045436">
            <w:pPr>
              <w:spacing w:before="100" w:beforeAutospacing="1" w:after="100" w:afterAutospacing="1"/>
              <w:jc w:val="right"/>
              <w:rPr>
                <w:bCs/>
              </w:rPr>
            </w:pPr>
            <w:r w:rsidRPr="00757AF8">
              <w:rPr>
                <w:bCs/>
              </w:rPr>
              <w:t>4,</w:t>
            </w:r>
            <w:r w:rsidR="00151883">
              <w:rPr>
                <w:bCs/>
              </w:rPr>
              <w:t>10</w:t>
            </w:r>
            <w:r w:rsidR="003A2AD7">
              <w:rPr>
                <w:bCs/>
              </w:rPr>
              <w:t>6</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345A79" w:rsidP="00345A79">
            <w:pPr>
              <w:spacing w:before="100" w:beforeAutospacing="1" w:after="100" w:afterAutospacing="1"/>
              <w:jc w:val="right"/>
              <w:rPr>
                <w:bCs/>
              </w:rPr>
            </w:pPr>
            <w:r>
              <w:rPr>
                <w:bCs/>
              </w:rPr>
              <w:t>1,002,430</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DC3BE1">
            <w:pPr>
              <w:spacing w:before="100" w:beforeAutospacing="1" w:after="100" w:afterAutospacing="1"/>
              <w:rPr>
                <w:bCs/>
              </w:rPr>
            </w:pPr>
            <w:r w:rsidRPr="00757AF8">
              <w:rPr>
                <w:bCs/>
              </w:rPr>
              <w:t>Adjustments to Base and Technical Adjustments</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E011B9">
            <w:pPr>
              <w:spacing w:before="100" w:beforeAutospacing="1" w:after="100" w:afterAutospacing="1"/>
              <w:jc w:val="right"/>
              <w:rPr>
                <w:bCs/>
              </w:rPr>
            </w:pPr>
            <w:r w:rsidRPr="00757AF8">
              <w:rPr>
                <w:bCs/>
              </w:rPr>
              <w:t>0</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757AF8" w:rsidRDefault="00345A79" w:rsidP="00345A79">
            <w:pPr>
              <w:spacing w:before="100" w:beforeAutospacing="1" w:after="100" w:afterAutospacing="1"/>
              <w:jc w:val="right"/>
              <w:rPr>
                <w:bCs/>
              </w:rPr>
            </w:pPr>
            <w:r>
              <w:rPr>
                <w:bCs/>
              </w:rPr>
              <w:t>0</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CD38A2" w:rsidP="00CD38A2">
            <w:pPr>
              <w:spacing w:before="100" w:beforeAutospacing="1" w:after="100" w:afterAutospacing="1"/>
              <w:jc w:val="right"/>
              <w:rPr>
                <w:bCs/>
              </w:rPr>
            </w:pPr>
            <w:r>
              <w:rPr>
                <w:bCs/>
              </w:rPr>
              <w:t>25,342</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DC3BE1">
            <w:pPr>
              <w:spacing w:before="100" w:beforeAutospacing="1" w:after="100" w:afterAutospacing="1"/>
              <w:rPr>
                <w:bCs/>
              </w:rPr>
            </w:pPr>
            <w:r w:rsidRPr="00757AF8">
              <w:rPr>
                <w:bCs/>
              </w:rPr>
              <w:t>2014 Current Services</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151883">
            <w:pPr>
              <w:spacing w:before="100" w:beforeAutospacing="1" w:after="100" w:afterAutospacing="1"/>
              <w:jc w:val="right"/>
              <w:rPr>
                <w:bCs/>
              </w:rPr>
            </w:pPr>
            <w:r w:rsidRPr="00757AF8">
              <w:rPr>
                <w:bCs/>
              </w:rPr>
              <w:t>4,</w:t>
            </w:r>
            <w:r w:rsidR="00151883">
              <w:rPr>
                <w:bCs/>
              </w:rPr>
              <w:t>411</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045436">
            <w:pPr>
              <w:spacing w:before="100" w:beforeAutospacing="1" w:after="100" w:afterAutospacing="1"/>
              <w:jc w:val="right"/>
              <w:rPr>
                <w:bCs/>
              </w:rPr>
            </w:pPr>
            <w:r w:rsidRPr="00757AF8">
              <w:rPr>
                <w:bCs/>
              </w:rPr>
              <w:t>4,</w:t>
            </w:r>
            <w:r w:rsidR="00151883">
              <w:rPr>
                <w:bCs/>
              </w:rPr>
              <w:t>10</w:t>
            </w:r>
            <w:r w:rsidR="003A2AD7">
              <w:rPr>
                <w:bCs/>
              </w:rPr>
              <w:t>6</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151883" w:rsidP="00CD38A2">
            <w:pPr>
              <w:spacing w:before="100" w:beforeAutospacing="1" w:after="100" w:afterAutospacing="1"/>
              <w:jc w:val="right"/>
              <w:rPr>
                <w:bCs/>
              </w:rPr>
            </w:pPr>
            <w:r>
              <w:rPr>
                <w:bCs/>
              </w:rPr>
              <w:t>1,0</w:t>
            </w:r>
            <w:r w:rsidR="00CD38A2">
              <w:rPr>
                <w:bCs/>
              </w:rPr>
              <w:t>27</w:t>
            </w:r>
            <w:r>
              <w:rPr>
                <w:bCs/>
              </w:rPr>
              <w:t>,7</w:t>
            </w:r>
            <w:r w:rsidR="00CD38A2">
              <w:rPr>
                <w:bCs/>
              </w:rPr>
              <w:t>72</w:t>
            </w:r>
          </w:p>
        </w:tc>
      </w:tr>
      <w:tr w:rsidR="00B171A6"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B171A6" w:rsidRPr="00757AF8" w:rsidRDefault="008F2CCC" w:rsidP="00DC3BE1">
            <w:pPr>
              <w:spacing w:before="100" w:beforeAutospacing="1" w:after="100" w:afterAutospacing="1"/>
              <w:rPr>
                <w:bCs/>
              </w:rPr>
            </w:pPr>
            <w:r w:rsidRPr="00757AF8">
              <w:rPr>
                <w:bCs/>
              </w:rPr>
              <w:t>2014 Program Increases</w:t>
            </w:r>
          </w:p>
        </w:tc>
        <w:tc>
          <w:tcPr>
            <w:tcW w:w="1440" w:type="dxa"/>
            <w:tcBorders>
              <w:top w:val="single" w:sz="4" w:space="0" w:color="auto"/>
              <w:left w:val="single" w:sz="4" w:space="0" w:color="auto"/>
              <w:bottom w:val="single" w:sz="4" w:space="0" w:color="auto"/>
              <w:right w:val="single" w:sz="4" w:space="0" w:color="auto"/>
            </w:tcBorders>
            <w:vAlign w:val="bottom"/>
          </w:tcPr>
          <w:p w:rsidR="00B171A6" w:rsidRPr="00757AF8" w:rsidRDefault="00B171A6" w:rsidP="00B171A6">
            <w:pPr>
              <w:spacing w:before="100" w:beforeAutospacing="1" w:after="100" w:afterAutospacing="1"/>
              <w:jc w:val="right"/>
              <w:rPr>
                <w:bCs/>
              </w:rPr>
            </w:pPr>
            <w:r w:rsidRPr="00757AF8">
              <w:rPr>
                <w:bCs/>
              </w:rPr>
              <w:t>221</w:t>
            </w:r>
          </w:p>
        </w:tc>
        <w:tc>
          <w:tcPr>
            <w:tcW w:w="1260" w:type="dxa"/>
            <w:tcBorders>
              <w:top w:val="single" w:sz="4" w:space="0" w:color="auto"/>
              <w:left w:val="single" w:sz="4" w:space="0" w:color="auto"/>
              <w:bottom w:val="single" w:sz="4" w:space="0" w:color="auto"/>
              <w:right w:val="single" w:sz="4" w:space="0" w:color="auto"/>
            </w:tcBorders>
            <w:vAlign w:val="bottom"/>
          </w:tcPr>
          <w:p w:rsidR="00B171A6" w:rsidRPr="00757AF8" w:rsidRDefault="00151883" w:rsidP="00D62C0F">
            <w:pPr>
              <w:spacing w:before="100" w:beforeAutospacing="1" w:after="100" w:afterAutospacing="1"/>
              <w:jc w:val="right"/>
              <w:rPr>
                <w:bCs/>
              </w:rPr>
            </w:pPr>
            <w:r w:rsidRPr="00757AF8">
              <w:rPr>
                <w:bCs/>
              </w:rPr>
              <w:t>11</w:t>
            </w:r>
            <w:r w:rsidR="00D62C0F">
              <w:rPr>
                <w:bCs/>
              </w:rPr>
              <w:t>1</w:t>
            </w:r>
          </w:p>
        </w:tc>
        <w:tc>
          <w:tcPr>
            <w:tcW w:w="1440" w:type="dxa"/>
            <w:tcBorders>
              <w:top w:val="single" w:sz="4" w:space="0" w:color="auto"/>
              <w:left w:val="single" w:sz="4" w:space="0" w:color="auto"/>
              <w:bottom w:val="single" w:sz="4" w:space="0" w:color="auto"/>
              <w:right w:val="single" w:sz="4" w:space="0" w:color="auto"/>
            </w:tcBorders>
            <w:vAlign w:val="bottom"/>
          </w:tcPr>
          <w:p w:rsidR="00B171A6" w:rsidRPr="00757AF8" w:rsidRDefault="00B171A6" w:rsidP="00CD38A2">
            <w:pPr>
              <w:spacing w:before="100" w:beforeAutospacing="1" w:after="100" w:afterAutospacing="1"/>
              <w:jc w:val="right"/>
              <w:rPr>
                <w:bCs/>
              </w:rPr>
            </w:pPr>
            <w:r w:rsidRPr="00757AF8">
              <w:rPr>
                <w:bCs/>
              </w:rPr>
              <w:t>4</w:t>
            </w:r>
            <w:r w:rsidR="00CD38A2">
              <w:rPr>
                <w:bCs/>
              </w:rPr>
              <w:t>4</w:t>
            </w:r>
            <w:r w:rsidRPr="00757AF8">
              <w:rPr>
                <w:bCs/>
              </w:rPr>
              <w:t>,</w:t>
            </w:r>
            <w:r w:rsidR="00CD38A2">
              <w:rPr>
                <w:bCs/>
              </w:rPr>
              <w:t>167</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757AF8" w:rsidRDefault="00B171A6" w:rsidP="00DC3BE1">
            <w:pPr>
              <w:spacing w:before="100" w:beforeAutospacing="1" w:after="100" w:afterAutospacing="1"/>
              <w:rPr>
                <w:bCs/>
              </w:rPr>
            </w:pPr>
            <w:r w:rsidRPr="00757AF8">
              <w:rPr>
                <w:bCs/>
              </w:rPr>
              <w:t>2014 Program De</w:t>
            </w:r>
            <w:r w:rsidR="008F2CCC" w:rsidRPr="00757AF8">
              <w:rPr>
                <w:bCs/>
              </w:rPr>
              <w:t>creases</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B171A6" w:rsidP="00E011B9">
            <w:pPr>
              <w:spacing w:before="100" w:beforeAutospacing="1" w:after="100" w:afterAutospacing="1"/>
              <w:jc w:val="right"/>
              <w:rPr>
                <w:bCs/>
              </w:rPr>
            </w:pPr>
            <w:r w:rsidRPr="00757AF8">
              <w:rPr>
                <w:bCs/>
              </w:rPr>
              <w:t>(142)</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E011B9">
            <w:pPr>
              <w:spacing w:before="100" w:beforeAutospacing="1" w:after="100" w:afterAutospacing="1"/>
              <w:jc w:val="right"/>
              <w:rPr>
                <w:bCs/>
              </w:rPr>
            </w:pPr>
            <w:r w:rsidRPr="00757AF8">
              <w:rPr>
                <w:bCs/>
              </w:rPr>
              <w:t>0</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B171A6" w:rsidP="00151883">
            <w:pPr>
              <w:spacing w:before="100" w:beforeAutospacing="1" w:after="100" w:afterAutospacing="1"/>
              <w:jc w:val="right"/>
              <w:rPr>
                <w:bCs/>
              </w:rPr>
            </w:pPr>
            <w:r w:rsidRPr="00757AF8">
              <w:rPr>
                <w:bCs/>
              </w:rPr>
              <w:t>(8,</w:t>
            </w:r>
            <w:r w:rsidR="00151883" w:rsidRPr="00757AF8">
              <w:rPr>
                <w:bCs/>
              </w:rPr>
              <w:t>77</w:t>
            </w:r>
            <w:r w:rsidR="00151883">
              <w:rPr>
                <w:bCs/>
              </w:rPr>
              <w:t>4</w:t>
            </w:r>
            <w:r w:rsidRPr="00757AF8">
              <w:rPr>
                <w:bCs/>
              </w:rPr>
              <w:t>)</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DC3BE1">
            <w:pPr>
              <w:spacing w:before="100" w:beforeAutospacing="1" w:after="100" w:afterAutospacing="1"/>
              <w:rPr>
                <w:bCs/>
              </w:rPr>
            </w:pPr>
            <w:r w:rsidRPr="00757AF8">
              <w:rPr>
                <w:bCs/>
              </w:rPr>
              <w:t>2014 Request</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8F2CCC" w:rsidP="00151883">
            <w:pPr>
              <w:spacing w:before="100" w:beforeAutospacing="1" w:after="100" w:afterAutospacing="1"/>
              <w:jc w:val="right"/>
              <w:rPr>
                <w:bCs/>
              </w:rPr>
            </w:pPr>
            <w:r w:rsidRPr="00757AF8">
              <w:rPr>
                <w:bCs/>
              </w:rPr>
              <w:t>4,</w:t>
            </w:r>
            <w:r w:rsidR="00151883">
              <w:rPr>
                <w:bCs/>
              </w:rPr>
              <w:t>490</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757AF8" w:rsidRDefault="00B171A6" w:rsidP="00045436">
            <w:pPr>
              <w:spacing w:before="100" w:beforeAutospacing="1" w:after="100" w:afterAutospacing="1"/>
              <w:jc w:val="right"/>
              <w:rPr>
                <w:bCs/>
              </w:rPr>
            </w:pPr>
            <w:r w:rsidRPr="00757AF8">
              <w:rPr>
                <w:bCs/>
              </w:rPr>
              <w:t>4,</w:t>
            </w:r>
            <w:r w:rsidR="00151883">
              <w:rPr>
                <w:bCs/>
              </w:rPr>
              <w:t>21</w:t>
            </w:r>
            <w:r w:rsidR="003A2AD7">
              <w:rPr>
                <w:bCs/>
              </w:rPr>
              <w:t>7</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757AF8" w:rsidRDefault="00151883" w:rsidP="004958D3">
            <w:pPr>
              <w:spacing w:before="100" w:beforeAutospacing="1" w:after="100" w:afterAutospacing="1"/>
              <w:jc w:val="right"/>
              <w:rPr>
                <w:bCs/>
              </w:rPr>
            </w:pPr>
            <w:r>
              <w:rPr>
                <w:bCs/>
              </w:rPr>
              <w:t>1,0</w:t>
            </w:r>
            <w:r w:rsidR="004958D3">
              <w:rPr>
                <w:bCs/>
              </w:rPr>
              <w:t>63</w:t>
            </w:r>
            <w:r>
              <w:rPr>
                <w:bCs/>
              </w:rPr>
              <w:t>,</w:t>
            </w:r>
            <w:r w:rsidR="004958D3">
              <w:rPr>
                <w:bCs/>
              </w:rPr>
              <w:t>165</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shd w:val="clear" w:color="auto" w:fill="E6E6E6"/>
            <w:vAlign w:val="bottom"/>
          </w:tcPr>
          <w:p w:rsidR="00DC3BE1" w:rsidRPr="00DC3BE1" w:rsidRDefault="00DC3BE1" w:rsidP="00DC3BE1">
            <w:pPr>
              <w:spacing w:before="100" w:beforeAutospacing="1" w:after="100" w:afterAutospacing="1"/>
              <w:rPr>
                <w:b/>
                <w:bCs/>
              </w:rPr>
            </w:pPr>
            <w:r w:rsidRPr="00DC3BE1">
              <w:rPr>
                <w:b/>
                <w:bCs/>
              </w:rPr>
              <w:t>Total Change 2013-2014</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bottom"/>
          </w:tcPr>
          <w:p w:rsidR="00DC3BE1" w:rsidRPr="00757AF8" w:rsidRDefault="004B5386" w:rsidP="00E011B9">
            <w:pPr>
              <w:spacing w:before="100" w:beforeAutospacing="1" w:after="100" w:afterAutospacing="1"/>
              <w:jc w:val="right"/>
              <w:rPr>
                <w:bCs/>
              </w:rPr>
            </w:pPr>
            <w:r>
              <w:rPr>
                <w:bCs/>
              </w:rPr>
              <w:t>79</w:t>
            </w:r>
          </w:p>
        </w:tc>
        <w:tc>
          <w:tcPr>
            <w:tcW w:w="1260" w:type="dxa"/>
            <w:tcBorders>
              <w:top w:val="single" w:sz="4" w:space="0" w:color="auto"/>
              <w:left w:val="single" w:sz="4" w:space="0" w:color="auto"/>
              <w:bottom w:val="single" w:sz="4" w:space="0" w:color="auto"/>
              <w:right w:val="single" w:sz="4" w:space="0" w:color="auto"/>
            </w:tcBorders>
            <w:shd w:val="clear" w:color="auto" w:fill="E6E6E6"/>
            <w:vAlign w:val="bottom"/>
          </w:tcPr>
          <w:p w:rsidR="00DC3BE1" w:rsidRPr="00757AF8" w:rsidRDefault="004B5386" w:rsidP="00D62C0F">
            <w:pPr>
              <w:spacing w:before="100" w:beforeAutospacing="1" w:after="100" w:afterAutospacing="1"/>
              <w:jc w:val="right"/>
              <w:rPr>
                <w:bCs/>
              </w:rPr>
            </w:pPr>
            <w:r>
              <w:rPr>
                <w:bCs/>
              </w:rPr>
              <w:t>11</w:t>
            </w:r>
            <w:r w:rsidR="00D62C0F">
              <w:rPr>
                <w:bCs/>
              </w:rPr>
              <w:t>1</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bottom"/>
          </w:tcPr>
          <w:p w:rsidR="00DC3BE1" w:rsidRPr="00757AF8" w:rsidRDefault="00B72B91" w:rsidP="004958D3">
            <w:pPr>
              <w:spacing w:before="100" w:beforeAutospacing="1" w:after="100" w:afterAutospacing="1"/>
              <w:jc w:val="right"/>
              <w:rPr>
                <w:bCs/>
              </w:rPr>
            </w:pPr>
            <w:r w:rsidRPr="00757AF8">
              <w:rPr>
                <w:bCs/>
              </w:rPr>
              <w:t>$</w:t>
            </w:r>
            <w:r w:rsidR="004958D3">
              <w:rPr>
                <w:bCs/>
              </w:rPr>
              <w:t>60</w:t>
            </w:r>
            <w:r w:rsidR="00151883">
              <w:rPr>
                <w:bCs/>
              </w:rPr>
              <w:t>,73</w:t>
            </w:r>
            <w:r w:rsidR="004958D3">
              <w:rPr>
                <w:bCs/>
              </w:rPr>
              <w:t>5</w:t>
            </w:r>
          </w:p>
        </w:tc>
      </w:tr>
    </w:tbl>
    <w:p w:rsidR="00D36BC8" w:rsidRDefault="00D36BC8"/>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1260"/>
        <w:gridCol w:w="1440"/>
      </w:tblGrid>
      <w:tr w:rsidR="00DB6ADD" w:rsidRPr="00DC4C9F" w:rsidTr="00DB6ADD">
        <w:tc>
          <w:tcPr>
            <w:tcW w:w="5220" w:type="dxa"/>
            <w:tcBorders>
              <w:top w:val="single" w:sz="4" w:space="0" w:color="auto"/>
              <w:left w:val="single" w:sz="4" w:space="0" w:color="auto"/>
              <w:bottom w:val="single" w:sz="4" w:space="0" w:color="auto"/>
              <w:right w:val="single" w:sz="4" w:space="0" w:color="auto"/>
            </w:tcBorders>
            <w:vAlign w:val="bottom"/>
          </w:tcPr>
          <w:p w:rsidR="00DB6ADD" w:rsidRPr="00DC3BE1" w:rsidRDefault="00DB6ADD" w:rsidP="00DB6ADD">
            <w:pPr>
              <w:spacing w:before="100" w:beforeAutospacing="1" w:after="100" w:afterAutospacing="1"/>
              <w:rPr>
                <w:b/>
                <w:bCs/>
              </w:rPr>
            </w:pPr>
            <w:r>
              <w:rPr>
                <w:b/>
                <w:bCs/>
              </w:rPr>
              <w:t>LAW ENFORCEMENT OPERATIONS</w:t>
            </w:r>
            <w:r w:rsidR="00364410">
              <w:rPr>
                <w:b/>
                <w:bCs/>
              </w:rPr>
              <w:t xml:space="preserve"> </w:t>
            </w:r>
            <w:r w:rsidR="00A10B28">
              <w:rPr>
                <w:b/>
                <w:bCs/>
              </w:rPr>
              <w:t xml:space="preserve">Information </w:t>
            </w:r>
            <w:r>
              <w:rPr>
                <w:b/>
                <w:bCs/>
              </w:rPr>
              <w:t>Technology Breakout</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DC3BE1" w:rsidRDefault="00DB6ADD" w:rsidP="00DB6ADD">
            <w:pPr>
              <w:spacing w:before="100" w:beforeAutospacing="1" w:after="100" w:afterAutospacing="1"/>
              <w:jc w:val="center"/>
              <w:rPr>
                <w:b/>
                <w:bCs/>
              </w:rPr>
            </w:pPr>
            <w:r w:rsidRPr="00DC3BE1">
              <w:rPr>
                <w:b/>
                <w:bCs/>
              </w:rPr>
              <w:t>Perm. Pos.</w:t>
            </w:r>
          </w:p>
        </w:tc>
        <w:tc>
          <w:tcPr>
            <w:tcW w:w="1260" w:type="dxa"/>
            <w:tcBorders>
              <w:top w:val="single" w:sz="4" w:space="0" w:color="auto"/>
              <w:left w:val="single" w:sz="4" w:space="0" w:color="auto"/>
              <w:bottom w:val="single" w:sz="4" w:space="0" w:color="auto"/>
              <w:right w:val="single" w:sz="4" w:space="0" w:color="auto"/>
            </w:tcBorders>
            <w:vAlign w:val="bottom"/>
          </w:tcPr>
          <w:p w:rsidR="00DB6ADD" w:rsidRPr="00DC3BE1" w:rsidRDefault="00DB6ADD" w:rsidP="00DB6ADD">
            <w:pPr>
              <w:spacing w:before="100" w:beforeAutospacing="1" w:after="100" w:afterAutospacing="1"/>
              <w:jc w:val="center"/>
              <w:rPr>
                <w:b/>
                <w:bCs/>
              </w:rPr>
            </w:pPr>
            <w:r w:rsidRPr="00DC3BE1">
              <w:rPr>
                <w:b/>
                <w:bCs/>
              </w:rPr>
              <w:t>FTE</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DC3BE1" w:rsidRDefault="00DB6ADD" w:rsidP="00DB6ADD">
            <w:pPr>
              <w:spacing w:before="100" w:beforeAutospacing="1" w:after="100" w:afterAutospacing="1"/>
              <w:jc w:val="center"/>
              <w:rPr>
                <w:b/>
                <w:bCs/>
              </w:rPr>
            </w:pPr>
            <w:r w:rsidRPr="00DC3BE1">
              <w:rPr>
                <w:b/>
                <w:bCs/>
              </w:rPr>
              <w:t>Amount</w:t>
            </w:r>
          </w:p>
        </w:tc>
      </w:tr>
      <w:tr w:rsidR="00DB6ADD" w:rsidRPr="00DC4C9F" w:rsidTr="00DB6ADD">
        <w:tc>
          <w:tcPr>
            <w:tcW w:w="522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DB6ADD">
            <w:pPr>
              <w:spacing w:before="100" w:beforeAutospacing="1" w:after="100" w:afterAutospacing="1"/>
              <w:rPr>
                <w:bCs/>
              </w:rPr>
            </w:pPr>
            <w:r w:rsidRPr="00757AF8">
              <w:rPr>
                <w:bCs/>
              </w:rPr>
              <w:t xml:space="preserve">2012 Enacted </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7</w:t>
            </w:r>
            <w:r w:rsidR="00B25755">
              <w:rPr>
                <w:bCs/>
              </w:rPr>
              <w:t>8</w:t>
            </w:r>
          </w:p>
        </w:tc>
        <w:tc>
          <w:tcPr>
            <w:tcW w:w="126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7</w:t>
            </w:r>
            <w:r w:rsidR="00B25755">
              <w:rPr>
                <w:bCs/>
              </w:rPr>
              <w:t>8</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$10</w:t>
            </w:r>
            <w:r w:rsidR="00B25755">
              <w:rPr>
                <w:bCs/>
              </w:rPr>
              <w:t>6</w:t>
            </w:r>
            <w:r w:rsidRPr="00757AF8">
              <w:rPr>
                <w:bCs/>
              </w:rPr>
              <w:t>,</w:t>
            </w:r>
            <w:r w:rsidR="00B25755">
              <w:rPr>
                <w:bCs/>
              </w:rPr>
              <w:t>499</w:t>
            </w:r>
          </w:p>
        </w:tc>
      </w:tr>
      <w:tr w:rsidR="00DB6ADD" w:rsidRPr="00DC4C9F" w:rsidTr="00DB6ADD">
        <w:tc>
          <w:tcPr>
            <w:tcW w:w="522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DB6ADD">
            <w:pPr>
              <w:spacing w:before="100" w:beforeAutospacing="1" w:after="100" w:afterAutospacing="1"/>
              <w:rPr>
                <w:bCs/>
              </w:rPr>
            </w:pPr>
            <w:r w:rsidRPr="00757AF8">
              <w:rPr>
                <w:bCs/>
              </w:rPr>
              <w:t xml:space="preserve">2012 Enacted w/Rescissions </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7</w:t>
            </w:r>
            <w:r w:rsidR="00B25755">
              <w:rPr>
                <w:bCs/>
              </w:rPr>
              <w:t>8</w:t>
            </w:r>
          </w:p>
        </w:tc>
        <w:tc>
          <w:tcPr>
            <w:tcW w:w="126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7</w:t>
            </w:r>
            <w:r w:rsidR="00B25755">
              <w:rPr>
                <w:bCs/>
              </w:rPr>
              <w:t>8</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10</w:t>
            </w:r>
            <w:r w:rsidR="00B25755">
              <w:rPr>
                <w:bCs/>
              </w:rPr>
              <w:t>6</w:t>
            </w:r>
            <w:r w:rsidRPr="00757AF8">
              <w:rPr>
                <w:bCs/>
              </w:rPr>
              <w:t>,</w:t>
            </w:r>
            <w:r w:rsidR="00B25755">
              <w:rPr>
                <w:bCs/>
              </w:rPr>
              <w:t>499</w:t>
            </w:r>
          </w:p>
        </w:tc>
      </w:tr>
      <w:tr w:rsidR="00DB6ADD" w:rsidRPr="00DC4C9F" w:rsidTr="00DB6ADD">
        <w:tc>
          <w:tcPr>
            <w:tcW w:w="522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DB6ADD">
            <w:pPr>
              <w:spacing w:before="100" w:beforeAutospacing="1" w:after="100" w:afterAutospacing="1"/>
              <w:rPr>
                <w:bCs/>
              </w:rPr>
            </w:pPr>
            <w:r w:rsidRPr="00757AF8">
              <w:rPr>
                <w:bCs/>
              </w:rPr>
              <w:t xml:space="preserve">2013 </w:t>
            </w:r>
            <w:r w:rsidR="00B171A6" w:rsidRPr="00757AF8">
              <w:rPr>
                <w:bCs/>
              </w:rPr>
              <w:t>Continuing Resolution</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7</w:t>
            </w:r>
            <w:r w:rsidR="00B25755">
              <w:rPr>
                <w:bCs/>
              </w:rPr>
              <w:t>8</w:t>
            </w:r>
          </w:p>
        </w:tc>
        <w:tc>
          <w:tcPr>
            <w:tcW w:w="126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7</w:t>
            </w:r>
            <w:r w:rsidR="00B25755">
              <w:rPr>
                <w:bCs/>
              </w:rPr>
              <w:t>8</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10</w:t>
            </w:r>
            <w:r w:rsidR="00B25755">
              <w:rPr>
                <w:bCs/>
              </w:rPr>
              <w:t>6</w:t>
            </w:r>
            <w:r w:rsidRPr="00757AF8">
              <w:rPr>
                <w:bCs/>
              </w:rPr>
              <w:t>,</w:t>
            </w:r>
            <w:r w:rsidR="00B25755">
              <w:rPr>
                <w:bCs/>
              </w:rPr>
              <w:t>499</w:t>
            </w:r>
          </w:p>
        </w:tc>
      </w:tr>
      <w:tr w:rsidR="00DB6ADD" w:rsidRPr="00DC4C9F" w:rsidTr="00DB6ADD">
        <w:tc>
          <w:tcPr>
            <w:tcW w:w="522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DB6ADD">
            <w:pPr>
              <w:spacing w:before="100" w:beforeAutospacing="1" w:after="100" w:afterAutospacing="1"/>
              <w:rPr>
                <w:bCs/>
              </w:rPr>
            </w:pPr>
            <w:r w:rsidRPr="00757AF8">
              <w:rPr>
                <w:bCs/>
              </w:rPr>
              <w:t>Adjustments to Base and Technical Adjustments</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DB6ADD">
            <w:pPr>
              <w:spacing w:before="100" w:beforeAutospacing="1" w:after="100" w:afterAutospacing="1"/>
              <w:jc w:val="right"/>
              <w:rPr>
                <w:bCs/>
              </w:rPr>
            </w:pPr>
            <w:r w:rsidRPr="00757AF8">
              <w:rPr>
                <w:bCs/>
              </w:rPr>
              <w:t>0</w:t>
            </w:r>
          </w:p>
        </w:tc>
        <w:tc>
          <w:tcPr>
            <w:tcW w:w="126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DB6ADD">
            <w:pPr>
              <w:spacing w:before="100" w:beforeAutospacing="1" w:after="100" w:afterAutospacing="1"/>
              <w:jc w:val="right"/>
              <w:rPr>
                <w:bCs/>
              </w:rPr>
            </w:pPr>
            <w:r w:rsidRPr="00757AF8">
              <w:rPr>
                <w:bCs/>
              </w:rPr>
              <w:t>0</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757AF8" w:rsidRDefault="00B25755" w:rsidP="00B25755">
            <w:pPr>
              <w:spacing w:before="100" w:beforeAutospacing="1" w:after="100" w:afterAutospacing="1"/>
              <w:jc w:val="right"/>
              <w:rPr>
                <w:bCs/>
              </w:rPr>
            </w:pPr>
            <w:r>
              <w:rPr>
                <w:bCs/>
              </w:rPr>
              <w:t>7,787</w:t>
            </w:r>
          </w:p>
        </w:tc>
      </w:tr>
      <w:tr w:rsidR="00DB6ADD" w:rsidRPr="00DC4C9F" w:rsidTr="00DB6ADD">
        <w:tc>
          <w:tcPr>
            <w:tcW w:w="522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DB6ADD">
            <w:pPr>
              <w:spacing w:before="100" w:beforeAutospacing="1" w:after="100" w:afterAutospacing="1"/>
              <w:rPr>
                <w:bCs/>
              </w:rPr>
            </w:pPr>
            <w:r w:rsidRPr="00757AF8">
              <w:rPr>
                <w:bCs/>
              </w:rPr>
              <w:t>2014 Current Services</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7</w:t>
            </w:r>
            <w:r w:rsidR="00B25755">
              <w:rPr>
                <w:bCs/>
              </w:rPr>
              <w:t>8</w:t>
            </w:r>
          </w:p>
        </w:tc>
        <w:tc>
          <w:tcPr>
            <w:tcW w:w="126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7</w:t>
            </w:r>
            <w:r w:rsidR="00B25755">
              <w:rPr>
                <w:bCs/>
              </w:rPr>
              <w:t>8</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11</w:t>
            </w:r>
            <w:r w:rsidR="00B25755">
              <w:rPr>
                <w:bCs/>
              </w:rPr>
              <w:t>4</w:t>
            </w:r>
            <w:r w:rsidRPr="00757AF8">
              <w:rPr>
                <w:bCs/>
              </w:rPr>
              <w:t>,</w:t>
            </w:r>
            <w:r w:rsidR="00B25755">
              <w:rPr>
                <w:bCs/>
              </w:rPr>
              <w:t>287</w:t>
            </w:r>
          </w:p>
        </w:tc>
      </w:tr>
      <w:tr w:rsidR="004573AC" w:rsidRPr="00DC4C9F" w:rsidTr="00DB6ADD">
        <w:tc>
          <w:tcPr>
            <w:tcW w:w="5220" w:type="dxa"/>
            <w:tcBorders>
              <w:top w:val="single" w:sz="4" w:space="0" w:color="auto"/>
              <w:left w:val="single" w:sz="4" w:space="0" w:color="auto"/>
              <w:bottom w:val="single" w:sz="4" w:space="0" w:color="auto"/>
              <w:right w:val="single" w:sz="4" w:space="0" w:color="auto"/>
            </w:tcBorders>
            <w:vAlign w:val="bottom"/>
          </w:tcPr>
          <w:p w:rsidR="004573AC" w:rsidRPr="00757AF8" w:rsidRDefault="004573AC" w:rsidP="004573AC">
            <w:pPr>
              <w:spacing w:before="100" w:beforeAutospacing="1" w:after="100" w:afterAutospacing="1"/>
              <w:rPr>
                <w:bCs/>
              </w:rPr>
            </w:pPr>
            <w:r w:rsidRPr="00757AF8">
              <w:rPr>
                <w:bCs/>
              </w:rPr>
              <w:t>2014 Program Increases</w:t>
            </w:r>
          </w:p>
        </w:tc>
        <w:tc>
          <w:tcPr>
            <w:tcW w:w="1440" w:type="dxa"/>
            <w:tcBorders>
              <w:top w:val="single" w:sz="4" w:space="0" w:color="auto"/>
              <w:left w:val="single" w:sz="4" w:space="0" w:color="auto"/>
              <w:bottom w:val="single" w:sz="4" w:space="0" w:color="auto"/>
              <w:right w:val="single" w:sz="4" w:space="0" w:color="auto"/>
            </w:tcBorders>
            <w:vAlign w:val="bottom"/>
          </w:tcPr>
          <w:p w:rsidR="004573AC" w:rsidRPr="00757AF8" w:rsidRDefault="004573AC" w:rsidP="00DB6ADD">
            <w:pPr>
              <w:spacing w:before="100" w:beforeAutospacing="1" w:after="100" w:afterAutospacing="1"/>
              <w:jc w:val="right"/>
              <w:rPr>
                <w:bCs/>
              </w:rPr>
            </w:pPr>
            <w:r w:rsidRPr="00757AF8">
              <w:rPr>
                <w:bCs/>
              </w:rPr>
              <w:t>0</w:t>
            </w:r>
          </w:p>
        </w:tc>
        <w:tc>
          <w:tcPr>
            <w:tcW w:w="1260" w:type="dxa"/>
            <w:tcBorders>
              <w:top w:val="single" w:sz="4" w:space="0" w:color="auto"/>
              <w:left w:val="single" w:sz="4" w:space="0" w:color="auto"/>
              <w:bottom w:val="single" w:sz="4" w:space="0" w:color="auto"/>
              <w:right w:val="single" w:sz="4" w:space="0" w:color="auto"/>
            </w:tcBorders>
            <w:vAlign w:val="bottom"/>
          </w:tcPr>
          <w:p w:rsidR="004573AC" w:rsidRPr="00757AF8" w:rsidRDefault="004573AC" w:rsidP="00DB6ADD">
            <w:pPr>
              <w:spacing w:before="100" w:beforeAutospacing="1" w:after="100" w:afterAutospacing="1"/>
              <w:jc w:val="right"/>
              <w:rPr>
                <w:bCs/>
              </w:rPr>
            </w:pPr>
            <w:r w:rsidRPr="00757AF8">
              <w:rPr>
                <w:bCs/>
              </w:rPr>
              <w:t>0</w:t>
            </w:r>
          </w:p>
        </w:tc>
        <w:tc>
          <w:tcPr>
            <w:tcW w:w="1440" w:type="dxa"/>
            <w:tcBorders>
              <w:top w:val="single" w:sz="4" w:space="0" w:color="auto"/>
              <w:left w:val="single" w:sz="4" w:space="0" w:color="auto"/>
              <w:bottom w:val="single" w:sz="4" w:space="0" w:color="auto"/>
              <w:right w:val="single" w:sz="4" w:space="0" w:color="auto"/>
            </w:tcBorders>
            <w:vAlign w:val="bottom"/>
          </w:tcPr>
          <w:p w:rsidR="004573AC" w:rsidRPr="00757AF8" w:rsidRDefault="000B7D10" w:rsidP="00FB2244">
            <w:pPr>
              <w:spacing w:before="100" w:beforeAutospacing="1" w:after="100" w:afterAutospacing="1"/>
              <w:jc w:val="right"/>
              <w:rPr>
                <w:bCs/>
              </w:rPr>
            </w:pPr>
            <w:r>
              <w:rPr>
                <w:bCs/>
              </w:rPr>
              <w:t>0</w:t>
            </w:r>
          </w:p>
        </w:tc>
      </w:tr>
      <w:tr w:rsidR="004573AC" w:rsidRPr="00DC4C9F" w:rsidTr="00DB6ADD">
        <w:tc>
          <w:tcPr>
            <w:tcW w:w="5220" w:type="dxa"/>
            <w:tcBorders>
              <w:top w:val="single" w:sz="4" w:space="0" w:color="auto"/>
              <w:left w:val="single" w:sz="4" w:space="0" w:color="auto"/>
              <w:bottom w:val="single" w:sz="4" w:space="0" w:color="auto"/>
              <w:right w:val="single" w:sz="4" w:space="0" w:color="auto"/>
            </w:tcBorders>
            <w:vAlign w:val="bottom"/>
          </w:tcPr>
          <w:p w:rsidR="004573AC" w:rsidRPr="00757AF8" w:rsidRDefault="004573AC" w:rsidP="004573AC">
            <w:pPr>
              <w:spacing w:before="100" w:beforeAutospacing="1" w:after="100" w:afterAutospacing="1"/>
              <w:rPr>
                <w:bCs/>
              </w:rPr>
            </w:pPr>
            <w:r w:rsidRPr="00757AF8">
              <w:rPr>
                <w:bCs/>
              </w:rPr>
              <w:t>2014 Program Decreases</w:t>
            </w:r>
          </w:p>
        </w:tc>
        <w:tc>
          <w:tcPr>
            <w:tcW w:w="1440" w:type="dxa"/>
            <w:tcBorders>
              <w:top w:val="single" w:sz="4" w:space="0" w:color="auto"/>
              <w:left w:val="single" w:sz="4" w:space="0" w:color="auto"/>
              <w:bottom w:val="single" w:sz="4" w:space="0" w:color="auto"/>
              <w:right w:val="single" w:sz="4" w:space="0" w:color="auto"/>
            </w:tcBorders>
            <w:vAlign w:val="bottom"/>
          </w:tcPr>
          <w:p w:rsidR="004573AC" w:rsidRPr="00757AF8" w:rsidRDefault="004573AC" w:rsidP="00DB6ADD">
            <w:pPr>
              <w:spacing w:before="100" w:beforeAutospacing="1" w:after="100" w:afterAutospacing="1"/>
              <w:jc w:val="right"/>
              <w:rPr>
                <w:bCs/>
              </w:rPr>
            </w:pPr>
            <w:r w:rsidRPr="00757AF8">
              <w:rPr>
                <w:bCs/>
              </w:rPr>
              <w:t>0</w:t>
            </w:r>
          </w:p>
        </w:tc>
        <w:tc>
          <w:tcPr>
            <w:tcW w:w="1260" w:type="dxa"/>
            <w:tcBorders>
              <w:top w:val="single" w:sz="4" w:space="0" w:color="auto"/>
              <w:left w:val="single" w:sz="4" w:space="0" w:color="auto"/>
              <w:bottom w:val="single" w:sz="4" w:space="0" w:color="auto"/>
              <w:right w:val="single" w:sz="4" w:space="0" w:color="auto"/>
            </w:tcBorders>
            <w:vAlign w:val="bottom"/>
          </w:tcPr>
          <w:p w:rsidR="004573AC" w:rsidRPr="00757AF8" w:rsidRDefault="004573AC" w:rsidP="00DB6ADD">
            <w:pPr>
              <w:spacing w:before="100" w:beforeAutospacing="1" w:after="100" w:afterAutospacing="1"/>
              <w:jc w:val="right"/>
              <w:rPr>
                <w:bCs/>
              </w:rPr>
            </w:pPr>
            <w:r w:rsidRPr="00757AF8">
              <w:rPr>
                <w:bCs/>
              </w:rPr>
              <w:t>0</w:t>
            </w:r>
          </w:p>
        </w:tc>
        <w:tc>
          <w:tcPr>
            <w:tcW w:w="1440" w:type="dxa"/>
            <w:tcBorders>
              <w:top w:val="single" w:sz="4" w:space="0" w:color="auto"/>
              <w:left w:val="single" w:sz="4" w:space="0" w:color="auto"/>
              <w:bottom w:val="single" w:sz="4" w:space="0" w:color="auto"/>
              <w:right w:val="single" w:sz="4" w:space="0" w:color="auto"/>
            </w:tcBorders>
            <w:vAlign w:val="bottom"/>
          </w:tcPr>
          <w:p w:rsidR="004573AC" w:rsidRPr="00757AF8" w:rsidRDefault="000B7D10" w:rsidP="00FB2244">
            <w:pPr>
              <w:spacing w:before="100" w:beforeAutospacing="1" w:after="100" w:afterAutospacing="1"/>
              <w:jc w:val="right"/>
              <w:rPr>
                <w:bCs/>
              </w:rPr>
            </w:pPr>
            <w:r>
              <w:rPr>
                <w:bCs/>
              </w:rPr>
              <w:t>(2,376)</w:t>
            </w:r>
          </w:p>
        </w:tc>
      </w:tr>
      <w:tr w:rsidR="00DB6ADD" w:rsidRPr="00DC4C9F" w:rsidTr="00DB6ADD">
        <w:tc>
          <w:tcPr>
            <w:tcW w:w="522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DB6ADD">
            <w:pPr>
              <w:spacing w:before="100" w:beforeAutospacing="1" w:after="100" w:afterAutospacing="1"/>
              <w:rPr>
                <w:bCs/>
              </w:rPr>
            </w:pPr>
            <w:r w:rsidRPr="00757AF8">
              <w:rPr>
                <w:bCs/>
              </w:rPr>
              <w:t>2014 Request</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7</w:t>
            </w:r>
            <w:r w:rsidR="00B25755">
              <w:rPr>
                <w:bCs/>
              </w:rPr>
              <w:t>8</w:t>
            </w:r>
          </w:p>
        </w:tc>
        <w:tc>
          <w:tcPr>
            <w:tcW w:w="126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7</w:t>
            </w:r>
            <w:r w:rsidR="00B25755">
              <w:rPr>
                <w:bCs/>
              </w:rPr>
              <w:t>8</w:t>
            </w:r>
          </w:p>
        </w:tc>
        <w:tc>
          <w:tcPr>
            <w:tcW w:w="1440" w:type="dxa"/>
            <w:tcBorders>
              <w:top w:val="single" w:sz="4" w:space="0" w:color="auto"/>
              <w:left w:val="single" w:sz="4" w:space="0" w:color="auto"/>
              <w:bottom w:val="single" w:sz="4" w:space="0" w:color="auto"/>
              <w:right w:val="single" w:sz="4" w:space="0" w:color="auto"/>
            </w:tcBorders>
            <w:vAlign w:val="bottom"/>
          </w:tcPr>
          <w:p w:rsidR="00DB6ADD" w:rsidRPr="00757AF8" w:rsidRDefault="008F2CCC" w:rsidP="00B25755">
            <w:pPr>
              <w:spacing w:before="100" w:beforeAutospacing="1" w:after="100" w:afterAutospacing="1"/>
              <w:jc w:val="right"/>
              <w:rPr>
                <w:bCs/>
              </w:rPr>
            </w:pPr>
            <w:r w:rsidRPr="00757AF8">
              <w:rPr>
                <w:bCs/>
              </w:rPr>
              <w:t>1</w:t>
            </w:r>
            <w:r w:rsidR="00B25755">
              <w:rPr>
                <w:bCs/>
              </w:rPr>
              <w:t>11</w:t>
            </w:r>
            <w:r w:rsidRPr="00757AF8">
              <w:rPr>
                <w:bCs/>
              </w:rPr>
              <w:t>,</w:t>
            </w:r>
            <w:r w:rsidR="00B25755">
              <w:rPr>
                <w:bCs/>
              </w:rPr>
              <w:t>9</w:t>
            </w:r>
            <w:r w:rsidR="000B7D10">
              <w:rPr>
                <w:bCs/>
              </w:rPr>
              <w:t>10</w:t>
            </w:r>
          </w:p>
        </w:tc>
      </w:tr>
      <w:tr w:rsidR="00DB6ADD" w:rsidRPr="00DC4C9F" w:rsidTr="00DB6ADD">
        <w:tc>
          <w:tcPr>
            <w:tcW w:w="5220" w:type="dxa"/>
            <w:tcBorders>
              <w:top w:val="single" w:sz="4" w:space="0" w:color="auto"/>
              <w:left w:val="single" w:sz="4" w:space="0" w:color="auto"/>
              <w:bottom w:val="single" w:sz="4" w:space="0" w:color="auto"/>
              <w:right w:val="single" w:sz="4" w:space="0" w:color="auto"/>
            </w:tcBorders>
            <w:shd w:val="clear" w:color="auto" w:fill="E6E6E6"/>
            <w:vAlign w:val="bottom"/>
          </w:tcPr>
          <w:p w:rsidR="00DB6ADD" w:rsidRPr="00FB2244" w:rsidRDefault="00DB6ADD" w:rsidP="00DB6ADD">
            <w:pPr>
              <w:spacing w:before="100" w:beforeAutospacing="1" w:after="100" w:afterAutospacing="1"/>
              <w:rPr>
                <w:b/>
                <w:bCs/>
              </w:rPr>
            </w:pPr>
            <w:r w:rsidRPr="00FB2244">
              <w:rPr>
                <w:b/>
                <w:bCs/>
              </w:rPr>
              <w:t>Total Change 2013-2014</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bottom"/>
          </w:tcPr>
          <w:p w:rsidR="00DB6ADD" w:rsidRPr="00757AF8" w:rsidRDefault="00991FF4" w:rsidP="00DB6ADD">
            <w:pPr>
              <w:spacing w:before="100" w:beforeAutospacing="1" w:after="100" w:afterAutospacing="1"/>
              <w:jc w:val="right"/>
              <w:rPr>
                <w:bCs/>
              </w:rPr>
            </w:pPr>
            <w:r w:rsidRPr="00757AF8">
              <w:rPr>
                <w:bCs/>
              </w:rPr>
              <w:t>0</w:t>
            </w:r>
          </w:p>
        </w:tc>
        <w:tc>
          <w:tcPr>
            <w:tcW w:w="1260" w:type="dxa"/>
            <w:tcBorders>
              <w:top w:val="single" w:sz="4" w:space="0" w:color="auto"/>
              <w:left w:val="single" w:sz="4" w:space="0" w:color="auto"/>
              <w:bottom w:val="single" w:sz="4" w:space="0" w:color="auto"/>
              <w:right w:val="single" w:sz="4" w:space="0" w:color="auto"/>
            </w:tcBorders>
            <w:shd w:val="clear" w:color="auto" w:fill="E6E6E6"/>
            <w:vAlign w:val="bottom"/>
          </w:tcPr>
          <w:p w:rsidR="00DB6ADD" w:rsidRPr="00757AF8" w:rsidRDefault="00991FF4" w:rsidP="00DB6ADD">
            <w:pPr>
              <w:spacing w:before="100" w:beforeAutospacing="1" w:after="100" w:afterAutospacing="1"/>
              <w:jc w:val="right"/>
              <w:rPr>
                <w:bCs/>
              </w:rPr>
            </w:pPr>
            <w:r w:rsidRPr="00757AF8">
              <w:rPr>
                <w:bCs/>
              </w:rPr>
              <w:t>0</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bottom"/>
          </w:tcPr>
          <w:p w:rsidR="00DB6ADD" w:rsidRPr="00757AF8" w:rsidRDefault="009F194D" w:rsidP="00B25755">
            <w:pPr>
              <w:spacing w:before="100" w:beforeAutospacing="1" w:after="100" w:afterAutospacing="1"/>
              <w:jc w:val="right"/>
              <w:rPr>
                <w:bCs/>
              </w:rPr>
            </w:pPr>
            <w:r w:rsidRPr="00757AF8">
              <w:rPr>
                <w:bCs/>
              </w:rPr>
              <w:t>$</w:t>
            </w:r>
            <w:r w:rsidR="00B25755">
              <w:rPr>
                <w:bCs/>
              </w:rPr>
              <w:t>5,411</w:t>
            </w:r>
          </w:p>
        </w:tc>
      </w:tr>
    </w:tbl>
    <w:p w:rsidR="0036334D" w:rsidRDefault="0036334D">
      <w:pPr>
        <w:rPr>
          <w:b/>
          <w:bCs/>
        </w:rPr>
      </w:pPr>
    </w:p>
    <w:p w:rsidR="0025122D" w:rsidRDefault="0025122D">
      <w:pPr>
        <w:rPr>
          <w:b/>
          <w:bCs/>
        </w:rPr>
      </w:pPr>
    </w:p>
    <w:p w:rsidR="00504A36" w:rsidRDefault="00FC3013" w:rsidP="00504A36">
      <w:pPr>
        <w:pStyle w:val="ListParagraph"/>
        <w:numPr>
          <w:ilvl w:val="0"/>
          <w:numId w:val="12"/>
        </w:numPr>
        <w:rPr>
          <w:b/>
        </w:rPr>
      </w:pPr>
      <w:r w:rsidRPr="00FC3013">
        <w:rPr>
          <w:b/>
          <w:bCs/>
        </w:rPr>
        <w:t xml:space="preserve">Program Description </w:t>
      </w:r>
      <w:r>
        <w:rPr>
          <w:b/>
          <w:bCs/>
        </w:rPr>
        <w:t xml:space="preserve">- </w:t>
      </w:r>
      <w:r w:rsidR="00D54ECE" w:rsidRPr="00FC3013">
        <w:rPr>
          <w:b/>
        </w:rPr>
        <w:t>Investigating and Preventing Violent Crime</w:t>
      </w:r>
    </w:p>
    <w:p w:rsidR="007B5BAE" w:rsidRDefault="007B5BAE" w:rsidP="007D0C8C"/>
    <w:p w:rsidR="00882D67" w:rsidRDefault="00847E36">
      <w:pPr>
        <w:ind w:left="720"/>
      </w:pPr>
      <w:r>
        <w:rPr>
          <w:b/>
        </w:rPr>
        <w:t>T</w:t>
      </w:r>
      <w:r w:rsidR="00FB748C" w:rsidRPr="00EE21DF">
        <w:rPr>
          <w:b/>
        </w:rPr>
        <w:t>hreat</w:t>
      </w:r>
      <w:r w:rsidR="00FC3013">
        <w:rPr>
          <w:b/>
        </w:rPr>
        <w:t xml:space="preserve">.  </w:t>
      </w:r>
      <w:r w:rsidR="00EB1B1C">
        <w:rPr>
          <w:b/>
        </w:rPr>
        <w:t xml:space="preserve"> </w:t>
      </w:r>
      <w:r w:rsidR="00CF4E84" w:rsidRPr="0036334D">
        <w:t xml:space="preserve">According to the </w:t>
      </w:r>
      <w:r w:rsidR="002E3EAB">
        <w:t>Federal</w:t>
      </w:r>
      <w:r w:rsidR="00B71E25">
        <w:t xml:space="preserve"> Bureau of Investigation’s (</w:t>
      </w:r>
      <w:r w:rsidR="00CF4E84" w:rsidRPr="0036334D">
        <w:t>FBI</w:t>
      </w:r>
      <w:r w:rsidR="00B71E25">
        <w:t>)</w:t>
      </w:r>
      <w:r w:rsidR="00CF4E84" w:rsidRPr="0036334D">
        <w:t xml:space="preserve"> Uniform Crime Reports for 201</w:t>
      </w:r>
      <w:r w:rsidR="00326516">
        <w:t>1</w:t>
      </w:r>
      <w:r w:rsidR="00CF4E84" w:rsidRPr="0036334D">
        <w:t xml:space="preserve">, there were </w:t>
      </w:r>
      <w:r w:rsidR="00326516">
        <w:t xml:space="preserve">122,300 </w:t>
      </w:r>
      <w:r w:rsidR="00CF4E84" w:rsidRPr="0036334D">
        <w:t xml:space="preserve">reported robberies with a firearm, </w:t>
      </w:r>
      <w:r w:rsidR="00326516">
        <w:t xml:space="preserve">136,371 </w:t>
      </w:r>
      <w:r w:rsidR="00CF4E84" w:rsidRPr="0036334D">
        <w:t xml:space="preserve">Aggravated Assaults with a firearm, and </w:t>
      </w:r>
      <w:r w:rsidR="00326516">
        <w:t xml:space="preserve">8,583 </w:t>
      </w:r>
      <w:r w:rsidR="00CF4E84" w:rsidRPr="0036334D">
        <w:t xml:space="preserve">reported homicides with a firearm.  </w:t>
      </w:r>
      <w:r w:rsidR="00B71E25">
        <w:t xml:space="preserve">Seventy </w:t>
      </w:r>
      <w:r w:rsidR="00326516">
        <w:t>five</w:t>
      </w:r>
      <w:r w:rsidR="00CF4E84" w:rsidRPr="0036334D">
        <w:t xml:space="preserve"> people were murdered with fire and </w:t>
      </w:r>
      <w:r w:rsidR="00326516">
        <w:t>12</w:t>
      </w:r>
      <w:r w:rsidR="00CF4E84" w:rsidRPr="0036334D">
        <w:t xml:space="preserve"> with explosives.  Information collected regarding </w:t>
      </w:r>
      <w:r w:rsidR="006F2B39">
        <w:t xml:space="preserve">the </w:t>
      </w:r>
      <w:r w:rsidR="00CF4E84" w:rsidRPr="0036334D">
        <w:t xml:space="preserve">type of weapon showed that firearms were used in </w:t>
      </w:r>
      <w:r w:rsidR="00326516">
        <w:t>67.7</w:t>
      </w:r>
      <w:r w:rsidR="004958D3">
        <w:t xml:space="preserve"> </w:t>
      </w:r>
      <w:r w:rsidR="00CF4E84" w:rsidRPr="0036334D">
        <w:t xml:space="preserve">percent of the Nation’s murders, </w:t>
      </w:r>
      <w:r w:rsidR="00326516">
        <w:t xml:space="preserve">41.3 </w:t>
      </w:r>
      <w:r w:rsidR="00CF4E84" w:rsidRPr="0036334D">
        <w:t xml:space="preserve">percent of robberies, and </w:t>
      </w:r>
      <w:r w:rsidR="00326516">
        <w:t xml:space="preserve">21.2 </w:t>
      </w:r>
      <w:r w:rsidR="00CF4E84" w:rsidRPr="0036334D">
        <w:t xml:space="preserve">percent of </w:t>
      </w:r>
      <w:r w:rsidR="006F2B39">
        <w:t xml:space="preserve">the </w:t>
      </w:r>
      <w:r w:rsidR="00CF4E84" w:rsidRPr="0036334D">
        <w:t xml:space="preserve">aggravated assaults.  </w:t>
      </w:r>
      <w:r w:rsidR="00CF4E84">
        <w:t>The prevalent use of firearms in violent crime is consistent and cannot be ignored.</w:t>
      </w:r>
    </w:p>
    <w:p w:rsidR="00B41DD2" w:rsidRDefault="00B41DD2" w:rsidP="0013177A">
      <w:pPr>
        <w:rPr>
          <w:b/>
        </w:rPr>
      </w:pPr>
    </w:p>
    <w:p w:rsidR="00B41DD2" w:rsidRDefault="00621813">
      <w:pPr>
        <w:ind w:left="720"/>
      </w:pPr>
      <w:r>
        <w:rPr>
          <w:b/>
        </w:rPr>
        <w:t>Response.</w:t>
      </w:r>
      <w:r w:rsidR="00847E36">
        <w:t xml:space="preserve">  </w:t>
      </w:r>
      <w:r w:rsidR="00CF4E84">
        <w:t>A</w:t>
      </w:r>
      <w:r w:rsidR="00CF4E84" w:rsidRPr="00A16EBA">
        <w:t xml:space="preserve">s an integral part of the law enforcement community, ATF is dedicated to the reduction of violent crime.  </w:t>
      </w:r>
      <w:r w:rsidR="0019153C">
        <w:t xml:space="preserve">Under the intelligence-led Frontline business model, </w:t>
      </w:r>
      <w:r w:rsidR="007B5BAE">
        <w:t>ATF’s programs and initiatives</w:t>
      </w:r>
      <w:r w:rsidR="003D7F00">
        <w:t xml:space="preserve"> focus on </w:t>
      </w:r>
      <w:r w:rsidR="00CF4E84">
        <w:t>the investigation</w:t>
      </w:r>
      <w:r w:rsidR="00F536AA">
        <w:t xml:space="preserve"> and </w:t>
      </w:r>
      <w:r w:rsidR="007B5BAE">
        <w:t>prevent</w:t>
      </w:r>
      <w:r w:rsidR="003D7F00">
        <w:t>ion of</w:t>
      </w:r>
      <w:r w:rsidR="007B5BAE">
        <w:t xml:space="preserve"> violent crime</w:t>
      </w:r>
      <w:r w:rsidR="006F2B39">
        <w:t>.  The core of Frontline is Assessment, Investigative/Inspection Accountability, and Measurement – AIM</w:t>
      </w:r>
      <w:r w:rsidR="00EB1B1C">
        <w:t xml:space="preserve">.  </w:t>
      </w:r>
      <w:r w:rsidR="0036334D">
        <w:t>Targeted, focused investigations and inspections allow field offices to prioritize their enforcement efforts across the nation in accordance with establ</w:t>
      </w:r>
      <w:r w:rsidR="006F2B39">
        <w:t xml:space="preserve">ished strategic goals and plans.  </w:t>
      </w:r>
    </w:p>
    <w:p w:rsidR="00D85214" w:rsidRDefault="00D85214" w:rsidP="00847E36">
      <w:pPr>
        <w:ind w:left="1440"/>
        <w:rPr>
          <w:b/>
          <w:i/>
        </w:rPr>
      </w:pPr>
    </w:p>
    <w:p w:rsidR="005917D2" w:rsidRDefault="00375BF5" w:rsidP="00847E36">
      <w:pPr>
        <w:ind w:left="1440"/>
      </w:pPr>
      <w:r w:rsidRPr="00375BF5">
        <w:rPr>
          <w:b/>
          <w:i/>
        </w:rPr>
        <w:t>Assessment</w:t>
      </w:r>
      <w:r w:rsidR="00847E36">
        <w:rPr>
          <w:b/>
          <w:i/>
        </w:rPr>
        <w:t xml:space="preserve">.  </w:t>
      </w:r>
      <w:r w:rsidR="007B5BAE">
        <w:t xml:space="preserve">Each field </w:t>
      </w:r>
      <w:r w:rsidR="00B71E25">
        <w:t>SAC</w:t>
      </w:r>
      <w:r w:rsidR="005D6F8D">
        <w:t xml:space="preserve"> </w:t>
      </w:r>
      <w:r w:rsidR="007B5BAE">
        <w:t xml:space="preserve">plans </w:t>
      </w:r>
      <w:r w:rsidR="00825D6B">
        <w:t>his/her</w:t>
      </w:r>
      <w:r w:rsidR="00F552AE">
        <w:t xml:space="preserve"> field</w:t>
      </w:r>
      <w:r w:rsidR="00825D6B">
        <w:t xml:space="preserve"> </w:t>
      </w:r>
      <w:r w:rsidR="00F552AE">
        <w:t xml:space="preserve">divisions </w:t>
      </w:r>
      <w:r w:rsidR="007B5BAE">
        <w:t xml:space="preserve">investigative and industry operations activities based on </w:t>
      </w:r>
      <w:r w:rsidR="00CC7582">
        <w:t xml:space="preserve">a </w:t>
      </w:r>
      <w:r w:rsidR="00BC64B9">
        <w:t xml:space="preserve">violent crime </w:t>
      </w:r>
      <w:r w:rsidR="00CC7582">
        <w:t>assessment</w:t>
      </w:r>
      <w:r w:rsidR="00825D6B">
        <w:t>.  The</w:t>
      </w:r>
      <w:r w:rsidR="00D36BC8">
        <w:t>se field commander</w:t>
      </w:r>
      <w:r w:rsidR="00825D6B">
        <w:t xml:space="preserve"> assessments </w:t>
      </w:r>
      <w:r w:rsidR="00591A15">
        <w:t>use</w:t>
      </w:r>
      <w:r w:rsidR="00CC7582">
        <w:t xml:space="preserve"> data and intelligence </w:t>
      </w:r>
      <w:r w:rsidR="00591A15">
        <w:t>t</w:t>
      </w:r>
      <w:r w:rsidR="00CC7582">
        <w:t xml:space="preserve">o identify violent crime </w:t>
      </w:r>
      <w:r w:rsidR="00B56F00">
        <w:t>threat</w:t>
      </w:r>
      <w:r w:rsidR="005D6F8D">
        <w:t>s</w:t>
      </w:r>
      <w:r w:rsidR="00825D6B">
        <w:t xml:space="preserve"> within a division’s area of responsibility</w:t>
      </w:r>
      <w:r w:rsidR="00CC7582">
        <w:t xml:space="preserve">.  </w:t>
      </w:r>
      <w:r w:rsidR="00825D6B">
        <w:t xml:space="preserve">This information includes </w:t>
      </w:r>
      <w:r w:rsidR="00CC7582">
        <w:t>emerg</w:t>
      </w:r>
      <w:r w:rsidR="00591A15">
        <w:t>ing</w:t>
      </w:r>
      <w:r w:rsidR="00CC7582">
        <w:t xml:space="preserve"> criminal trends, significant criminal activity, issue</w:t>
      </w:r>
      <w:r w:rsidR="00591A15">
        <w:t>s</w:t>
      </w:r>
      <w:r w:rsidR="00CC7582">
        <w:t xml:space="preserve"> faced by </w:t>
      </w:r>
      <w:r w:rsidR="00591A15">
        <w:t xml:space="preserve">local </w:t>
      </w:r>
      <w:r w:rsidR="00CC7582">
        <w:t xml:space="preserve">industry members, the proximity and priorities of </w:t>
      </w:r>
      <w:r w:rsidR="002E3EAB">
        <w:t>Federal</w:t>
      </w:r>
      <w:r w:rsidR="00911162">
        <w:t xml:space="preserve">, </w:t>
      </w:r>
      <w:r w:rsidR="00B83B8F">
        <w:t>State</w:t>
      </w:r>
      <w:r w:rsidR="00911162">
        <w:t xml:space="preserve">, local and other </w:t>
      </w:r>
      <w:r w:rsidR="00CC7582">
        <w:t>external partners</w:t>
      </w:r>
      <w:r w:rsidR="006F2B39">
        <w:t>.  It also assesses</w:t>
      </w:r>
      <w:r w:rsidR="00CC7582">
        <w:t xml:space="preserve"> available </w:t>
      </w:r>
      <w:r w:rsidR="00591A15">
        <w:t xml:space="preserve">ATF </w:t>
      </w:r>
      <w:r w:rsidR="00CC7582">
        <w:t>resources</w:t>
      </w:r>
      <w:r w:rsidR="00B56F00">
        <w:t xml:space="preserve">, </w:t>
      </w:r>
      <w:r w:rsidR="00814D07">
        <w:t>as well as</w:t>
      </w:r>
      <w:r>
        <w:t>,</w:t>
      </w:r>
      <w:r w:rsidR="00814D07">
        <w:t xml:space="preserve"> </w:t>
      </w:r>
      <w:r w:rsidR="002743F3">
        <w:t xml:space="preserve">unique </w:t>
      </w:r>
      <w:r w:rsidR="00CC7582">
        <w:t xml:space="preserve">data and intelligence developed </w:t>
      </w:r>
      <w:r w:rsidR="003C79A4">
        <w:t>from A</w:t>
      </w:r>
      <w:r w:rsidR="00CC7582">
        <w:t xml:space="preserve">TF’s case management system, </w:t>
      </w:r>
      <w:r w:rsidR="003C79A4">
        <w:t>ATF’s National Tracing System, the National Integrated Ballistic I</w:t>
      </w:r>
      <w:r w:rsidR="00B71E25">
        <w:t>nformation</w:t>
      </w:r>
      <w:r w:rsidR="003C79A4">
        <w:t xml:space="preserve"> Network</w:t>
      </w:r>
      <w:r w:rsidR="00591A15">
        <w:t xml:space="preserve"> (NIBIN)</w:t>
      </w:r>
      <w:r w:rsidR="003C79A4">
        <w:t xml:space="preserve">, </w:t>
      </w:r>
      <w:r w:rsidR="00591A15">
        <w:t xml:space="preserve">the Bomb and Arson Tracking System (BATS), </w:t>
      </w:r>
      <w:r w:rsidR="003C79A4">
        <w:t xml:space="preserve">and other intelligence </w:t>
      </w:r>
      <w:r w:rsidR="007B4B0D">
        <w:t>and crime</w:t>
      </w:r>
      <w:r w:rsidR="00811CB6">
        <w:t xml:space="preserve">–related data </w:t>
      </w:r>
      <w:r w:rsidR="003C79A4">
        <w:t xml:space="preserve">available through </w:t>
      </w:r>
      <w:r w:rsidR="002E3EAB">
        <w:t>Federal</w:t>
      </w:r>
      <w:r w:rsidR="003C79A4">
        <w:t xml:space="preserve">, </w:t>
      </w:r>
      <w:r w:rsidR="00B83B8F">
        <w:t>State</w:t>
      </w:r>
      <w:r w:rsidR="003C79A4">
        <w:t xml:space="preserve"> and local partners.  </w:t>
      </w:r>
      <w:r w:rsidR="00811CB6">
        <w:t xml:space="preserve">All of this information </w:t>
      </w:r>
      <w:r w:rsidR="00591A15">
        <w:t>is used to i</w:t>
      </w:r>
      <w:r w:rsidR="00811CB6">
        <w:t xml:space="preserve">dentify where and how </w:t>
      </w:r>
      <w:r w:rsidR="008764E5">
        <w:t xml:space="preserve">they </w:t>
      </w:r>
      <w:r w:rsidR="003D7F00">
        <w:t>can maximize</w:t>
      </w:r>
      <w:r w:rsidR="00811CB6">
        <w:t xml:space="preserve"> </w:t>
      </w:r>
      <w:r w:rsidR="008764E5">
        <w:t>ATF’s</w:t>
      </w:r>
      <w:r w:rsidR="00811CB6">
        <w:t xml:space="preserve"> jurisdiction, authorities and expertise to have </w:t>
      </w:r>
      <w:r w:rsidR="00C42E55">
        <w:t xml:space="preserve">a decisive </w:t>
      </w:r>
      <w:r w:rsidR="00811CB6">
        <w:t xml:space="preserve">impact </w:t>
      </w:r>
      <w:r w:rsidR="00825D6B">
        <w:t xml:space="preserve">in their </w:t>
      </w:r>
      <w:r w:rsidR="008764E5">
        <w:t xml:space="preserve">areas </w:t>
      </w:r>
      <w:r w:rsidR="00825D6B">
        <w:t xml:space="preserve">of </w:t>
      </w:r>
      <w:r w:rsidR="008764E5">
        <w:t>responsib</w:t>
      </w:r>
      <w:r w:rsidR="00825D6B">
        <w:t>ility</w:t>
      </w:r>
      <w:r w:rsidR="00811CB6">
        <w:t>.</w:t>
      </w:r>
      <w:r w:rsidR="00626898">
        <w:t xml:space="preserve">  </w:t>
      </w:r>
      <w:r w:rsidR="00787B8F">
        <w:t xml:space="preserve">The Frontline model also focuses </w:t>
      </w:r>
      <w:r w:rsidR="006F2B39">
        <w:t xml:space="preserve">the </w:t>
      </w:r>
      <w:r w:rsidR="00787B8F">
        <w:t xml:space="preserve">ATF industry operations activities.  The annual Industry Operations Operating Plan is based on </w:t>
      </w:r>
      <w:r w:rsidR="008764E5">
        <w:t xml:space="preserve">National </w:t>
      </w:r>
      <w:r w:rsidR="00787B8F">
        <w:t xml:space="preserve">priorities derived from ATF’s Strategic Plan, statutory </w:t>
      </w:r>
      <w:r w:rsidR="008764E5">
        <w:t>requirements</w:t>
      </w:r>
      <w:r w:rsidR="00CF4E84">
        <w:t>,</w:t>
      </w:r>
      <w:r w:rsidR="008764E5">
        <w:t xml:space="preserve"> and field division-</w:t>
      </w:r>
      <w:r w:rsidR="00787B8F">
        <w:t xml:space="preserve">level priorities identified in the assessments.  As such, these </w:t>
      </w:r>
      <w:r w:rsidR="002F2803">
        <w:t>efforts are intelligence-driven and risk-based</w:t>
      </w:r>
      <w:r w:rsidR="00787B8F">
        <w:t xml:space="preserve"> to ensure resources are </w:t>
      </w:r>
      <w:r w:rsidR="002F2803">
        <w:t xml:space="preserve">applied </w:t>
      </w:r>
      <w:r w:rsidR="00787B8F">
        <w:t>how</w:t>
      </w:r>
      <w:r w:rsidR="00847E36">
        <w:t>,</w:t>
      </w:r>
      <w:r w:rsidR="00787B8F">
        <w:t xml:space="preserve"> and where</w:t>
      </w:r>
      <w:r w:rsidR="00847E36">
        <w:t>,</w:t>
      </w:r>
      <w:r w:rsidR="00787B8F">
        <w:t xml:space="preserve"> the</w:t>
      </w:r>
      <w:r w:rsidR="002F2803">
        <w:t xml:space="preserve">y have the greatest ability to reduce crime and safeguard the public. </w:t>
      </w:r>
      <w:r w:rsidR="00626898">
        <w:t xml:space="preserve"> </w:t>
      </w:r>
    </w:p>
    <w:p w:rsidR="00375BF5" w:rsidRDefault="00375BF5" w:rsidP="00847E36">
      <w:pPr>
        <w:ind w:left="720"/>
      </w:pPr>
    </w:p>
    <w:p w:rsidR="002B363D" w:rsidRDefault="00375BF5" w:rsidP="00847E36">
      <w:pPr>
        <w:ind w:left="1440"/>
      </w:pPr>
      <w:r w:rsidRPr="00375BF5">
        <w:rPr>
          <w:b/>
          <w:i/>
        </w:rPr>
        <w:t>Investigative/Inspection</w:t>
      </w:r>
      <w:r w:rsidR="002C75C3">
        <w:rPr>
          <w:b/>
          <w:i/>
        </w:rPr>
        <w:t xml:space="preserve"> </w:t>
      </w:r>
      <w:r w:rsidRPr="00375BF5">
        <w:rPr>
          <w:b/>
          <w:i/>
        </w:rPr>
        <w:t>Accountabilit</w:t>
      </w:r>
      <w:r w:rsidR="00847E36">
        <w:rPr>
          <w:b/>
          <w:i/>
        </w:rPr>
        <w:t xml:space="preserve">y.  </w:t>
      </w:r>
      <w:r w:rsidR="003D7F00">
        <w:t>Frontline also establishes and reinforces accountability at all levels</w:t>
      </w:r>
      <w:r w:rsidR="00B71E25">
        <w:t>, by giving a</w:t>
      </w:r>
      <w:r w:rsidR="00FB748C">
        <w:t xml:space="preserve"> SAC the necessary tools to prioritize and address the specific violent crime threats in their areas, whether the source is (or sources are) violent repeat offenders, gangs </w:t>
      </w:r>
      <w:r w:rsidR="00600B0A">
        <w:t>or</w:t>
      </w:r>
      <w:r w:rsidR="00FB748C">
        <w:t xml:space="preserve"> criminal organizations.  </w:t>
      </w:r>
      <w:r w:rsidR="00B640C6">
        <w:t>The determination to open an investigation</w:t>
      </w:r>
      <w:r w:rsidR="002743F3">
        <w:t>/inspection</w:t>
      </w:r>
      <w:r w:rsidR="00B640C6">
        <w:t xml:space="preserve"> is based </w:t>
      </w:r>
      <w:r w:rsidR="006F2B39">
        <w:t>up</w:t>
      </w:r>
      <w:r w:rsidR="00B640C6">
        <w:t xml:space="preserve">on standardized justification </w:t>
      </w:r>
      <w:r w:rsidR="002743F3">
        <w:t xml:space="preserve">statements articulating that the activity is in line with </w:t>
      </w:r>
      <w:r w:rsidR="002B0176">
        <w:t>ATFs</w:t>
      </w:r>
      <w:r w:rsidR="002743F3">
        <w:t xml:space="preserve"> priorities as </w:t>
      </w:r>
      <w:r w:rsidR="002B0176">
        <w:t xml:space="preserve">identified </w:t>
      </w:r>
      <w:r w:rsidR="002743F3">
        <w:t>in the assessments</w:t>
      </w:r>
      <w:r w:rsidR="00B640C6">
        <w:t xml:space="preserve">. </w:t>
      </w:r>
      <w:r w:rsidR="002743F3">
        <w:t xml:space="preserve"> </w:t>
      </w:r>
      <w:r w:rsidR="00B640C6">
        <w:t>Case agents and supervisors conduct continuous reviews throughout the life of an investigation to evaluate anticipated outcomes and impact</w:t>
      </w:r>
      <w:r w:rsidR="002B0176">
        <w:t>s</w:t>
      </w:r>
      <w:r w:rsidR="00B640C6">
        <w:t xml:space="preserve"> </w:t>
      </w:r>
      <w:r w:rsidR="002B0176">
        <w:t>when weighted against risk and resource utilization</w:t>
      </w:r>
      <w:r w:rsidR="00B640C6">
        <w:t>.</w:t>
      </w:r>
    </w:p>
    <w:p w:rsidR="002B363D" w:rsidRDefault="002B363D" w:rsidP="00847E36">
      <w:pPr>
        <w:ind w:left="720"/>
      </w:pPr>
    </w:p>
    <w:p w:rsidR="002B363D" w:rsidRPr="00C8720F" w:rsidRDefault="002B363D" w:rsidP="00847E36">
      <w:pPr>
        <w:ind w:left="1440"/>
      </w:pPr>
      <w:r w:rsidRPr="00C8720F">
        <w:rPr>
          <w:b/>
          <w:i/>
        </w:rPr>
        <w:t>Measurement</w:t>
      </w:r>
      <w:r w:rsidR="00847E36" w:rsidRPr="00C8720F">
        <w:t xml:space="preserve">.  </w:t>
      </w:r>
      <w:r w:rsidR="00C42E55" w:rsidRPr="00C8720F">
        <w:t>The</w:t>
      </w:r>
      <w:r w:rsidR="00B3758C">
        <w:t xml:space="preserve"> Frontline Performance Review process is a multi-level mechanism used to evaluate actual performance against divisional violent crime assessments and ATF’s Strategic Management Performance Index.  Throughout the course of investigations and inspections, first level supervisors monitor progress and performance to ensure resources are being applied effectively and efficiently.  At the conclusion of each investigation and inspection, case agents and investigators develop impact statements that include a self assessment of the goals that were established and review them with their supervisor.  Additionally, staff at all levels engage in periodic Performance Review sessions with their peer supervisors, assistant special agents in charge (ASACs) and SACs, who then collaborate to evaluate field-wide performance and provide feedback to the field.  </w:t>
      </w:r>
    </w:p>
    <w:p w:rsidR="008B66AB" w:rsidRDefault="00CB1D71" w:rsidP="00124E07">
      <w:pPr>
        <w:rPr>
          <w:b/>
          <w:i/>
          <w:sz w:val="28"/>
          <w:szCs w:val="28"/>
          <w:u w:val="single"/>
        </w:rPr>
      </w:pPr>
      <w:r w:rsidRPr="00CB1D71">
        <w:rPr>
          <w:color w:val="E36C0A" w:themeColor="accent6" w:themeShade="BF"/>
        </w:rPr>
        <w:t xml:space="preserve">  </w:t>
      </w:r>
    </w:p>
    <w:p w:rsidR="0014314F" w:rsidRDefault="0014314F" w:rsidP="00FC3013">
      <w:pPr>
        <w:ind w:left="720"/>
        <w:rPr>
          <w:b/>
          <w:i/>
          <w:sz w:val="28"/>
          <w:szCs w:val="28"/>
          <w:u w:val="single"/>
        </w:rPr>
      </w:pPr>
    </w:p>
    <w:p w:rsidR="0014314F" w:rsidRDefault="0014314F" w:rsidP="00FC3013">
      <w:pPr>
        <w:ind w:left="720"/>
        <w:rPr>
          <w:b/>
          <w:i/>
          <w:sz w:val="28"/>
          <w:szCs w:val="28"/>
          <w:u w:val="single"/>
        </w:rPr>
      </w:pPr>
    </w:p>
    <w:p w:rsidR="0014314F" w:rsidRDefault="0014314F" w:rsidP="00FC3013">
      <w:pPr>
        <w:ind w:left="720"/>
        <w:rPr>
          <w:b/>
          <w:i/>
          <w:sz w:val="28"/>
          <w:szCs w:val="28"/>
          <w:u w:val="single"/>
        </w:rPr>
      </w:pPr>
    </w:p>
    <w:p w:rsidR="00EE21DF" w:rsidRPr="007D2C4E" w:rsidRDefault="00B34E97" w:rsidP="00FC3013">
      <w:pPr>
        <w:ind w:left="720"/>
        <w:rPr>
          <w:b/>
          <w:i/>
          <w:sz w:val="28"/>
          <w:szCs w:val="28"/>
          <w:u w:val="single"/>
        </w:rPr>
      </w:pPr>
      <w:r>
        <w:rPr>
          <w:b/>
          <w:i/>
          <w:sz w:val="28"/>
          <w:szCs w:val="28"/>
          <w:u w:val="single"/>
        </w:rPr>
        <w:lastRenderedPageBreak/>
        <w:t>Core Activities</w:t>
      </w:r>
    </w:p>
    <w:p w:rsidR="00EE21DF" w:rsidRPr="007D2C4E" w:rsidRDefault="00EE21DF" w:rsidP="005917D2">
      <w:pPr>
        <w:rPr>
          <w:b/>
          <w:i/>
          <w:sz w:val="28"/>
          <w:szCs w:val="28"/>
        </w:rPr>
      </w:pPr>
    </w:p>
    <w:p w:rsidR="00504A36" w:rsidRDefault="002546F2">
      <w:pPr>
        <w:pStyle w:val="ListParagraph"/>
        <w:numPr>
          <w:ilvl w:val="0"/>
          <w:numId w:val="10"/>
        </w:numPr>
        <w:rPr>
          <w:b/>
          <w:i/>
        </w:rPr>
      </w:pPr>
      <w:r>
        <w:rPr>
          <w:b/>
          <w:i/>
          <w:sz w:val="28"/>
          <w:szCs w:val="28"/>
        </w:rPr>
        <w:t>Illegal</w:t>
      </w:r>
      <w:r w:rsidRPr="00B34E97">
        <w:rPr>
          <w:b/>
          <w:i/>
          <w:sz w:val="28"/>
          <w:szCs w:val="28"/>
        </w:rPr>
        <w:t xml:space="preserve"> Firearms</w:t>
      </w:r>
      <w:r w:rsidR="00D54ECE" w:rsidRPr="00B34E97">
        <w:rPr>
          <w:b/>
          <w:i/>
          <w:sz w:val="28"/>
          <w:szCs w:val="28"/>
        </w:rPr>
        <w:t xml:space="preserve"> Traffickin</w:t>
      </w:r>
      <w:r>
        <w:rPr>
          <w:b/>
          <w:i/>
          <w:sz w:val="28"/>
          <w:szCs w:val="28"/>
        </w:rPr>
        <w:t>g</w:t>
      </w:r>
      <w:r w:rsidR="00D54ECE" w:rsidRPr="00B34E97">
        <w:rPr>
          <w:b/>
          <w:i/>
        </w:rPr>
        <w:t xml:space="preserve"> </w:t>
      </w:r>
    </w:p>
    <w:p w:rsidR="00FB748C" w:rsidRDefault="00FB748C" w:rsidP="005917D2"/>
    <w:p w:rsidR="00EB62E5" w:rsidRDefault="00557E63" w:rsidP="00EB62E5">
      <w:pPr>
        <w:ind w:left="1080"/>
        <w:rPr>
          <w:i/>
          <w:szCs w:val="22"/>
        </w:rPr>
      </w:pPr>
      <w:r>
        <w:rPr>
          <w:b/>
        </w:rPr>
        <w:t xml:space="preserve">Threat.  </w:t>
      </w:r>
      <w:r w:rsidR="002105C4" w:rsidRPr="00F53B08">
        <w:t xml:space="preserve">Illegally trafficked firearms </w:t>
      </w:r>
      <w:r w:rsidR="00F53B08">
        <w:t xml:space="preserve">are harmful to </w:t>
      </w:r>
      <w:r w:rsidR="00DA5F46">
        <w:t>communities</w:t>
      </w:r>
      <w:r w:rsidR="00F53B08">
        <w:t xml:space="preserve"> and </w:t>
      </w:r>
      <w:r w:rsidR="002105C4" w:rsidRPr="00F53B08">
        <w:t xml:space="preserve">have a negative impact on </w:t>
      </w:r>
      <w:r w:rsidR="00F53B08" w:rsidRPr="00F53B08">
        <w:t>interstate and international commerce</w:t>
      </w:r>
      <w:r w:rsidR="00F53B08">
        <w:t>.</w:t>
      </w:r>
      <w:r w:rsidR="00933076">
        <w:t xml:space="preserve">  </w:t>
      </w:r>
      <w:r w:rsidR="00EB62E5">
        <w:t xml:space="preserve">Illegal firearms </w:t>
      </w:r>
      <w:r w:rsidR="00EB62E5" w:rsidRPr="00884CE7">
        <w:t>are the “tools of the trade” that drug traffickers</w:t>
      </w:r>
      <w:r w:rsidR="00722120">
        <w:t>,</w:t>
      </w:r>
      <w:r w:rsidR="00EB62E5" w:rsidRPr="00884CE7">
        <w:t xml:space="preserve"> </w:t>
      </w:r>
      <w:r w:rsidR="00722120" w:rsidRPr="00046D81">
        <w:t>gang members</w:t>
      </w:r>
      <w:r w:rsidR="00722120">
        <w:t>,</w:t>
      </w:r>
      <w:r w:rsidR="00722120" w:rsidRPr="00046D81">
        <w:t xml:space="preserve"> and</w:t>
      </w:r>
      <w:r w:rsidR="00722120">
        <w:t xml:space="preserve"> other</w:t>
      </w:r>
      <w:r w:rsidR="00722120" w:rsidRPr="00046D81">
        <w:t xml:space="preserve"> violent criminals </w:t>
      </w:r>
      <w:r w:rsidR="00EB62E5" w:rsidRPr="00884CE7">
        <w:t xml:space="preserve">use </w:t>
      </w:r>
      <w:r w:rsidR="00590705">
        <w:t xml:space="preserve">to commit violent crimes </w:t>
      </w:r>
      <w:r w:rsidR="00EB62E5" w:rsidRPr="00884CE7">
        <w:t>against each other as well as against law enforcement officials and innocent civilians.</w:t>
      </w:r>
    </w:p>
    <w:p w:rsidR="008A5A8A" w:rsidRDefault="000D353A">
      <w:pPr>
        <w:pStyle w:val="BodyText"/>
        <w:spacing w:before="100" w:beforeAutospacing="1" w:after="100" w:afterAutospacing="1"/>
        <w:ind w:left="1080"/>
      </w:pPr>
      <w:r>
        <w:rPr>
          <w:b/>
        </w:rPr>
        <w:t>Response</w:t>
      </w:r>
      <w:r w:rsidR="00EE21DF" w:rsidRPr="00EE21DF">
        <w:rPr>
          <w:b/>
        </w:rPr>
        <w:t>.</w:t>
      </w:r>
      <w:r w:rsidR="004D0552">
        <w:rPr>
          <w:b/>
        </w:rPr>
        <w:t xml:space="preserve">  </w:t>
      </w:r>
      <w:r w:rsidR="00933076" w:rsidRPr="00A16EBA">
        <w:t>The goal of ATF’s illegal firearms trafficking enforcement efforts is to reduce violent crime by stemming the flow of fi</w:t>
      </w:r>
      <w:r w:rsidR="00590705">
        <w:t>rearms to violent criminals.  ATF identifies</w:t>
      </w:r>
      <w:r w:rsidR="00933076" w:rsidRPr="00A16EBA">
        <w:t>, investigate</w:t>
      </w:r>
      <w:r w:rsidR="00590705">
        <w:t>s</w:t>
      </w:r>
      <w:r w:rsidR="00933076" w:rsidRPr="00A16EBA">
        <w:t>, and arrest</w:t>
      </w:r>
      <w:r w:rsidR="00590705">
        <w:t>s</w:t>
      </w:r>
      <w:r w:rsidR="00933076" w:rsidRPr="00A16EBA">
        <w:t xml:space="preserve"> individuals and organizations </w:t>
      </w:r>
      <w:r w:rsidR="00933076">
        <w:t>that</w:t>
      </w:r>
      <w:r w:rsidR="00933076" w:rsidRPr="00A16EBA">
        <w:t xml:space="preserve"> illegally supply firearms to prohibited individuals.  </w:t>
      </w:r>
      <w:r w:rsidR="00590705">
        <w:t>Furthermore, ATF</w:t>
      </w:r>
      <w:r w:rsidR="00933076" w:rsidRPr="00A16EBA">
        <w:t xml:space="preserve"> deter</w:t>
      </w:r>
      <w:r w:rsidR="00590705">
        <w:t>s</w:t>
      </w:r>
      <w:r w:rsidR="00933076" w:rsidRPr="00A16EBA">
        <w:t xml:space="preserve"> the diversion of firearms from lawful commerce into the illegal market with enforcement strategies and technology.</w:t>
      </w:r>
    </w:p>
    <w:p w:rsidR="005B06FD" w:rsidRDefault="005B06FD">
      <w:pPr>
        <w:pStyle w:val="BodyText"/>
        <w:spacing w:before="100" w:beforeAutospacing="1" w:after="100" w:afterAutospacing="1"/>
        <w:ind w:left="1080"/>
      </w:pPr>
      <w:r>
        <w:t>ATF’s active interdiction of firearms trafficking nationwide between FY 2005 and FY 2012 is shown below:</w:t>
      </w:r>
    </w:p>
    <w:p w:rsidR="005B06FD" w:rsidRDefault="005B06FD" w:rsidP="00F84ED4">
      <w:pPr>
        <w:pStyle w:val="BodyText"/>
        <w:numPr>
          <w:ilvl w:val="0"/>
          <w:numId w:val="40"/>
        </w:numPr>
        <w:spacing w:before="100" w:beforeAutospacing="1" w:after="100" w:afterAutospacing="1"/>
        <w:ind w:left="1440"/>
      </w:pPr>
      <w:r>
        <w:t>13,188 cases involving 27,284 defendants suspected of trafficking over 406,000 firearms have been recommended for prosecution.</w:t>
      </w:r>
    </w:p>
    <w:p w:rsidR="005B06FD" w:rsidRDefault="005B06FD" w:rsidP="00F84ED4">
      <w:pPr>
        <w:pStyle w:val="BodyText"/>
        <w:numPr>
          <w:ilvl w:val="0"/>
          <w:numId w:val="40"/>
        </w:numPr>
        <w:spacing w:before="100" w:beforeAutospacing="1" w:after="100" w:afterAutospacing="1"/>
        <w:ind w:left="1440"/>
      </w:pPr>
      <w:r>
        <w:t>As of September 30, 2012, 19,079 defendants have been arrested, 18,971 defendants have been indicted, 17,610 defendants have been convicted and 16,869 defendants have been sentenced to prison.</w:t>
      </w:r>
    </w:p>
    <w:p w:rsidR="008A5A8A" w:rsidRDefault="00933076">
      <w:pPr>
        <w:ind w:left="1080"/>
      </w:pPr>
      <w:r w:rsidRPr="00046D81">
        <w:t xml:space="preserve">ATF defines firearms trafficking as the illegal diversion of firearms out of lawful commerce and </w:t>
      </w:r>
      <w:r>
        <w:t>i</w:t>
      </w:r>
      <w:r w:rsidRPr="00046D81">
        <w:t xml:space="preserve">nto the </w:t>
      </w:r>
      <w:r w:rsidR="002B0176">
        <w:t>illegal</w:t>
      </w:r>
      <w:r>
        <w:t xml:space="preserve"> market</w:t>
      </w:r>
      <w:r w:rsidRPr="00046D81">
        <w:t xml:space="preserve"> for profit, prestige</w:t>
      </w:r>
      <w:r w:rsidR="00722120">
        <w:t>,</w:t>
      </w:r>
      <w:r w:rsidRPr="00046D81">
        <w:t xml:space="preserve"> and power.  Guns that have been intentionally diverted onto the street by firearms traffickers are almost always used in furtherance of violent criminal activity.  </w:t>
      </w:r>
      <w:r w:rsidR="0062527B" w:rsidRPr="00046D81">
        <w:t>Firearms’ trafficking is</w:t>
      </w:r>
      <w:r w:rsidRPr="00046D81">
        <w:t xml:space="preserve"> </w:t>
      </w:r>
      <w:r w:rsidR="00B71E25">
        <w:t>a means for</w:t>
      </w:r>
      <w:r w:rsidRPr="00046D81">
        <w:t xml:space="preserve"> drug </w:t>
      </w:r>
      <w:r w:rsidR="007C5127" w:rsidRPr="00046D81">
        <w:t>dealers</w:t>
      </w:r>
      <w:r w:rsidR="00722120">
        <w:t>,</w:t>
      </w:r>
      <w:r w:rsidRPr="00046D81">
        <w:t xml:space="preserve"> gang members</w:t>
      </w:r>
      <w:r w:rsidR="00722120">
        <w:t>,</w:t>
      </w:r>
      <w:r w:rsidRPr="00046D81">
        <w:t xml:space="preserve"> and violent criminals get the guns they need to commit violent crimes.  </w:t>
      </w:r>
    </w:p>
    <w:p w:rsidR="008A5A8A" w:rsidRDefault="008A5A8A">
      <w:pPr>
        <w:ind w:left="1080"/>
      </w:pPr>
    </w:p>
    <w:p w:rsidR="008A5A8A" w:rsidRDefault="0062527B">
      <w:pPr>
        <w:ind w:left="1080"/>
      </w:pPr>
      <w:r w:rsidRPr="00046D81">
        <w:t>Firearms’ trafficking is</w:t>
      </w:r>
      <w:r w:rsidR="00933076" w:rsidRPr="00046D81">
        <w:t xml:space="preserve"> profitable because of the disparity in firearm</w:t>
      </w:r>
      <w:r w:rsidR="00933076">
        <w:t>s</w:t>
      </w:r>
      <w:r w:rsidR="00933076" w:rsidRPr="00046D81">
        <w:t xml:space="preserve"> laws in different jurisdictions.  In cities like Washington,</w:t>
      </w:r>
      <w:r w:rsidR="00933076">
        <w:t xml:space="preserve"> DC,</w:t>
      </w:r>
      <w:r w:rsidR="00933076" w:rsidRPr="00046D81">
        <w:t xml:space="preserve"> Chicago</w:t>
      </w:r>
      <w:r w:rsidR="00933076">
        <w:t>,</w:t>
      </w:r>
      <w:r w:rsidR="00933076" w:rsidRPr="00046D81">
        <w:t xml:space="preserve"> or New York, local statutes heavily restrict handgun acquisition and possession, but violent crime fuels the demand for easily concealable weapons.  For a firearms trafficker who is willing to break the law and exploit the criminal demand for firepower, these represent “market areas.”  </w:t>
      </w:r>
      <w:r w:rsidR="00640171" w:rsidRPr="00046D81">
        <w:t xml:space="preserve">An inexpensive </w:t>
      </w:r>
      <w:r w:rsidR="00640171">
        <w:t xml:space="preserve">firearm </w:t>
      </w:r>
      <w:r w:rsidR="00640171" w:rsidRPr="00046D81">
        <w:t xml:space="preserve">purchased </w:t>
      </w:r>
      <w:r w:rsidR="00640171">
        <w:t xml:space="preserve">in another East Coast jurisdiction </w:t>
      </w:r>
      <w:r w:rsidR="00640171" w:rsidRPr="00046D81">
        <w:t xml:space="preserve">can be sold for two or three times its actual retail value on the streets of New York City or Washington, DC.  Likewise, </w:t>
      </w:r>
      <w:r w:rsidR="00640171">
        <w:t xml:space="preserve">firearms purchased </w:t>
      </w:r>
      <w:r w:rsidR="00640171" w:rsidRPr="00046D81">
        <w:t xml:space="preserve">for a few hundred dollars in Texas or Arizona may command a $1,000 premium in Mexico.  </w:t>
      </w:r>
      <w:r w:rsidR="00933076" w:rsidRPr="00046D81">
        <w:t>Aggressive investigation and prosecution of firearms traffickers reduces violence levels by decreasing the availability of illegally diverted firearms</w:t>
      </w:r>
      <w:r w:rsidR="00640171">
        <w:t>.</w:t>
      </w:r>
    </w:p>
    <w:p w:rsidR="00640171" w:rsidRDefault="00640171">
      <w:pPr>
        <w:ind w:left="1080"/>
      </w:pPr>
    </w:p>
    <w:p w:rsidR="008A5A8A" w:rsidRDefault="00933076">
      <w:pPr>
        <w:ind w:left="1080"/>
      </w:pPr>
      <w:r w:rsidRPr="00046D81">
        <w:lastRenderedPageBreak/>
        <w:t xml:space="preserve">Most firearms trafficking schemes fall into a few broad categories; “lying and buying” (the use of falsified </w:t>
      </w:r>
      <w:r>
        <w:t>identification</w:t>
      </w:r>
      <w:r w:rsidRPr="00046D81">
        <w:t xml:space="preserve"> to obtain firearms) and “straw purchasing” (the use of a network of surrogates to illegally pose as the buyers of firearms) are among the most commonly utilized schemes.  Traffickers also exploit gun shows and flea markets, where the availability of firearms combine</w:t>
      </w:r>
      <w:r w:rsidR="002B0176">
        <w:t>d</w:t>
      </w:r>
      <w:r w:rsidRPr="00046D81">
        <w:t xml:space="preserve"> with the overwhelming</w:t>
      </w:r>
      <w:r w:rsidR="002B0176">
        <w:t xml:space="preserve"> volume of legal commerce makes</w:t>
      </w:r>
      <w:r w:rsidRPr="00046D81">
        <w:t xml:space="preserve"> illegal trafficking activity harder to detect. </w:t>
      </w:r>
      <w:r>
        <w:t xml:space="preserve"> </w:t>
      </w:r>
      <w:r w:rsidRPr="00046D81">
        <w:t xml:space="preserve">Corrupt gun dealers or corrupt employees at gun shops also act as traffickers, some by not recording firearms they </w:t>
      </w:r>
      <w:r w:rsidR="00D94213">
        <w:t>intend to traffic while others add</w:t>
      </w:r>
      <w:r w:rsidRPr="00046D81">
        <w:t xml:space="preserve"> guns</w:t>
      </w:r>
      <w:r w:rsidR="00D94213">
        <w:t xml:space="preserve"> to be trafficked</w:t>
      </w:r>
      <w:r w:rsidRPr="00046D81">
        <w:t xml:space="preserve"> onto paperwork associated with legitimate sales.</w:t>
      </w:r>
    </w:p>
    <w:p w:rsidR="008A5A8A" w:rsidRDefault="00933076">
      <w:pPr>
        <w:pStyle w:val="BodyText"/>
        <w:spacing w:before="100" w:beforeAutospacing="1" w:after="100" w:afterAutospacing="1"/>
        <w:ind w:left="1080"/>
      </w:pPr>
      <w:r w:rsidRPr="00A16EBA">
        <w:t>Internationally, ATF works with other agencies to prevent firearms from reaching the hands of drug traffickers, organized crime members, and terrorist organizations.  ATF enforces provisions of the Arms Export Control Act</w:t>
      </w:r>
      <w:r w:rsidR="00B71E25">
        <w:t xml:space="preserve"> (AECA)</w:t>
      </w:r>
      <w:r w:rsidRPr="00A16EBA">
        <w:t>, has primary jurisdiction over firearms and ammunition imports, and has shared jurisdiction over firearms exports with the Department of Homeland Security</w:t>
      </w:r>
      <w:r w:rsidR="00B71E25">
        <w:t xml:space="preserve"> (DHS)</w:t>
      </w:r>
      <w:r w:rsidRPr="00A16EBA">
        <w:t xml:space="preserve"> and the Department of </w:t>
      </w:r>
      <w:r>
        <w:t>State</w:t>
      </w:r>
      <w:r w:rsidRPr="00A16EBA">
        <w:t>’s</w:t>
      </w:r>
      <w:r w:rsidR="00B71E25">
        <w:t xml:space="preserve"> </w:t>
      </w:r>
      <w:r w:rsidR="00423259">
        <w:t>(</w:t>
      </w:r>
      <w:r w:rsidR="00B71E25">
        <w:t>DOS)</w:t>
      </w:r>
      <w:r w:rsidRPr="00A16EBA">
        <w:t xml:space="preserve"> Office of Munitions Control.</w:t>
      </w:r>
    </w:p>
    <w:p w:rsidR="008A5A8A" w:rsidRDefault="003D7F00">
      <w:pPr>
        <w:ind w:left="1080"/>
      </w:pPr>
      <w:r>
        <w:t>For example, m</w:t>
      </w:r>
      <w:r w:rsidR="00B05136" w:rsidRPr="00061CF1">
        <w:t xml:space="preserve">ost of the firearms violence in Mexico is perpetrated by </w:t>
      </w:r>
      <w:r w:rsidR="00B05136">
        <w:t>cartels/</w:t>
      </w:r>
      <w:r w:rsidR="00B05136" w:rsidRPr="00061CF1">
        <w:t xml:space="preserve">transnational criminal organizations (TCOs).  These Mexican TCOs, </w:t>
      </w:r>
      <w:r w:rsidR="00D94213">
        <w:t xml:space="preserve">are </w:t>
      </w:r>
      <w:r w:rsidR="00B05136" w:rsidRPr="00061CF1">
        <w:t xml:space="preserve">among the leading gun trafficking organizations operating in the U.S., </w:t>
      </w:r>
      <w:r w:rsidR="00D94213">
        <w:t xml:space="preserve">and </w:t>
      </w:r>
      <w:r w:rsidR="00B05136" w:rsidRPr="00061CF1">
        <w:t xml:space="preserve">compete for control of </w:t>
      </w:r>
      <w:r w:rsidR="00D94213">
        <w:t xml:space="preserve">the </w:t>
      </w:r>
      <w:r w:rsidR="00B05136" w:rsidRPr="00061CF1">
        <w:t xml:space="preserve">highly lucrative drug and firearms trafficking routes into and out of the United </w:t>
      </w:r>
      <w:r w:rsidR="00B05136">
        <w:t>State</w:t>
      </w:r>
      <w:r w:rsidR="00B05136" w:rsidRPr="00061CF1">
        <w:t>s.  TCOs in Mexico enforce and maintain their narcotics operations by relying on a steady supply of firearms from a variety of l</w:t>
      </w:r>
      <w:r w:rsidR="00B05136">
        <w:t>egal</w:t>
      </w:r>
      <w:r w:rsidR="00B05136" w:rsidRPr="00061CF1">
        <w:t xml:space="preserve"> and ill</w:t>
      </w:r>
      <w:r w:rsidR="00B05136">
        <w:t>egal</w:t>
      </w:r>
      <w:r w:rsidR="00B05136" w:rsidRPr="00061CF1">
        <w:t xml:space="preserve"> sources.  A contiguous land border </w:t>
      </w:r>
      <w:r w:rsidR="00B05136">
        <w:t>and</w:t>
      </w:r>
      <w:r w:rsidR="00B05136" w:rsidRPr="00061CF1">
        <w:t xml:space="preserve"> a</w:t>
      </w:r>
      <w:r w:rsidR="00B05136">
        <w:t xml:space="preserve"> U.S. </w:t>
      </w:r>
      <w:r w:rsidR="00B05136" w:rsidRPr="00061CF1">
        <w:t>legal retail market for firearms make th</w:t>
      </w:r>
      <w:r w:rsidR="00B05136">
        <w:t xml:space="preserve">e border area </w:t>
      </w:r>
      <w:r w:rsidR="00B05136" w:rsidRPr="00061CF1">
        <w:t>an attractive source</w:t>
      </w:r>
      <w:r w:rsidR="00B05136">
        <w:t xml:space="preserve"> </w:t>
      </w:r>
      <w:r w:rsidR="00B05136" w:rsidRPr="00061CF1">
        <w:t xml:space="preserve">for Mexican </w:t>
      </w:r>
      <w:r w:rsidR="00B05136">
        <w:t>cartels to acquire weapons</w:t>
      </w:r>
      <w:r w:rsidR="00B05136" w:rsidRPr="00061CF1">
        <w:t>.  Intelligence indicates</w:t>
      </w:r>
      <w:r w:rsidR="00B05136">
        <w:t xml:space="preserve"> </w:t>
      </w:r>
      <w:r w:rsidR="00B05136" w:rsidRPr="00061CF1">
        <w:t xml:space="preserve">that the </w:t>
      </w:r>
      <w:r w:rsidR="00B05136">
        <w:t xml:space="preserve">Mexican cartels have </w:t>
      </w:r>
      <w:r w:rsidR="00B05136" w:rsidRPr="00061CF1">
        <w:t xml:space="preserve">tasked their financial, distribution, and transportation infrastructures with reaching into the U.S. to acquire firearms and ammunition.  </w:t>
      </w:r>
    </w:p>
    <w:p w:rsidR="008A5A8A" w:rsidRDefault="00B05136">
      <w:pPr>
        <w:pStyle w:val="ListParagraph"/>
        <w:ind w:left="1080"/>
        <w:rPr>
          <w:highlight w:val="lightGray"/>
        </w:rPr>
      </w:pPr>
      <w:r w:rsidRPr="00B05136">
        <w:rPr>
          <w:highlight w:val="lightGray"/>
        </w:rPr>
        <w:t xml:space="preserve"> </w:t>
      </w:r>
    </w:p>
    <w:p w:rsidR="008A5A8A" w:rsidRDefault="00F33778">
      <w:pPr>
        <w:ind w:left="1080"/>
      </w:pPr>
      <w:r>
        <w:t xml:space="preserve">ATF’s active interdiction of firearms trafficking in the Southwest Border </w:t>
      </w:r>
      <w:r w:rsidR="00B83B8F">
        <w:t>State</w:t>
      </w:r>
      <w:r w:rsidRPr="00A93EF9">
        <w:t>s</w:t>
      </w:r>
      <w:r>
        <w:t xml:space="preserve"> of Arizona, California, New Mexico, and Texas between FY </w:t>
      </w:r>
      <w:r w:rsidR="00F84ED4">
        <w:t>2005 and FY 2012</w:t>
      </w:r>
      <w:r w:rsidRPr="00C84185">
        <w:t xml:space="preserve"> is</w:t>
      </w:r>
      <w:r>
        <w:t xml:space="preserve"> shown below.</w:t>
      </w:r>
    </w:p>
    <w:p w:rsidR="00F33778" w:rsidRPr="00AE07D7" w:rsidRDefault="00F33778" w:rsidP="00953DA8">
      <w:pPr>
        <w:ind w:left="720"/>
        <w:rPr>
          <w:color w:val="FF00FF"/>
        </w:rPr>
      </w:pPr>
    </w:p>
    <w:p w:rsidR="00504A36" w:rsidRDefault="00D7575E">
      <w:pPr>
        <w:pStyle w:val="ListParagraph"/>
        <w:numPr>
          <w:ilvl w:val="0"/>
          <w:numId w:val="5"/>
        </w:numPr>
        <w:ind w:left="1440"/>
      </w:pPr>
      <w:r>
        <w:t>1,500</w:t>
      </w:r>
      <w:r w:rsidR="00C42906">
        <w:t xml:space="preserve"> </w:t>
      </w:r>
      <w:r w:rsidR="00F33778" w:rsidRPr="00D10B2D">
        <w:t xml:space="preserve">cases involving </w:t>
      </w:r>
      <w:r>
        <w:t xml:space="preserve">3,503 </w:t>
      </w:r>
      <w:r w:rsidR="00F33778" w:rsidRPr="00D10B2D">
        <w:t>defendants have been recommended for prosecution.</w:t>
      </w:r>
    </w:p>
    <w:p w:rsidR="00504A36" w:rsidRDefault="00F33778">
      <w:pPr>
        <w:pStyle w:val="ListParagraph"/>
        <w:numPr>
          <w:ilvl w:val="0"/>
          <w:numId w:val="5"/>
        </w:numPr>
        <w:ind w:left="1440"/>
      </w:pPr>
      <w:r w:rsidRPr="00D10B2D">
        <w:t>As of September 30, 201</w:t>
      </w:r>
      <w:r w:rsidR="00D7575E">
        <w:t>2</w:t>
      </w:r>
      <w:r w:rsidRPr="00D10B2D">
        <w:t xml:space="preserve">, </w:t>
      </w:r>
      <w:r w:rsidR="00D7575E">
        <w:t>2,807</w:t>
      </w:r>
      <w:r w:rsidRPr="00D10B2D">
        <w:t xml:space="preserve">defendants have been arrested, </w:t>
      </w:r>
      <w:r w:rsidR="00D7575E">
        <w:t xml:space="preserve">2,823 </w:t>
      </w:r>
      <w:r w:rsidRPr="00D10B2D">
        <w:t xml:space="preserve">defendants have been indicted, </w:t>
      </w:r>
      <w:r w:rsidR="00D7575E">
        <w:t xml:space="preserve">1,891 </w:t>
      </w:r>
      <w:r w:rsidRPr="00D10B2D">
        <w:t xml:space="preserve">defendants have been convicted, and </w:t>
      </w:r>
      <w:r w:rsidR="00D7575E">
        <w:t xml:space="preserve">1,451 </w:t>
      </w:r>
      <w:r w:rsidRPr="00D10B2D">
        <w:t xml:space="preserve">defendants have been sentenced to an average of </w:t>
      </w:r>
      <w:r w:rsidR="00D7575E">
        <w:t>120</w:t>
      </w:r>
      <w:r w:rsidRPr="00D10B2D">
        <w:t xml:space="preserve"> months incarceration.</w:t>
      </w:r>
    </w:p>
    <w:p w:rsidR="00504A36" w:rsidRDefault="00D7575E">
      <w:pPr>
        <w:pStyle w:val="ListParagraph"/>
        <w:numPr>
          <w:ilvl w:val="0"/>
          <w:numId w:val="5"/>
        </w:numPr>
        <w:ind w:left="1440"/>
      </w:pPr>
      <w:r>
        <w:t xml:space="preserve">485 </w:t>
      </w:r>
      <w:r w:rsidR="00F33778" w:rsidRPr="00D10B2D">
        <w:t xml:space="preserve">of the cases and </w:t>
      </w:r>
      <w:r>
        <w:t xml:space="preserve">1,614 </w:t>
      </w:r>
      <w:r w:rsidR="00F33778" w:rsidRPr="00D10B2D">
        <w:t>of the defendants recommended for prosecution involve gang-related offenses.</w:t>
      </w:r>
    </w:p>
    <w:p w:rsidR="00504A36" w:rsidRDefault="00D7575E">
      <w:pPr>
        <w:pStyle w:val="ListParagraph"/>
        <w:numPr>
          <w:ilvl w:val="0"/>
          <w:numId w:val="5"/>
        </w:numPr>
        <w:ind w:left="1440"/>
      </w:pPr>
      <w:r>
        <w:t xml:space="preserve">871 </w:t>
      </w:r>
      <w:r w:rsidR="00F33778" w:rsidRPr="00D10B2D">
        <w:t xml:space="preserve">cases have charged violations related to the trafficking of an estimated </w:t>
      </w:r>
      <w:r>
        <w:t xml:space="preserve">28,986 </w:t>
      </w:r>
      <w:r w:rsidR="00F33778" w:rsidRPr="00D10B2D">
        <w:t xml:space="preserve">firearms.  A sub-set of </w:t>
      </w:r>
      <w:r>
        <w:t>261</w:t>
      </w:r>
      <w:r w:rsidR="00F33778" w:rsidRPr="00D10B2D">
        <w:t xml:space="preserve"> of these cases involved gang- related trafficking of over </w:t>
      </w:r>
      <w:r>
        <w:t xml:space="preserve">8,773 </w:t>
      </w:r>
      <w:r w:rsidR="00F33778" w:rsidRPr="00D10B2D">
        <w:t>firearms.</w:t>
      </w:r>
    </w:p>
    <w:p w:rsidR="00504A36" w:rsidRDefault="00F33778">
      <w:pPr>
        <w:pStyle w:val="ListParagraph"/>
        <w:numPr>
          <w:ilvl w:val="0"/>
          <w:numId w:val="5"/>
        </w:numPr>
        <w:ind w:left="1440"/>
      </w:pPr>
      <w:r w:rsidRPr="00D10B2D">
        <w:t>In all investigations, 10,</w:t>
      </w:r>
      <w:r w:rsidR="00D7575E">
        <w:t>859</w:t>
      </w:r>
      <w:r w:rsidRPr="00D10B2D">
        <w:t xml:space="preserve"> firearms and approximately </w:t>
      </w:r>
      <w:r w:rsidR="00D7575E">
        <w:t xml:space="preserve">2,100,180 </w:t>
      </w:r>
      <w:r w:rsidRPr="00D10B2D">
        <w:t>rounds of ammunition have been seized and are no longer available to violent criminals and gang members and Mexican drug cartels.</w:t>
      </w:r>
    </w:p>
    <w:p w:rsidR="00F33778" w:rsidRDefault="00F33778" w:rsidP="00953DA8">
      <w:pPr>
        <w:ind w:left="720"/>
      </w:pPr>
    </w:p>
    <w:p w:rsidR="007074E4" w:rsidRDefault="007074E4" w:rsidP="007074E4">
      <w:pPr>
        <w:ind w:left="1080"/>
      </w:pPr>
      <w:r>
        <w:lastRenderedPageBreak/>
        <w:t xml:space="preserve">ATF’s </w:t>
      </w:r>
      <w:r w:rsidRPr="00A16EBA">
        <w:t xml:space="preserve">firearms trafficking strategy complements </w:t>
      </w:r>
      <w:r>
        <w:t xml:space="preserve">the </w:t>
      </w:r>
      <w:r w:rsidRPr="00A16EBA">
        <w:t>continued focus on</w:t>
      </w:r>
      <w:r>
        <w:t xml:space="preserve"> intelligence and </w:t>
      </w:r>
      <w:r w:rsidRPr="00A16EBA">
        <w:t xml:space="preserve">the deployment of resources to specific localities where there is a high incidence of gang and gun violence.  </w:t>
      </w:r>
      <w:r>
        <w:t xml:space="preserve">This comprehensive approach </w:t>
      </w:r>
      <w:r w:rsidRPr="005E2A4F">
        <w:t xml:space="preserve">traces the movement of firearms from legal to illegal commerce, from source area to market area, and from trafficker to triggerman.  ATF </w:t>
      </w:r>
      <w:r>
        <w:t>special agent</w:t>
      </w:r>
      <w:r w:rsidRPr="005E2A4F">
        <w:t xml:space="preserve">s, </w:t>
      </w:r>
      <w:r w:rsidR="00423259">
        <w:t>IOIs</w:t>
      </w:r>
      <w:r w:rsidRPr="005E2A4F">
        <w:t xml:space="preserve">, and </w:t>
      </w:r>
      <w:r w:rsidR="002E3EAB">
        <w:t>Federal</w:t>
      </w:r>
      <w:r w:rsidRPr="005E2A4F">
        <w:t xml:space="preserve"> prosecutors work together in a source area to deliver a major impact on violent crime and gang violence in the respective market area, often thousands of miles away.  These are often complex investigations targeting trafficking networks involving multiple sources, T-III interceptions, undercover surveillance and developing sources of information.  </w:t>
      </w:r>
      <w:r>
        <w:t xml:space="preserve">ATF supports special agents in the </w:t>
      </w:r>
      <w:r w:rsidR="00D775E7">
        <w:t>field by providing experienced u</w:t>
      </w:r>
      <w:r>
        <w:t xml:space="preserve">ndercover </w:t>
      </w:r>
      <w:r w:rsidR="00D775E7">
        <w:t xml:space="preserve">special </w:t>
      </w:r>
      <w:r>
        <w:t>ag</w:t>
      </w:r>
      <w:r w:rsidR="00423259">
        <w:t>ents in order to infiltrate TCOs</w:t>
      </w:r>
      <w:r>
        <w:t xml:space="preserve"> intent on trafficking weapons within the U</w:t>
      </w:r>
      <w:r w:rsidR="00F53E23">
        <w:t>.</w:t>
      </w:r>
      <w:r>
        <w:t>S</w:t>
      </w:r>
      <w:r w:rsidR="00F53E23">
        <w:t>.</w:t>
      </w:r>
      <w:r>
        <w:t xml:space="preserve"> and across our southern border.  </w:t>
      </w:r>
      <w:r w:rsidRPr="005E2A4F">
        <w:t>Dismantling a gun trafficking organization wherever it operates, impacts the ability of criminals to threaten or harm our communities across the country.</w:t>
      </w:r>
    </w:p>
    <w:p w:rsidR="0070377B" w:rsidRDefault="0070377B" w:rsidP="007678E0">
      <w:pPr>
        <w:pStyle w:val="PlainText"/>
        <w:ind w:left="1080"/>
        <w:rPr>
          <w:rFonts w:ascii="Times New Roman" w:hAnsi="Times New Roman"/>
          <w:sz w:val="24"/>
          <w:szCs w:val="24"/>
        </w:rPr>
      </w:pPr>
    </w:p>
    <w:p w:rsidR="00B34E97" w:rsidRPr="00713FF8" w:rsidRDefault="00B34E97" w:rsidP="007678E0">
      <w:pPr>
        <w:pStyle w:val="PlainText"/>
        <w:ind w:left="1080"/>
        <w:rPr>
          <w:rFonts w:ascii="Times New Roman" w:hAnsi="Times New Roman"/>
          <w:sz w:val="24"/>
          <w:szCs w:val="24"/>
        </w:rPr>
      </w:pPr>
      <w:r>
        <w:rPr>
          <w:rFonts w:ascii="Times New Roman" w:hAnsi="Times New Roman"/>
          <w:sz w:val="24"/>
          <w:szCs w:val="24"/>
        </w:rPr>
        <w:t>Finally, ATF has institutionalized several policies and practices, in addition to the Frontline model, t</w:t>
      </w:r>
      <w:r w:rsidR="00F53E23">
        <w:rPr>
          <w:rFonts w:ascii="Times New Roman" w:hAnsi="Times New Roman"/>
          <w:sz w:val="24"/>
          <w:szCs w:val="24"/>
        </w:rPr>
        <w:t>hat</w:t>
      </w:r>
      <w:r>
        <w:rPr>
          <w:rFonts w:ascii="Times New Roman" w:hAnsi="Times New Roman"/>
          <w:sz w:val="24"/>
          <w:szCs w:val="24"/>
        </w:rPr>
        <w:t xml:space="preserve"> </w:t>
      </w:r>
      <w:r w:rsidR="00933076">
        <w:rPr>
          <w:rFonts w:ascii="Times New Roman" w:hAnsi="Times New Roman"/>
          <w:sz w:val="24"/>
          <w:szCs w:val="24"/>
        </w:rPr>
        <w:t xml:space="preserve">provide the leadership and oversight necessary to </w:t>
      </w:r>
      <w:r>
        <w:rPr>
          <w:rFonts w:ascii="Times New Roman" w:hAnsi="Times New Roman"/>
          <w:sz w:val="24"/>
          <w:szCs w:val="24"/>
        </w:rPr>
        <w:t xml:space="preserve">ensure </w:t>
      </w:r>
      <w:r w:rsidRPr="00713FF8">
        <w:rPr>
          <w:rFonts w:ascii="Times New Roman" w:hAnsi="Times New Roman"/>
          <w:sz w:val="24"/>
          <w:szCs w:val="24"/>
        </w:rPr>
        <w:t xml:space="preserve">that incidents like those that occurred during </w:t>
      </w:r>
      <w:r w:rsidR="00933076">
        <w:rPr>
          <w:rFonts w:ascii="Times New Roman" w:hAnsi="Times New Roman"/>
          <w:sz w:val="24"/>
          <w:szCs w:val="24"/>
        </w:rPr>
        <w:t xml:space="preserve">certain </w:t>
      </w:r>
      <w:r w:rsidRPr="00713FF8">
        <w:rPr>
          <w:rFonts w:ascii="Times New Roman" w:hAnsi="Times New Roman"/>
          <w:sz w:val="24"/>
          <w:szCs w:val="24"/>
        </w:rPr>
        <w:t xml:space="preserve">firearms trafficking investigations in Arizona </w:t>
      </w:r>
      <w:r w:rsidR="00F53E23">
        <w:rPr>
          <w:rFonts w:ascii="Times New Roman" w:hAnsi="Times New Roman"/>
          <w:sz w:val="24"/>
          <w:szCs w:val="24"/>
        </w:rPr>
        <w:t>never</w:t>
      </w:r>
      <w:r w:rsidRPr="00713FF8">
        <w:rPr>
          <w:rFonts w:ascii="Times New Roman" w:hAnsi="Times New Roman"/>
          <w:sz w:val="24"/>
          <w:szCs w:val="24"/>
        </w:rPr>
        <w:t xml:space="preserve"> happen again. These</w:t>
      </w:r>
      <w:r>
        <w:rPr>
          <w:rFonts w:ascii="Times New Roman" w:hAnsi="Times New Roman"/>
          <w:sz w:val="24"/>
          <w:szCs w:val="24"/>
        </w:rPr>
        <w:t xml:space="preserve"> </w:t>
      </w:r>
      <w:r w:rsidRPr="00713FF8">
        <w:rPr>
          <w:rFonts w:ascii="Times New Roman" w:hAnsi="Times New Roman"/>
          <w:sz w:val="24"/>
          <w:szCs w:val="24"/>
        </w:rPr>
        <w:t>include:</w:t>
      </w:r>
    </w:p>
    <w:p w:rsidR="00B34E97" w:rsidRPr="00713FF8" w:rsidRDefault="00B34E97" w:rsidP="00953DA8">
      <w:pPr>
        <w:pStyle w:val="PlainText"/>
        <w:ind w:left="720"/>
        <w:rPr>
          <w:rFonts w:ascii="Times New Roman" w:hAnsi="Times New Roman"/>
          <w:sz w:val="24"/>
          <w:szCs w:val="24"/>
        </w:rPr>
      </w:pPr>
    </w:p>
    <w:p w:rsidR="00504A36" w:rsidRDefault="00B34E97">
      <w:pPr>
        <w:pStyle w:val="PlainText"/>
        <w:numPr>
          <w:ilvl w:val="0"/>
          <w:numId w:val="9"/>
        </w:numPr>
        <w:ind w:left="1440"/>
        <w:rPr>
          <w:rFonts w:ascii="Times New Roman" w:hAnsi="Times New Roman"/>
          <w:sz w:val="24"/>
          <w:szCs w:val="24"/>
        </w:rPr>
      </w:pPr>
      <w:r w:rsidRPr="00713FF8">
        <w:rPr>
          <w:rFonts w:ascii="Times New Roman" w:hAnsi="Times New Roman"/>
          <w:sz w:val="24"/>
          <w:szCs w:val="24"/>
        </w:rPr>
        <w:t>Clarifi</w:t>
      </w:r>
      <w:r w:rsidR="00F53E23">
        <w:rPr>
          <w:rFonts w:ascii="Times New Roman" w:hAnsi="Times New Roman"/>
          <w:sz w:val="24"/>
          <w:szCs w:val="24"/>
        </w:rPr>
        <w:t>cation</w:t>
      </w:r>
      <w:r>
        <w:rPr>
          <w:rFonts w:ascii="Times New Roman" w:hAnsi="Times New Roman"/>
          <w:sz w:val="24"/>
          <w:szCs w:val="24"/>
        </w:rPr>
        <w:t xml:space="preserve"> of the firearms transfer</w:t>
      </w:r>
      <w:r w:rsidRPr="00713FF8">
        <w:rPr>
          <w:rFonts w:ascii="Times New Roman" w:hAnsi="Times New Roman"/>
          <w:sz w:val="24"/>
          <w:szCs w:val="24"/>
        </w:rPr>
        <w:t xml:space="preserve"> policy</w:t>
      </w:r>
      <w:r w:rsidR="00F53E23">
        <w:rPr>
          <w:rFonts w:ascii="Times New Roman" w:hAnsi="Times New Roman"/>
          <w:sz w:val="24"/>
          <w:szCs w:val="24"/>
        </w:rPr>
        <w:t>,</w:t>
      </w:r>
      <w:r w:rsidRPr="00713FF8">
        <w:rPr>
          <w:rFonts w:ascii="Times New Roman" w:hAnsi="Times New Roman"/>
          <w:sz w:val="24"/>
          <w:szCs w:val="24"/>
        </w:rPr>
        <w:t xml:space="preserve"> stressing early interdiction and intervention to prevent criminal </w:t>
      </w:r>
      <w:r>
        <w:rPr>
          <w:rFonts w:ascii="Times New Roman" w:hAnsi="Times New Roman"/>
          <w:sz w:val="24"/>
          <w:szCs w:val="24"/>
        </w:rPr>
        <w:t>misuse of firearms</w:t>
      </w:r>
      <w:r w:rsidRPr="00713FF8">
        <w:rPr>
          <w:rFonts w:ascii="Times New Roman" w:hAnsi="Times New Roman"/>
          <w:sz w:val="24"/>
          <w:szCs w:val="24"/>
        </w:rPr>
        <w:t xml:space="preserve"> while maximizing public</w:t>
      </w:r>
      <w:r>
        <w:rPr>
          <w:rFonts w:ascii="Times New Roman" w:hAnsi="Times New Roman"/>
          <w:sz w:val="24"/>
          <w:szCs w:val="24"/>
        </w:rPr>
        <w:t xml:space="preserve"> </w:t>
      </w:r>
      <w:r w:rsidRPr="00713FF8">
        <w:rPr>
          <w:rFonts w:ascii="Times New Roman" w:hAnsi="Times New Roman"/>
          <w:sz w:val="24"/>
          <w:szCs w:val="24"/>
        </w:rPr>
        <w:t>safety</w:t>
      </w:r>
      <w:r>
        <w:rPr>
          <w:rFonts w:ascii="Times New Roman" w:hAnsi="Times New Roman"/>
          <w:sz w:val="24"/>
          <w:szCs w:val="24"/>
        </w:rPr>
        <w:t>.</w:t>
      </w:r>
    </w:p>
    <w:p w:rsidR="00504A36" w:rsidRDefault="00933076">
      <w:pPr>
        <w:pStyle w:val="PlainText"/>
        <w:numPr>
          <w:ilvl w:val="0"/>
          <w:numId w:val="9"/>
        </w:numPr>
        <w:ind w:left="1440"/>
        <w:rPr>
          <w:rFonts w:ascii="Times New Roman" w:hAnsi="Times New Roman"/>
          <w:sz w:val="24"/>
          <w:szCs w:val="24"/>
        </w:rPr>
      </w:pPr>
      <w:r>
        <w:rPr>
          <w:rFonts w:ascii="Times New Roman" w:hAnsi="Times New Roman"/>
          <w:sz w:val="24"/>
          <w:szCs w:val="24"/>
        </w:rPr>
        <w:t>A n</w:t>
      </w:r>
      <w:r w:rsidR="00B34E97" w:rsidRPr="00713FF8">
        <w:rPr>
          <w:rFonts w:ascii="Times New Roman" w:hAnsi="Times New Roman"/>
          <w:sz w:val="24"/>
          <w:szCs w:val="24"/>
        </w:rPr>
        <w:t xml:space="preserve">ew case monitoring program </w:t>
      </w:r>
      <w:r w:rsidRPr="0034389E">
        <w:rPr>
          <w:rFonts w:ascii="Times New Roman" w:hAnsi="Times New Roman"/>
          <w:sz w:val="24"/>
          <w:szCs w:val="24"/>
        </w:rPr>
        <w:t xml:space="preserve">to ensure and document close investigative, operational and strategic coordination, and enhanced communication </w:t>
      </w:r>
      <w:r w:rsidR="00423259">
        <w:rPr>
          <w:rFonts w:ascii="Times New Roman" w:hAnsi="Times New Roman"/>
          <w:sz w:val="24"/>
          <w:szCs w:val="24"/>
        </w:rPr>
        <w:t>between the field and involved H</w:t>
      </w:r>
      <w:r w:rsidRPr="0034389E">
        <w:rPr>
          <w:rFonts w:ascii="Times New Roman" w:hAnsi="Times New Roman"/>
          <w:sz w:val="24"/>
          <w:szCs w:val="24"/>
        </w:rPr>
        <w:t xml:space="preserve">eadquarters executives regarding ATF’s most sensitive investigations and inspections.  </w:t>
      </w:r>
      <w:r>
        <w:rPr>
          <w:rFonts w:ascii="Times New Roman" w:hAnsi="Times New Roman"/>
          <w:sz w:val="24"/>
          <w:szCs w:val="24"/>
        </w:rPr>
        <w:t xml:space="preserve">The program provides </w:t>
      </w:r>
      <w:r w:rsidR="00B34E97" w:rsidRPr="00713FF8">
        <w:rPr>
          <w:rFonts w:ascii="Times New Roman" w:hAnsi="Times New Roman"/>
          <w:sz w:val="24"/>
          <w:szCs w:val="24"/>
        </w:rPr>
        <w:t>enhance</w:t>
      </w:r>
      <w:r w:rsidR="00B34E97">
        <w:rPr>
          <w:rFonts w:ascii="Times New Roman" w:hAnsi="Times New Roman"/>
          <w:sz w:val="24"/>
          <w:szCs w:val="24"/>
        </w:rPr>
        <w:t>d</w:t>
      </w:r>
      <w:r w:rsidR="00B34E97" w:rsidRPr="00713FF8">
        <w:rPr>
          <w:rFonts w:ascii="Times New Roman" w:hAnsi="Times New Roman"/>
          <w:sz w:val="24"/>
          <w:szCs w:val="24"/>
        </w:rPr>
        <w:t xml:space="preserve"> oversight </w:t>
      </w:r>
      <w:r>
        <w:rPr>
          <w:rFonts w:ascii="Times New Roman" w:hAnsi="Times New Roman"/>
          <w:sz w:val="24"/>
          <w:szCs w:val="24"/>
        </w:rPr>
        <w:t xml:space="preserve">at the field division and </w:t>
      </w:r>
      <w:r w:rsidR="00B34E97" w:rsidRPr="00713FF8">
        <w:rPr>
          <w:rFonts w:ascii="Times New Roman" w:hAnsi="Times New Roman"/>
          <w:sz w:val="24"/>
          <w:szCs w:val="24"/>
        </w:rPr>
        <w:t xml:space="preserve">ATF Headquarters </w:t>
      </w:r>
      <w:r>
        <w:rPr>
          <w:rFonts w:ascii="Times New Roman" w:hAnsi="Times New Roman"/>
          <w:sz w:val="24"/>
          <w:szCs w:val="24"/>
        </w:rPr>
        <w:t xml:space="preserve">levels on certain categories of investigations </w:t>
      </w:r>
      <w:r w:rsidR="00B34E97" w:rsidRPr="00713FF8">
        <w:rPr>
          <w:rFonts w:ascii="Times New Roman" w:hAnsi="Times New Roman"/>
          <w:sz w:val="24"/>
          <w:szCs w:val="24"/>
        </w:rPr>
        <w:t xml:space="preserve">with </w:t>
      </w:r>
      <w:r>
        <w:rPr>
          <w:rFonts w:ascii="Times New Roman" w:hAnsi="Times New Roman"/>
          <w:sz w:val="24"/>
          <w:szCs w:val="24"/>
        </w:rPr>
        <w:t>mandated, documented requirements for investigative deconfliction and monthly briefings on each case.</w:t>
      </w:r>
    </w:p>
    <w:p w:rsidR="00504A36" w:rsidRDefault="00B34E97">
      <w:pPr>
        <w:pStyle w:val="PlainText"/>
        <w:numPr>
          <w:ilvl w:val="0"/>
          <w:numId w:val="9"/>
        </w:numPr>
        <w:ind w:left="1440"/>
        <w:rPr>
          <w:rFonts w:ascii="Times New Roman" w:hAnsi="Times New Roman"/>
          <w:sz w:val="24"/>
          <w:szCs w:val="24"/>
        </w:rPr>
      </w:pPr>
      <w:r w:rsidRPr="00713FF8">
        <w:rPr>
          <w:rFonts w:ascii="Times New Roman" w:hAnsi="Times New Roman"/>
          <w:sz w:val="24"/>
          <w:szCs w:val="24"/>
        </w:rPr>
        <w:t xml:space="preserve">Revised policies for the use of Confidential Informants and </w:t>
      </w:r>
      <w:r w:rsidR="003747FA">
        <w:rPr>
          <w:rFonts w:ascii="Times New Roman" w:hAnsi="Times New Roman"/>
          <w:sz w:val="24"/>
          <w:szCs w:val="24"/>
        </w:rPr>
        <w:t xml:space="preserve">the conduct of </w:t>
      </w:r>
      <w:r w:rsidR="00722120">
        <w:rPr>
          <w:rFonts w:ascii="Times New Roman" w:hAnsi="Times New Roman"/>
          <w:sz w:val="24"/>
          <w:szCs w:val="24"/>
        </w:rPr>
        <w:t>u</w:t>
      </w:r>
      <w:r w:rsidRPr="00713FF8">
        <w:rPr>
          <w:rFonts w:ascii="Times New Roman" w:hAnsi="Times New Roman"/>
          <w:sz w:val="24"/>
          <w:szCs w:val="24"/>
        </w:rPr>
        <w:t xml:space="preserve">ndercover </w:t>
      </w:r>
      <w:r w:rsidR="00722120">
        <w:rPr>
          <w:rFonts w:ascii="Times New Roman" w:hAnsi="Times New Roman"/>
          <w:sz w:val="24"/>
          <w:szCs w:val="24"/>
        </w:rPr>
        <w:t>o</w:t>
      </w:r>
      <w:r w:rsidRPr="00713FF8">
        <w:rPr>
          <w:rFonts w:ascii="Times New Roman" w:hAnsi="Times New Roman"/>
          <w:sz w:val="24"/>
          <w:szCs w:val="24"/>
        </w:rPr>
        <w:t>perations.</w:t>
      </w:r>
    </w:p>
    <w:p w:rsidR="00504A36" w:rsidRDefault="00F53E23">
      <w:pPr>
        <w:pStyle w:val="PlainText"/>
        <w:numPr>
          <w:ilvl w:val="0"/>
          <w:numId w:val="9"/>
        </w:numPr>
        <w:ind w:left="1440"/>
        <w:rPr>
          <w:rFonts w:ascii="Times New Roman" w:hAnsi="Times New Roman"/>
          <w:sz w:val="24"/>
          <w:szCs w:val="24"/>
        </w:rPr>
      </w:pPr>
      <w:r>
        <w:rPr>
          <w:rFonts w:ascii="Times New Roman" w:hAnsi="Times New Roman"/>
          <w:sz w:val="24"/>
          <w:szCs w:val="24"/>
        </w:rPr>
        <w:t>A r</w:t>
      </w:r>
      <w:r w:rsidR="00B34E97" w:rsidRPr="00713FF8">
        <w:rPr>
          <w:rFonts w:ascii="Times New Roman" w:hAnsi="Times New Roman"/>
          <w:sz w:val="24"/>
          <w:szCs w:val="24"/>
        </w:rPr>
        <w:t xml:space="preserve">einforcing memorandum to every SAC </w:t>
      </w:r>
      <w:r w:rsidR="003747FA">
        <w:rPr>
          <w:rFonts w:ascii="Times New Roman" w:hAnsi="Times New Roman"/>
          <w:sz w:val="24"/>
          <w:szCs w:val="24"/>
        </w:rPr>
        <w:t>and his or her subordinate supervisors and special agents</w:t>
      </w:r>
      <w:r>
        <w:rPr>
          <w:rFonts w:ascii="Times New Roman" w:hAnsi="Times New Roman"/>
          <w:sz w:val="24"/>
          <w:szCs w:val="24"/>
        </w:rPr>
        <w:t xml:space="preserve"> stressing</w:t>
      </w:r>
      <w:r w:rsidR="003747FA">
        <w:rPr>
          <w:rFonts w:ascii="Times New Roman" w:hAnsi="Times New Roman"/>
          <w:sz w:val="24"/>
          <w:szCs w:val="24"/>
        </w:rPr>
        <w:t xml:space="preserve"> </w:t>
      </w:r>
      <w:r w:rsidR="00B34E97" w:rsidRPr="00713FF8">
        <w:rPr>
          <w:rFonts w:ascii="Times New Roman" w:hAnsi="Times New Roman"/>
          <w:sz w:val="24"/>
          <w:szCs w:val="24"/>
        </w:rPr>
        <w:t xml:space="preserve">the importance of </w:t>
      </w:r>
      <w:r w:rsidR="003747FA">
        <w:rPr>
          <w:rFonts w:ascii="Times New Roman" w:hAnsi="Times New Roman"/>
          <w:sz w:val="24"/>
          <w:szCs w:val="24"/>
        </w:rPr>
        <w:t xml:space="preserve">investigative </w:t>
      </w:r>
      <w:r w:rsidR="00B34E97" w:rsidRPr="00713FF8">
        <w:rPr>
          <w:rFonts w:ascii="Times New Roman" w:hAnsi="Times New Roman"/>
          <w:sz w:val="24"/>
          <w:szCs w:val="24"/>
        </w:rPr>
        <w:t>deconfliction and information sharing.</w:t>
      </w:r>
    </w:p>
    <w:p w:rsidR="00504A36" w:rsidRDefault="0036334D">
      <w:pPr>
        <w:pStyle w:val="PlainText"/>
        <w:numPr>
          <w:ilvl w:val="0"/>
          <w:numId w:val="9"/>
        </w:numPr>
        <w:ind w:left="1440"/>
        <w:rPr>
          <w:rFonts w:ascii="Times New Roman" w:hAnsi="Times New Roman"/>
          <w:sz w:val="24"/>
          <w:szCs w:val="24"/>
        </w:rPr>
      </w:pPr>
      <w:r w:rsidRPr="006A75E4">
        <w:rPr>
          <w:rFonts w:ascii="Times New Roman" w:hAnsi="Times New Roman"/>
          <w:sz w:val="24"/>
          <w:szCs w:val="24"/>
        </w:rPr>
        <w:t>Establishment of a senior level</w:t>
      </w:r>
      <w:r w:rsidR="00B34E97" w:rsidRPr="006A75E4">
        <w:rPr>
          <w:rFonts w:ascii="Times New Roman" w:hAnsi="Times New Roman"/>
          <w:sz w:val="24"/>
          <w:szCs w:val="24"/>
        </w:rPr>
        <w:t xml:space="preserve"> advisory committee </w:t>
      </w:r>
      <w:r w:rsidR="003747FA" w:rsidRPr="006A75E4">
        <w:rPr>
          <w:rFonts w:ascii="Times New Roman" w:hAnsi="Times New Roman"/>
          <w:sz w:val="24"/>
          <w:szCs w:val="24"/>
        </w:rPr>
        <w:t xml:space="preserve">composed of </w:t>
      </w:r>
      <w:r w:rsidR="006A75E4">
        <w:rPr>
          <w:rFonts w:ascii="Times New Roman" w:hAnsi="Times New Roman"/>
          <w:sz w:val="24"/>
          <w:szCs w:val="24"/>
        </w:rPr>
        <w:t>SACs</w:t>
      </w:r>
      <w:r w:rsidR="00A179F2" w:rsidRPr="006A75E4">
        <w:rPr>
          <w:rFonts w:ascii="Times New Roman" w:hAnsi="Times New Roman"/>
          <w:sz w:val="24"/>
          <w:szCs w:val="24"/>
        </w:rPr>
        <w:t xml:space="preserve"> that meets with the</w:t>
      </w:r>
      <w:r w:rsidR="00B34E97" w:rsidRPr="006A75E4">
        <w:rPr>
          <w:rFonts w:ascii="Times New Roman" w:hAnsi="Times New Roman"/>
          <w:sz w:val="24"/>
          <w:szCs w:val="24"/>
        </w:rPr>
        <w:t xml:space="preserve"> Director and Deputy Director </w:t>
      </w:r>
      <w:r w:rsidR="003747FA" w:rsidRPr="006A75E4">
        <w:rPr>
          <w:rFonts w:ascii="Times New Roman" w:hAnsi="Times New Roman"/>
          <w:sz w:val="24"/>
          <w:szCs w:val="24"/>
        </w:rPr>
        <w:t>on a quarterly basis</w:t>
      </w:r>
      <w:r w:rsidR="00F53E23">
        <w:rPr>
          <w:rFonts w:ascii="Times New Roman" w:hAnsi="Times New Roman"/>
          <w:sz w:val="24"/>
          <w:szCs w:val="24"/>
        </w:rPr>
        <w:t>. This provides a forum</w:t>
      </w:r>
      <w:r w:rsidR="003747FA" w:rsidRPr="006A75E4">
        <w:rPr>
          <w:rFonts w:ascii="Times New Roman" w:hAnsi="Times New Roman"/>
          <w:sz w:val="24"/>
          <w:szCs w:val="24"/>
        </w:rPr>
        <w:t xml:space="preserve"> </w:t>
      </w:r>
      <w:r w:rsidR="00B34E97" w:rsidRPr="006A75E4">
        <w:rPr>
          <w:rFonts w:ascii="Times New Roman" w:hAnsi="Times New Roman"/>
          <w:sz w:val="24"/>
          <w:szCs w:val="24"/>
        </w:rPr>
        <w:t xml:space="preserve">to share concerns </w:t>
      </w:r>
      <w:r w:rsidR="005A7887" w:rsidRPr="006A75E4">
        <w:rPr>
          <w:rFonts w:ascii="Times New Roman" w:hAnsi="Times New Roman"/>
          <w:sz w:val="24"/>
          <w:szCs w:val="24"/>
        </w:rPr>
        <w:t xml:space="preserve">and </w:t>
      </w:r>
      <w:r w:rsidR="00F53E23">
        <w:rPr>
          <w:rFonts w:ascii="Times New Roman" w:hAnsi="Times New Roman"/>
          <w:sz w:val="24"/>
          <w:szCs w:val="24"/>
        </w:rPr>
        <w:t>gives</w:t>
      </w:r>
      <w:r w:rsidR="005A7887" w:rsidRPr="006A75E4">
        <w:rPr>
          <w:rFonts w:ascii="Times New Roman" w:hAnsi="Times New Roman"/>
          <w:sz w:val="24"/>
          <w:szCs w:val="24"/>
        </w:rPr>
        <w:t xml:space="preserve"> the </w:t>
      </w:r>
      <w:r w:rsidR="00B34E97" w:rsidRPr="006A75E4">
        <w:rPr>
          <w:rFonts w:ascii="Times New Roman" w:hAnsi="Times New Roman"/>
          <w:sz w:val="24"/>
          <w:szCs w:val="24"/>
        </w:rPr>
        <w:t xml:space="preserve">SACs a direct line of communication </w:t>
      </w:r>
      <w:r w:rsidR="00F53E23">
        <w:rPr>
          <w:rFonts w:ascii="Times New Roman" w:hAnsi="Times New Roman"/>
          <w:sz w:val="24"/>
          <w:szCs w:val="24"/>
        </w:rPr>
        <w:t xml:space="preserve">with </w:t>
      </w:r>
      <w:r w:rsidR="007C5127">
        <w:rPr>
          <w:rFonts w:ascii="Times New Roman" w:hAnsi="Times New Roman"/>
          <w:sz w:val="24"/>
          <w:szCs w:val="24"/>
        </w:rPr>
        <w:t xml:space="preserve">the </w:t>
      </w:r>
      <w:r w:rsidR="007C5127" w:rsidRPr="006A75E4">
        <w:rPr>
          <w:rFonts w:ascii="Times New Roman" w:hAnsi="Times New Roman"/>
          <w:sz w:val="24"/>
          <w:szCs w:val="24"/>
        </w:rPr>
        <w:t>executive</w:t>
      </w:r>
      <w:r w:rsidR="006A75E4" w:rsidRPr="006A75E4">
        <w:rPr>
          <w:rFonts w:ascii="Times New Roman" w:hAnsi="Times New Roman"/>
          <w:sz w:val="24"/>
          <w:szCs w:val="24"/>
        </w:rPr>
        <w:t xml:space="preserve"> leadership.</w:t>
      </w:r>
    </w:p>
    <w:p w:rsidR="00504A36" w:rsidRDefault="00B34E97">
      <w:pPr>
        <w:pStyle w:val="PlainText"/>
        <w:numPr>
          <w:ilvl w:val="0"/>
          <w:numId w:val="9"/>
        </w:numPr>
        <w:ind w:left="1440"/>
        <w:rPr>
          <w:rFonts w:ascii="Times New Roman" w:hAnsi="Times New Roman"/>
          <w:sz w:val="24"/>
          <w:szCs w:val="24"/>
        </w:rPr>
      </w:pPr>
      <w:r w:rsidRPr="00713FF8">
        <w:rPr>
          <w:rFonts w:ascii="Times New Roman" w:hAnsi="Times New Roman"/>
          <w:sz w:val="24"/>
          <w:szCs w:val="24"/>
        </w:rPr>
        <w:t>Providing supplemental training in Phoenix targeted to U</w:t>
      </w:r>
      <w:r w:rsidR="00D03843">
        <w:rPr>
          <w:rFonts w:ascii="Times New Roman" w:hAnsi="Times New Roman"/>
          <w:sz w:val="24"/>
          <w:szCs w:val="24"/>
        </w:rPr>
        <w:t>.</w:t>
      </w:r>
      <w:r w:rsidRPr="00713FF8">
        <w:rPr>
          <w:rFonts w:ascii="Times New Roman" w:hAnsi="Times New Roman"/>
          <w:sz w:val="24"/>
          <w:szCs w:val="24"/>
        </w:rPr>
        <w:t>S</w:t>
      </w:r>
      <w:r w:rsidR="00D03843">
        <w:rPr>
          <w:rFonts w:ascii="Times New Roman" w:hAnsi="Times New Roman"/>
          <w:sz w:val="24"/>
          <w:szCs w:val="24"/>
        </w:rPr>
        <w:t>.</w:t>
      </w:r>
      <w:r w:rsidRPr="00713FF8">
        <w:rPr>
          <w:rFonts w:ascii="Times New Roman" w:hAnsi="Times New Roman"/>
          <w:sz w:val="24"/>
          <w:szCs w:val="24"/>
        </w:rPr>
        <w:t>-Mexico cross</w:t>
      </w:r>
      <w:r>
        <w:rPr>
          <w:rFonts w:ascii="Times New Roman" w:hAnsi="Times New Roman"/>
          <w:sz w:val="24"/>
          <w:szCs w:val="24"/>
        </w:rPr>
        <w:t>-</w:t>
      </w:r>
      <w:r w:rsidRPr="00713FF8">
        <w:rPr>
          <w:rFonts w:ascii="Times New Roman" w:hAnsi="Times New Roman"/>
          <w:sz w:val="24"/>
          <w:szCs w:val="24"/>
        </w:rPr>
        <w:t xml:space="preserve">border firearms trafficking </w:t>
      </w:r>
      <w:r w:rsidR="005A7887">
        <w:rPr>
          <w:rFonts w:ascii="Times New Roman" w:hAnsi="Times New Roman"/>
          <w:sz w:val="24"/>
          <w:szCs w:val="24"/>
        </w:rPr>
        <w:t xml:space="preserve">investigations and the </w:t>
      </w:r>
      <w:r w:rsidRPr="00713FF8">
        <w:rPr>
          <w:rFonts w:ascii="Times New Roman" w:hAnsi="Times New Roman"/>
          <w:sz w:val="24"/>
          <w:szCs w:val="24"/>
        </w:rPr>
        <w:t>legal and practical issues</w:t>
      </w:r>
      <w:r w:rsidR="005A7887">
        <w:rPr>
          <w:rFonts w:ascii="Times New Roman" w:hAnsi="Times New Roman"/>
          <w:sz w:val="24"/>
          <w:szCs w:val="24"/>
        </w:rPr>
        <w:t xml:space="preserve"> encountered</w:t>
      </w:r>
      <w:r w:rsidRPr="00713FF8">
        <w:rPr>
          <w:rFonts w:ascii="Times New Roman" w:hAnsi="Times New Roman"/>
          <w:sz w:val="24"/>
          <w:szCs w:val="24"/>
        </w:rPr>
        <w:t xml:space="preserve"> in developing </w:t>
      </w:r>
      <w:r w:rsidR="005A7887">
        <w:rPr>
          <w:rFonts w:ascii="Times New Roman" w:hAnsi="Times New Roman"/>
          <w:sz w:val="24"/>
          <w:szCs w:val="24"/>
        </w:rPr>
        <w:t xml:space="preserve">firearms trafficking </w:t>
      </w:r>
      <w:r>
        <w:rPr>
          <w:rFonts w:ascii="Times New Roman" w:hAnsi="Times New Roman"/>
          <w:sz w:val="24"/>
          <w:szCs w:val="24"/>
        </w:rPr>
        <w:t>c</w:t>
      </w:r>
      <w:r w:rsidRPr="00713FF8">
        <w:rPr>
          <w:rFonts w:ascii="Times New Roman" w:hAnsi="Times New Roman"/>
          <w:sz w:val="24"/>
          <w:szCs w:val="24"/>
        </w:rPr>
        <w:t>ases.</w:t>
      </w:r>
    </w:p>
    <w:p w:rsidR="001776A5" w:rsidRDefault="001776A5">
      <w:pPr>
        <w:rPr>
          <w:b/>
          <w:i/>
          <w:sz w:val="28"/>
          <w:szCs w:val="28"/>
        </w:rPr>
      </w:pPr>
      <w:r>
        <w:rPr>
          <w:b/>
          <w:i/>
          <w:sz w:val="28"/>
          <w:szCs w:val="28"/>
        </w:rPr>
        <w:br w:type="page"/>
      </w:r>
    </w:p>
    <w:p w:rsidR="00423259" w:rsidRPr="00423259" w:rsidRDefault="00423259" w:rsidP="00423259">
      <w:pPr>
        <w:ind w:left="720"/>
        <w:rPr>
          <w:b/>
          <w:i/>
          <w:sz w:val="28"/>
          <w:szCs w:val="28"/>
        </w:rPr>
      </w:pPr>
    </w:p>
    <w:p w:rsidR="00504A36" w:rsidRDefault="00265432">
      <w:pPr>
        <w:pStyle w:val="ListParagraph"/>
        <w:numPr>
          <w:ilvl w:val="0"/>
          <w:numId w:val="10"/>
        </w:numPr>
        <w:rPr>
          <w:b/>
          <w:i/>
          <w:sz w:val="28"/>
          <w:szCs w:val="28"/>
        </w:rPr>
      </w:pPr>
      <w:r w:rsidRPr="00265432">
        <w:rPr>
          <w:b/>
          <w:i/>
          <w:sz w:val="28"/>
          <w:szCs w:val="28"/>
        </w:rPr>
        <w:t>Firearms Criminal Use and Possession</w:t>
      </w:r>
    </w:p>
    <w:p w:rsidR="005917D2" w:rsidRPr="00A77EB0" w:rsidRDefault="005917D2" w:rsidP="005917D2"/>
    <w:p w:rsidR="00EE21DF" w:rsidRPr="0036334D" w:rsidRDefault="00265432" w:rsidP="0036334D">
      <w:pPr>
        <w:ind w:left="1080"/>
        <w:rPr>
          <w:b/>
        </w:rPr>
      </w:pPr>
      <w:r w:rsidRPr="00265432">
        <w:rPr>
          <w:b/>
        </w:rPr>
        <w:t xml:space="preserve">Threat.  </w:t>
      </w:r>
      <w:r w:rsidRPr="00265432">
        <w:t xml:space="preserve">Firearms violence associated with drug trafficking and violent crime continues to </w:t>
      </w:r>
      <w:r w:rsidR="00423259">
        <w:t xml:space="preserve">threaten every citizen’s safety, livelihood, and </w:t>
      </w:r>
      <w:r w:rsidRPr="00265432">
        <w:t>erode</w:t>
      </w:r>
      <w:r w:rsidR="00423259">
        <w:t>s</w:t>
      </w:r>
      <w:r w:rsidRPr="00265432">
        <w:t xml:space="preserve"> the quality of life in American cities.</w:t>
      </w:r>
      <w:r w:rsidRPr="00265432">
        <w:tab/>
      </w:r>
    </w:p>
    <w:p w:rsidR="00EE21DF" w:rsidRPr="00A77EB0" w:rsidRDefault="00EE21DF" w:rsidP="004C72A6">
      <w:pPr>
        <w:ind w:left="1080"/>
      </w:pPr>
    </w:p>
    <w:p w:rsidR="007C6783" w:rsidRDefault="00265432" w:rsidP="00914DB8">
      <w:pPr>
        <w:ind w:left="1080"/>
      </w:pPr>
      <w:r w:rsidRPr="00265432">
        <w:rPr>
          <w:b/>
        </w:rPr>
        <w:t xml:space="preserve">Response.  </w:t>
      </w:r>
      <w:r w:rsidR="007C6783" w:rsidRPr="00A16EBA">
        <w:t xml:space="preserve">ATF has long recognized the clear link between the availability of criminally possessed firearms and violent crime.  </w:t>
      </w:r>
      <w:r w:rsidR="007C6783" w:rsidRPr="00046D81">
        <w:t>Firearms are the “tools of the trade” for the armed violent offender, the gang member</w:t>
      </w:r>
      <w:r w:rsidR="007C6783">
        <w:t>,</w:t>
      </w:r>
      <w:r w:rsidR="007C6783" w:rsidRPr="00046D81">
        <w:t xml:space="preserve"> and the drug dealer</w:t>
      </w:r>
      <w:r w:rsidR="009B01A5">
        <w:t xml:space="preserve">. </w:t>
      </w:r>
      <w:r w:rsidR="00013799">
        <w:t xml:space="preserve"> </w:t>
      </w:r>
      <w:r w:rsidR="009B01A5">
        <w:t>The</w:t>
      </w:r>
      <w:r w:rsidR="007C6783" w:rsidRPr="00046D81">
        <w:t xml:space="preserve"> violent, criminal misuse of firearms is perhaps the greatest single contributor to the erosion of the quality of life in far too many communities.  The common denominator in America’s most egregious crimes is an illegally possessed and criminally misused firearm. </w:t>
      </w:r>
      <w:r w:rsidR="007C6783">
        <w:t xml:space="preserve"> </w:t>
      </w:r>
      <w:r w:rsidR="007C6783" w:rsidRPr="00046D81">
        <w:t xml:space="preserve">There is no place for a convicted felon or a juvenile gang member to </w:t>
      </w:r>
      <w:r w:rsidR="008B66AB">
        <w:t xml:space="preserve">legally </w:t>
      </w:r>
      <w:r w:rsidR="007C6783" w:rsidRPr="00046D81">
        <w:t xml:space="preserve">obtain a handgun for use in a street robbery or drive by shooting, indeed </w:t>
      </w:r>
      <w:r w:rsidR="002E3EAB">
        <w:t>Federal</w:t>
      </w:r>
      <w:r w:rsidR="007C6783" w:rsidRPr="00046D81">
        <w:t xml:space="preserve"> law prohibits the possession of firearms by convicted felons or handguns by juveniles.  Despite these prohibitions, </w:t>
      </w:r>
      <w:r w:rsidR="0062527B" w:rsidRPr="00046D81">
        <w:t>firearms trafficking</w:t>
      </w:r>
      <w:r w:rsidR="0062527B">
        <w:t xml:space="preserve"> (</w:t>
      </w:r>
      <w:r w:rsidR="0062527B" w:rsidRPr="00046D81">
        <w:t>the unlawful diversion of firearms</w:t>
      </w:r>
      <w:r w:rsidR="0062527B">
        <w:t>)</w:t>
      </w:r>
      <w:r w:rsidR="0062527B" w:rsidRPr="00046D81">
        <w:t xml:space="preserve"> make</w:t>
      </w:r>
      <w:r w:rsidR="007C6783" w:rsidRPr="00046D81">
        <w:t xml:space="preserve"> guns immediately available to violent criminals.  Criminals are in the business of trafficking guns just </w:t>
      </w:r>
      <w:r w:rsidR="007C6783">
        <w:t xml:space="preserve">as </w:t>
      </w:r>
      <w:r w:rsidR="007C6783" w:rsidRPr="00046D81">
        <w:t xml:space="preserve">criminals are in the business of trafficking drugs.  </w:t>
      </w:r>
    </w:p>
    <w:p w:rsidR="00C63FA8" w:rsidRDefault="00C63FA8" w:rsidP="00C63FA8">
      <w:pPr>
        <w:pStyle w:val="BodyText"/>
        <w:spacing w:before="100" w:beforeAutospacing="1" w:after="100" w:afterAutospacing="1"/>
        <w:ind w:left="1080"/>
      </w:pPr>
      <w:r>
        <w:t>In FY 2012, ATF recommended the prosecution of 4,199 cases involving 5,339 defendants charged with offenses related to the criminal possession and use of firearms.  As of March 2013, 3,728 of the defendants recommended for prosecution have been arrested, 4,032 indicted, 2,326 convicted and 1,224 have been sentenced to prison for an average of 72 months.  Many of these cases are still in process within the judicial system.  For example, an additional 1,102 of these defendants have been convicted but have not yet received their sentences.</w:t>
      </w:r>
    </w:p>
    <w:p w:rsidR="00C63FA8" w:rsidRDefault="00C63FA8" w:rsidP="00C63FA8">
      <w:pPr>
        <w:pStyle w:val="BodyText"/>
        <w:spacing w:before="100" w:beforeAutospacing="1" w:after="100" w:afterAutospacing="1"/>
        <w:ind w:left="1080"/>
      </w:pPr>
      <w:r>
        <w:t xml:space="preserve">In the cases recommended for prosecution, 448 cases involving 780 defendants allege gang related criminal conduct.  </w:t>
      </w:r>
    </w:p>
    <w:p w:rsidR="007C6783" w:rsidRDefault="007C6783" w:rsidP="007C6783">
      <w:pPr>
        <w:pStyle w:val="BodyText"/>
        <w:spacing w:before="100" w:beforeAutospacing="1" w:after="100" w:afterAutospacing="1"/>
        <w:ind w:left="1080"/>
      </w:pPr>
      <w:r w:rsidRPr="00046D81">
        <w:t>ATF’s regulatory</w:t>
      </w:r>
      <w:r>
        <w:t>,</w:t>
      </w:r>
      <w:r w:rsidRPr="00046D81">
        <w:t xml:space="preserve"> enforcement </w:t>
      </w:r>
      <w:r>
        <w:t xml:space="preserve">and intelligence </w:t>
      </w:r>
      <w:r w:rsidRPr="00046D81">
        <w:t xml:space="preserve">efforts all </w:t>
      </w:r>
      <w:r>
        <w:t>enhance</w:t>
      </w:r>
      <w:r w:rsidRPr="00046D81">
        <w:t xml:space="preserve"> one another.  When prosecuting a violent offender or conducting a </w:t>
      </w:r>
      <w:r w:rsidR="00F62AA6" w:rsidRPr="00265432">
        <w:t xml:space="preserve">Racketeer Influenced and Corrupt Organizations Act (RICO), </w:t>
      </w:r>
      <w:r w:rsidRPr="00046D81">
        <w:t>prosecution of a gang</w:t>
      </w:r>
      <w:r>
        <w:t>,</w:t>
      </w:r>
      <w:r w:rsidRPr="00046D81">
        <w:t xml:space="preserve"> ATF always looks </w:t>
      </w:r>
      <w:r>
        <w:t>in</w:t>
      </w:r>
      <w:r w:rsidRPr="00046D81">
        <w:t>to how the prohibited offenders obtained their firearms.  This identifies firearms traffickers and leads to trafficking investigations.  When ATF inspections uncover suspected firearms trafficking</w:t>
      </w:r>
      <w:r>
        <w:t xml:space="preserve">, </w:t>
      </w:r>
      <w:r w:rsidRPr="00046D81">
        <w:t xml:space="preserve">ATF not only investigates the trafficking but also seeks to uncover the offenders and criminal organizations that obtained guns from that trafficker.  </w:t>
      </w:r>
    </w:p>
    <w:p w:rsidR="007C6783" w:rsidRDefault="007C6783" w:rsidP="007C6783">
      <w:pPr>
        <w:pStyle w:val="BodyText"/>
        <w:spacing w:before="100" w:beforeAutospacing="1" w:after="100" w:afterAutospacing="1"/>
        <w:ind w:left="1080"/>
      </w:pPr>
      <w:r w:rsidRPr="00A16EBA">
        <w:t xml:space="preserve">ATF employs a comprehensive, integrated set of programs involving the vigorous enforcement of the firearms laws to remove </w:t>
      </w:r>
      <w:r>
        <w:t xml:space="preserve">armed </w:t>
      </w:r>
      <w:r w:rsidRPr="00A16EBA">
        <w:t xml:space="preserve">violent offenders from our communities, keep firearms from prohibited possessors, eliminate illegal weapons transfers, halt illegal sources of firearms and pursue outreach and prevention efforts.  </w:t>
      </w:r>
      <w:r>
        <w:t xml:space="preserve">ATF </w:t>
      </w:r>
      <w:r w:rsidRPr="00A16EBA">
        <w:t xml:space="preserve">builds upon traditional enforcement efforts with the use of </w:t>
      </w:r>
      <w:r>
        <w:t>state</w:t>
      </w:r>
      <w:r w:rsidRPr="00A16EBA">
        <w:t>-of-the-art ballistic imaging technology, firearms tracing, and int</w:t>
      </w:r>
      <w:r>
        <w:t>elligence/information sharing.</w:t>
      </w:r>
    </w:p>
    <w:p w:rsidR="007C6783" w:rsidRPr="00A16EBA" w:rsidRDefault="007C6783" w:rsidP="00C83DAD">
      <w:pPr>
        <w:pStyle w:val="BodyText"/>
        <w:spacing w:before="100" w:beforeAutospacing="1" w:after="100" w:afterAutospacing="1"/>
        <w:ind w:left="1080"/>
      </w:pPr>
      <w:r w:rsidRPr="00A16EBA">
        <w:lastRenderedPageBreak/>
        <w:t xml:space="preserve">This is accomplished by: </w:t>
      </w:r>
    </w:p>
    <w:p w:rsidR="00504A36" w:rsidRDefault="007C6783">
      <w:pPr>
        <w:pStyle w:val="BodyText"/>
        <w:numPr>
          <w:ilvl w:val="0"/>
          <w:numId w:val="16"/>
        </w:numPr>
        <w:tabs>
          <w:tab w:val="num" w:pos="1080"/>
        </w:tabs>
        <w:spacing w:before="100" w:beforeAutospacing="1" w:after="100" w:afterAutospacing="1"/>
        <w:ind w:left="1080"/>
        <w:rPr>
          <w:bCs/>
        </w:rPr>
      </w:pPr>
      <w:r w:rsidRPr="00A16EBA">
        <w:rPr>
          <w:bCs/>
        </w:rPr>
        <w:t xml:space="preserve">Partnering with law enforcement agencies and prosecutors at all levels to develop focused enforcement strategies to investigate, arrest, and prosecute </w:t>
      </w:r>
      <w:r>
        <w:rPr>
          <w:bCs/>
        </w:rPr>
        <w:t xml:space="preserve">armed </w:t>
      </w:r>
      <w:r w:rsidRPr="00A16EBA">
        <w:rPr>
          <w:bCs/>
        </w:rPr>
        <w:t>violent offenders and illegal domestic and international firearms traffickers.</w:t>
      </w:r>
    </w:p>
    <w:p w:rsidR="00504A36" w:rsidRDefault="007C6783">
      <w:pPr>
        <w:pStyle w:val="BodyText"/>
        <w:numPr>
          <w:ilvl w:val="0"/>
          <w:numId w:val="16"/>
        </w:numPr>
        <w:tabs>
          <w:tab w:val="num" w:pos="1080"/>
        </w:tabs>
        <w:spacing w:before="100" w:beforeAutospacing="1" w:after="100" w:afterAutospacing="1"/>
        <w:ind w:left="1080"/>
        <w:rPr>
          <w:bCs/>
        </w:rPr>
      </w:pPr>
      <w:r w:rsidRPr="00A16EBA">
        <w:rPr>
          <w:bCs/>
        </w:rPr>
        <w:t xml:space="preserve">Providing assistance and leadership within the law enforcement community to effectively solve violent crimes using specialized resources, </w:t>
      </w:r>
      <w:r>
        <w:rPr>
          <w:bCs/>
        </w:rPr>
        <w:t xml:space="preserve">techniques, </w:t>
      </w:r>
      <w:r w:rsidRPr="00A16EBA">
        <w:rPr>
          <w:bCs/>
        </w:rPr>
        <w:t>technology, and training.</w:t>
      </w:r>
    </w:p>
    <w:p w:rsidR="00504A36" w:rsidRDefault="007C6783">
      <w:pPr>
        <w:pStyle w:val="BodyText"/>
        <w:numPr>
          <w:ilvl w:val="0"/>
          <w:numId w:val="16"/>
        </w:numPr>
        <w:tabs>
          <w:tab w:val="num" w:pos="1080"/>
        </w:tabs>
        <w:spacing w:before="100" w:beforeAutospacing="1" w:after="100" w:afterAutospacing="1"/>
        <w:ind w:left="1080"/>
        <w:rPr>
          <w:bCs/>
        </w:rPr>
      </w:pPr>
      <w:r w:rsidRPr="00A16EBA">
        <w:rPr>
          <w:bCs/>
        </w:rPr>
        <w:t xml:space="preserve">Working in cooperation with </w:t>
      </w:r>
      <w:r w:rsidR="002E3EAB">
        <w:rPr>
          <w:bCs/>
        </w:rPr>
        <w:t>Federal</w:t>
      </w:r>
      <w:r w:rsidR="003A015D">
        <w:rPr>
          <w:bCs/>
        </w:rPr>
        <w:t xml:space="preserve"> Firearms L</w:t>
      </w:r>
      <w:r w:rsidRPr="00A16EBA">
        <w:rPr>
          <w:bCs/>
        </w:rPr>
        <w:t>icensees (FFLs) to promote the proper recordkeeping and business practices that help prevent the acquisition of firearms by prohibited persons</w:t>
      </w:r>
      <w:r>
        <w:rPr>
          <w:bCs/>
        </w:rPr>
        <w:t xml:space="preserve"> and illegal firearms traffickers</w:t>
      </w:r>
      <w:r w:rsidRPr="00A16EBA">
        <w:rPr>
          <w:bCs/>
        </w:rPr>
        <w:t>.</w:t>
      </w:r>
    </w:p>
    <w:p w:rsidR="00504A36" w:rsidRDefault="007C6783">
      <w:pPr>
        <w:pStyle w:val="BodyText"/>
        <w:numPr>
          <w:ilvl w:val="0"/>
          <w:numId w:val="16"/>
        </w:numPr>
        <w:tabs>
          <w:tab w:val="num" w:pos="1080"/>
        </w:tabs>
        <w:spacing w:before="100" w:beforeAutospacing="1" w:after="100" w:afterAutospacing="1"/>
        <w:ind w:left="1080"/>
        <w:rPr>
          <w:b/>
        </w:rPr>
      </w:pPr>
      <w:r w:rsidRPr="00A16EBA">
        <w:rPr>
          <w:bCs/>
        </w:rPr>
        <w:t>Preventing violence through community outreach.</w:t>
      </w:r>
    </w:p>
    <w:p w:rsidR="00504A36" w:rsidRDefault="002546F2">
      <w:pPr>
        <w:pStyle w:val="ListParagraph"/>
        <w:numPr>
          <w:ilvl w:val="0"/>
          <w:numId w:val="10"/>
        </w:numPr>
        <w:rPr>
          <w:b/>
          <w:i/>
          <w:sz w:val="28"/>
          <w:szCs w:val="28"/>
        </w:rPr>
      </w:pPr>
      <w:r>
        <w:rPr>
          <w:b/>
          <w:i/>
          <w:sz w:val="28"/>
          <w:szCs w:val="28"/>
        </w:rPr>
        <w:t xml:space="preserve">Diversion of Firearms from Legal Commerce – Safeguarding the Legal Firearms Industry Through </w:t>
      </w:r>
      <w:r w:rsidR="00D54ECE" w:rsidRPr="00B34E97">
        <w:rPr>
          <w:b/>
          <w:i/>
          <w:sz w:val="28"/>
          <w:szCs w:val="28"/>
        </w:rPr>
        <w:t>Ri</w:t>
      </w:r>
      <w:r>
        <w:rPr>
          <w:b/>
          <w:i/>
          <w:sz w:val="28"/>
          <w:szCs w:val="28"/>
        </w:rPr>
        <w:t>sked-Based Regulation</w:t>
      </w:r>
    </w:p>
    <w:p w:rsidR="007D2C4E" w:rsidRDefault="007D2C4E" w:rsidP="004C72A6">
      <w:pPr>
        <w:tabs>
          <w:tab w:val="left" w:pos="2395"/>
        </w:tabs>
        <w:ind w:left="360"/>
      </w:pPr>
    </w:p>
    <w:p w:rsidR="007D2C4E" w:rsidRDefault="00557E63" w:rsidP="004C72A6">
      <w:pPr>
        <w:tabs>
          <w:tab w:val="left" w:pos="2395"/>
        </w:tabs>
        <w:ind w:left="1080"/>
        <w:rPr>
          <w:b/>
        </w:rPr>
      </w:pPr>
      <w:r>
        <w:rPr>
          <w:b/>
        </w:rPr>
        <w:t>T</w:t>
      </w:r>
      <w:r w:rsidR="007D2C4E" w:rsidRPr="00EE21DF">
        <w:rPr>
          <w:b/>
        </w:rPr>
        <w:t>hreat</w:t>
      </w:r>
      <w:r w:rsidR="007D2C4E">
        <w:rPr>
          <w:b/>
        </w:rPr>
        <w:t>.</w:t>
      </w:r>
      <w:r w:rsidR="00DB445F" w:rsidRPr="00DB445F">
        <w:t xml:space="preserve"> </w:t>
      </w:r>
      <w:r w:rsidR="00423259">
        <w:t>Illegal firearms threaten not only public safety but the entire fir</w:t>
      </w:r>
      <w:r w:rsidR="00DF45DF">
        <w:t>earms industry, and the revenue legal commerce</w:t>
      </w:r>
      <w:r w:rsidR="00C767B3">
        <w:t xml:space="preserve"> </w:t>
      </w:r>
      <w:r w:rsidR="00423259">
        <w:t>generate</w:t>
      </w:r>
      <w:r w:rsidR="00DF45DF">
        <w:t>s</w:t>
      </w:r>
      <w:r w:rsidR="00423259">
        <w:t xml:space="preserve">.   </w:t>
      </w:r>
    </w:p>
    <w:p w:rsidR="007D2C4E" w:rsidRDefault="007D2C4E" w:rsidP="004C72A6">
      <w:pPr>
        <w:ind w:left="1080"/>
      </w:pPr>
    </w:p>
    <w:p w:rsidR="00AB2B69" w:rsidRDefault="00C848E3" w:rsidP="00AB2B69">
      <w:pPr>
        <w:tabs>
          <w:tab w:val="left" w:pos="2395"/>
        </w:tabs>
        <w:ind w:left="1080"/>
      </w:pPr>
      <w:r>
        <w:rPr>
          <w:b/>
        </w:rPr>
        <w:t>Response.</w:t>
      </w:r>
      <w:r w:rsidR="00AB2B69">
        <w:rPr>
          <w:b/>
        </w:rPr>
        <w:t xml:space="preserve"> </w:t>
      </w:r>
      <w:r w:rsidR="00F3092C">
        <w:rPr>
          <w:b/>
        </w:rPr>
        <w:t xml:space="preserve"> </w:t>
      </w:r>
      <w:r w:rsidR="00AB2B69" w:rsidRPr="00A16EBA">
        <w:t xml:space="preserve">ATF has sole </w:t>
      </w:r>
      <w:r w:rsidR="002E3EAB">
        <w:t>Federal</w:t>
      </w:r>
      <w:r w:rsidR="00AB2B69" w:rsidRPr="00A16EBA">
        <w:t xml:space="preserve"> regulatory authority over </w:t>
      </w:r>
      <w:r w:rsidR="003A015D">
        <w:t>FFLs</w:t>
      </w:r>
      <w:r w:rsidR="00AB2B69" w:rsidRPr="00A16EBA">
        <w:t xml:space="preserve"> authorized to engage in the business of manufacturing, importing, or selling firearms in the United</w:t>
      </w:r>
      <w:r w:rsidR="00AB2B69">
        <w:t xml:space="preserve"> State</w:t>
      </w:r>
      <w:r w:rsidR="00AB2B69" w:rsidRPr="00A16EBA">
        <w:t xml:space="preserve">s.  ATF </w:t>
      </w:r>
      <w:r w:rsidR="003A015D">
        <w:t xml:space="preserve">regulates </w:t>
      </w:r>
      <w:r w:rsidR="00AB2B69" w:rsidRPr="00A16EBA">
        <w:t xml:space="preserve">licenses </w:t>
      </w:r>
      <w:r w:rsidR="004D5333">
        <w:t xml:space="preserve">for </w:t>
      </w:r>
      <w:r w:rsidR="00AB2B69" w:rsidRPr="00A16EBA">
        <w:t xml:space="preserve">those who enter the firearms business, prescribes the manner in which they must operate, and defines the records they must keep for the acquisition and sale of each firearm.  </w:t>
      </w:r>
    </w:p>
    <w:p w:rsidR="00AB2B69" w:rsidRDefault="00AB2B69" w:rsidP="00AB2B69">
      <w:pPr>
        <w:pStyle w:val="BodyText"/>
        <w:spacing w:before="100" w:beforeAutospacing="1" w:after="100" w:afterAutospacing="1"/>
        <w:ind w:left="1080"/>
      </w:pPr>
      <w:r w:rsidRPr="00A16EBA">
        <w:t xml:space="preserve">Through this regulatory framework, ATF establishes the “paper trail” that tracks each firearm from its point of manufacture or importation to the point of its first retail sale, a process known as “firearms tracing.”  ATF operates the National Tracing Center (NTC), which is the only entity able to trace firearms from </w:t>
      </w:r>
      <w:r>
        <w:t xml:space="preserve">their </w:t>
      </w:r>
      <w:r w:rsidRPr="00A16EBA">
        <w:t xml:space="preserve">manufacture </w:t>
      </w:r>
      <w:r>
        <w:t xml:space="preserve">or importation </w:t>
      </w:r>
      <w:r w:rsidRPr="00A16EBA">
        <w:t xml:space="preserve">to the point of first retail sale.  </w:t>
      </w:r>
      <w:r>
        <w:t>E</w:t>
      </w:r>
      <w:r w:rsidRPr="00A16EBA">
        <w:t xml:space="preserve">very firearm recovered by law enforcement </w:t>
      </w:r>
      <w:r>
        <w:t xml:space="preserve">and subsequently </w:t>
      </w:r>
      <w:r w:rsidRPr="00A16EBA">
        <w:t xml:space="preserve">traced, </w:t>
      </w:r>
      <w:r>
        <w:t xml:space="preserve">enables </w:t>
      </w:r>
      <w:r w:rsidRPr="00A16EBA">
        <w:t xml:space="preserve">ATF to discern patterns that provide invaluable leads to aid in identifying the diversion of firearms into illegal commerce.  In addition to ensuring compliance with the </w:t>
      </w:r>
      <w:r w:rsidR="002E3EAB">
        <w:t>Federal</w:t>
      </w:r>
      <w:r w:rsidRPr="00A16EBA">
        <w:t xml:space="preserve"> requirements for gun sales/purchases and the National Instant Criminal Background Check System, ATF investigations focus on identifying criminals who illegally purchase firearms. </w:t>
      </w:r>
    </w:p>
    <w:p w:rsidR="00AB2B69" w:rsidRDefault="00AB2B69" w:rsidP="00AB2B69">
      <w:pPr>
        <w:pStyle w:val="BodyText"/>
        <w:spacing w:before="100" w:beforeAutospacing="1" w:after="100" w:afterAutospacing="1"/>
        <w:ind w:left="1080"/>
      </w:pPr>
      <w:r w:rsidRPr="00A16EBA">
        <w:t xml:space="preserve">The fair and effective regulation of the firearms industry is a key component of ATF’s firearms enforcement efforts.  To this end, ATF investigates FFL applicants to determine eligibility and to educate them </w:t>
      </w:r>
      <w:r w:rsidR="004D5333">
        <w:t>on</w:t>
      </w:r>
      <w:r w:rsidRPr="00A16EBA">
        <w:t xml:space="preserve"> their recordkeeping responsibilities</w:t>
      </w:r>
      <w:r>
        <w:t>;</w:t>
      </w:r>
      <w:r w:rsidRPr="00A16EBA">
        <w:t xml:space="preserve"> conducts compliance </w:t>
      </w:r>
      <w:r>
        <w:t>inspection</w:t>
      </w:r>
      <w:r w:rsidRPr="00A16EBA">
        <w:t>s of current FFLs</w:t>
      </w:r>
      <w:r>
        <w:t>;</w:t>
      </w:r>
      <w:r w:rsidRPr="00A16EBA">
        <w:t xml:space="preserve"> and</w:t>
      </w:r>
      <w:r w:rsidR="004D5333">
        <w:t>,</w:t>
      </w:r>
      <w:r w:rsidRPr="00A16EBA">
        <w:t xml:space="preserve"> collaborates with industry on voluntary compliance efforts.  </w:t>
      </w:r>
    </w:p>
    <w:p w:rsidR="00AB2B69" w:rsidRPr="0021008B" w:rsidRDefault="00AB2B69" w:rsidP="00AB2B69">
      <w:pPr>
        <w:ind w:left="1080"/>
      </w:pPr>
      <w:r w:rsidRPr="00A16EBA">
        <w:rPr>
          <w:color w:val="000000"/>
        </w:rPr>
        <w:t>Proper and timely recordkeeping by FFLs is critical to the success of a crime gun trace and is required for all firearms acquired and transferred by licensees.  Failing to account for firearms is a serious public safety concern because unaccounted firearms cannot be traced</w:t>
      </w:r>
      <w:r w:rsidR="008B66AB">
        <w:rPr>
          <w:color w:val="000000"/>
        </w:rPr>
        <w:t xml:space="preserve">.  </w:t>
      </w:r>
      <w:r>
        <w:t>During compliance inspections conducted in 201</w:t>
      </w:r>
      <w:r w:rsidR="00675D49">
        <w:t>2</w:t>
      </w:r>
      <w:r>
        <w:t xml:space="preserve">, ATF </w:t>
      </w:r>
      <w:r>
        <w:lastRenderedPageBreak/>
        <w:t xml:space="preserve">investigators identified </w:t>
      </w:r>
      <w:r w:rsidR="00675D49" w:rsidRPr="0021008B">
        <w:t>85,9</w:t>
      </w:r>
      <w:r w:rsidR="007E2CAF" w:rsidRPr="0021008B">
        <w:t>53</w:t>
      </w:r>
      <w:r w:rsidR="00675D49" w:rsidRPr="0021008B">
        <w:t xml:space="preserve"> </w:t>
      </w:r>
      <w:r w:rsidRPr="0021008B">
        <w:t xml:space="preserve">firearms that FFLs could not locate in inventory or account for by disposition or theft.  By working with industry members, IOIs reduced the </w:t>
      </w:r>
      <w:r w:rsidR="00675D49" w:rsidRPr="0021008B">
        <w:t>85,9</w:t>
      </w:r>
      <w:r w:rsidR="007E2CAF" w:rsidRPr="0021008B">
        <w:t>5</w:t>
      </w:r>
      <w:r w:rsidR="00675D49" w:rsidRPr="0021008B">
        <w:t xml:space="preserve">3 </w:t>
      </w:r>
      <w:r w:rsidRPr="0021008B">
        <w:t xml:space="preserve">unaccounted-for firearms to approximately </w:t>
      </w:r>
      <w:r w:rsidR="00675D49" w:rsidRPr="0021008B">
        <w:t>12,03</w:t>
      </w:r>
      <w:r w:rsidR="007E2CAF" w:rsidRPr="0021008B">
        <w:t>9</w:t>
      </w:r>
      <w:r w:rsidR="00C42906" w:rsidRPr="0021008B">
        <w:t xml:space="preserve"> </w:t>
      </w:r>
      <w:r w:rsidRPr="0021008B">
        <w:t>unaccounted-for firearms.  ATF successfully improved the</w:t>
      </w:r>
      <w:r w:rsidR="008B66AB" w:rsidRPr="0021008B">
        <w:t xml:space="preserve"> success</w:t>
      </w:r>
      <w:r w:rsidRPr="0021008B">
        <w:t xml:space="preserve"> rate of potential firearms traces</w:t>
      </w:r>
      <w:r w:rsidR="008B66AB" w:rsidRPr="0021008B">
        <w:t xml:space="preserve"> on these weapons</w:t>
      </w:r>
      <w:r w:rsidRPr="0021008B">
        <w:t xml:space="preserve"> by </w:t>
      </w:r>
      <w:r w:rsidR="00675D49" w:rsidRPr="0021008B">
        <w:t>86</w:t>
      </w:r>
      <w:r w:rsidRPr="0021008B">
        <w:t xml:space="preserve"> percent.</w:t>
      </w:r>
    </w:p>
    <w:p w:rsidR="004852E9" w:rsidRPr="0021008B" w:rsidRDefault="004852E9" w:rsidP="00AB2B69">
      <w:pPr>
        <w:ind w:left="1080"/>
      </w:pPr>
    </w:p>
    <w:p w:rsidR="004852E9" w:rsidRPr="0021008B" w:rsidRDefault="004852E9" w:rsidP="00AB2B69">
      <w:pPr>
        <w:ind w:left="1080"/>
      </w:pPr>
      <w:r w:rsidRPr="0021008B">
        <w:t>In FY 2012:</w:t>
      </w:r>
    </w:p>
    <w:p w:rsidR="004852E9" w:rsidRPr="0021008B" w:rsidRDefault="004852E9" w:rsidP="00AB2B69">
      <w:pPr>
        <w:ind w:left="1080"/>
      </w:pPr>
    </w:p>
    <w:p w:rsidR="00504A36" w:rsidRDefault="004852E9">
      <w:pPr>
        <w:pStyle w:val="ListParagraph"/>
        <w:numPr>
          <w:ilvl w:val="0"/>
          <w:numId w:val="25"/>
        </w:numPr>
        <w:ind w:right="360"/>
        <w:contextualSpacing w:val="0"/>
      </w:pPr>
      <w:r w:rsidRPr="0021008B">
        <w:t>ATF conducted 11,418 compliance inspections.</w:t>
      </w:r>
    </w:p>
    <w:p w:rsidR="00504A36" w:rsidRDefault="004852E9">
      <w:pPr>
        <w:numPr>
          <w:ilvl w:val="1"/>
          <w:numId w:val="24"/>
        </w:numPr>
        <w:tabs>
          <w:tab w:val="clear" w:pos="2160"/>
          <w:tab w:val="num" w:pos="1440"/>
        </w:tabs>
        <w:ind w:left="1440" w:right="360"/>
      </w:pPr>
      <w:r w:rsidRPr="0021008B">
        <w:t xml:space="preserve">48.1 percent of the licensees inspected were determined to be in full compliance with the law and regulations and no violations of any type were cited.  </w:t>
      </w:r>
    </w:p>
    <w:p w:rsidR="00504A36" w:rsidRDefault="004852E9">
      <w:pPr>
        <w:numPr>
          <w:ilvl w:val="1"/>
          <w:numId w:val="24"/>
        </w:numPr>
        <w:tabs>
          <w:tab w:val="clear" w:pos="2160"/>
          <w:tab w:val="num" w:pos="1440"/>
        </w:tabs>
        <w:ind w:left="1440" w:right="360"/>
      </w:pPr>
      <w:r w:rsidRPr="0021008B">
        <w:t xml:space="preserve">79.5 percent of the licensees inspected as “Compliant” with laws and regulations. </w:t>
      </w:r>
    </w:p>
    <w:p w:rsidR="00504A36" w:rsidRDefault="004852E9">
      <w:pPr>
        <w:numPr>
          <w:ilvl w:val="1"/>
          <w:numId w:val="24"/>
        </w:numPr>
        <w:tabs>
          <w:tab w:val="clear" w:pos="2160"/>
          <w:tab w:val="num" w:pos="1080"/>
        </w:tabs>
        <w:ind w:left="1080" w:right="360" w:firstLine="0"/>
      </w:pPr>
      <w:r w:rsidRPr="0021008B">
        <w:t xml:space="preserve">8.1 percent as “At risk”. </w:t>
      </w:r>
    </w:p>
    <w:p w:rsidR="00504A36" w:rsidRDefault="004852E9">
      <w:pPr>
        <w:numPr>
          <w:ilvl w:val="1"/>
          <w:numId w:val="24"/>
        </w:numPr>
        <w:tabs>
          <w:tab w:val="clear" w:pos="2160"/>
          <w:tab w:val="num" w:pos="1080"/>
        </w:tabs>
        <w:ind w:left="1080" w:right="360" w:firstLine="0"/>
      </w:pPr>
      <w:r w:rsidRPr="0021008B">
        <w:t xml:space="preserve">9.2 percent as “Non-compliant”. </w:t>
      </w:r>
    </w:p>
    <w:p w:rsidR="00504A36" w:rsidRDefault="004852E9">
      <w:pPr>
        <w:numPr>
          <w:ilvl w:val="1"/>
          <w:numId w:val="24"/>
        </w:numPr>
        <w:tabs>
          <w:tab w:val="clear" w:pos="2160"/>
          <w:tab w:val="num" w:pos="1440"/>
        </w:tabs>
        <w:ind w:left="1440" w:right="360"/>
      </w:pPr>
      <w:r w:rsidRPr="0021008B">
        <w:t>3.2 percent of compliance inspections did not require a determination of the licensees’ level of compliance (e.g., theft investigations, assists to criminal investigations, etc.).</w:t>
      </w:r>
    </w:p>
    <w:p w:rsidR="00504A36" w:rsidRDefault="004852E9">
      <w:pPr>
        <w:numPr>
          <w:ilvl w:val="1"/>
          <w:numId w:val="24"/>
        </w:numPr>
        <w:tabs>
          <w:tab w:val="clear" w:pos="2160"/>
          <w:tab w:val="num" w:pos="1440"/>
        </w:tabs>
        <w:ind w:left="1440" w:right="360"/>
      </w:pPr>
      <w:r w:rsidRPr="0021008B">
        <w:t>67 compliance inspections recommended license revocation or denial of an application for renewal of a Federal firearms license due to willful violations, representing less than one percent of the number of licensees inspected.</w:t>
      </w:r>
    </w:p>
    <w:p w:rsidR="00504A36" w:rsidRDefault="004852E9">
      <w:pPr>
        <w:numPr>
          <w:ilvl w:val="1"/>
          <w:numId w:val="24"/>
        </w:numPr>
        <w:tabs>
          <w:tab w:val="clear" w:pos="2160"/>
          <w:tab w:val="num" w:pos="1440"/>
        </w:tabs>
        <w:ind w:left="1440" w:right="360"/>
      </w:pPr>
      <w:r w:rsidRPr="0021008B">
        <w:t>ATF reviewed more than 1.1 million firearms transfer records for legal sufficiency and validated over 332,000 National Instant Check submissions.</w:t>
      </w:r>
    </w:p>
    <w:p w:rsidR="004852E9" w:rsidRDefault="004852E9" w:rsidP="004852E9">
      <w:pPr>
        <w:tabs>
          <w:tab w:val="num" w:pos="1080"/>
        </w:tabs>
      </w:pPr>
      <w:r>
        <w:rPr>
          <w:rFonts w:ascii="Calibri" w:hAnsi="Calibri"/>
          <w:color w:val="1F497D"/>
          <w:sz w:val="22"/>
          <w:szCs w:val="22"/>
        </w:rPr>
        <w:t> </w:t>
      </w:r>
    </w:p>
    <w:p w:rsidR="00AB2B69" w:rsidRDefault="00AB2B69" w:rsidP="007E2CAF">
      <w:pPr>
        <w:pStyle w:val="BodyText"/>
        <w:spacing w:before="100" w:beforeAutospacing="1" w:after="100" w:afterAutospacing="1"/>
        <w:ind w:left="1080"/>
        <w:rPr>
          <w:color w:val="000000"/>
        </w:rPr>
      </w:pPr>
      <w:r w:rsidRPr="00A16EBA">
        <w:rPr>
          <w:color w:val="000000"/>
        </w:rPr>
        <w:t xml:space="preserve">ATF IOIs conduct </w:t>
      </w:r>
      <w:r>
        <w:rPr>
          <w:color w:val="000000"/>
        </w:rPr>
        <w:t>inspection</w:t>
      </w:r>
      <w:r w:rsidRPr="00A16EBA">
        <w:rPr>
          <w:color w:val="000000"/>
        </w:rPr>
        <w:t xml:space="preserve">s of FFLs to ensure compliance with the law and regulations and assist with business practices designed to improve compliance with the GCA.  </w:t>
      </w:r>
      <w:r>
        <w:rPr>
          <w:color w:val="000000"/>
        </w:rPr>
        <w:t>O</w:t>
      </w:r>
      <w:r w:rsidRPr="00A16EBA">
        <w:rPr>
          <w:color w:val="000000"/>
        </w:rPr>
        <w:t>n rare occasions ATF encounters a licensee who</w:t>
      </w:r>
      <w:r>
        <w:rPr>
          <w:color w:val="000000"/>
        </w:rPr>
        <w:t xml:space="preserve">, despite ATF’s efforts, </w:t>
      </w:r>
      <w:r w:rsidRPr="00A16EBA">
        <w:rPr>
          <w:color w:val="000000"/>
        </w:rPr>
        <w:t xml:space="preserve">fails to comply with the laws and regulations and who demonstrates a lack of commitment to improving his or her business practices.  In such cases where willfulness is demonstrated, ATF’s obligation to protect public safety may require revocation of the </w:t>
      </w:r>
      <w:r w:rsidR="002E3EAB">
        <w:rPr>
          <w:color w:val="000000"/>
        </w:rPr>
        <w:t>Federal</w:t>
      </w:r>
      <w:r w:rsidRPr="00A16EBA">
        <w:rPr>
          <w:color w:val="000000"/>
        </w:rPr>
        <w:t xml:space="preserve"> firearms license.</w:t>
      </w:r>
      <w:r>
        <w:rPr>
          <w:color w:val="000000"/>
        </w:rPr>
        <w:t xml:space="preserve"> </w:t>
      </w:r>
      <w:r w:rsidRPr="00A16EBA">
        <w:rPr>
          <w:color w:val="000000"/>
        </w:rPr>
        <w:t xml:space="preserve"> </w:t>
      </w:r>
    </w:p>
    <w:p w:rsidR="00AB2B69" w:rsidRDefault="00AB2B69" w:rsidP="00AB2B69">
      <w:pPr>
        <w:pStyle w:val="BodyText"/>
        <w:spacing w:before="100" w:beforeAutospacing="1" w:after="100" w:afterAutospacing="1"/>
        <w:ind w:left="1080"/>
      </w:pPr>
      <w:r w:rsidRPr="00A16EBA">
        <w:t xml:space="preserve">ATF regulates the importation of firearms into the United </w:t>
      </w:r>
      <w:r>
        <w:t>State</w:t>
      </w:r>
      <w:r w:rsidRPr="00A16EBA">
        <w:t>s</w:t>
      </w:r>
      <w:r w:rsidR="00F67CE3">
        <w:t>,</w:t>
      </w:r>
      <w:r w:rsidRPr="00A16EBA">
        <w:t xml:space="preserve"> registers importers of firearms, ammunition, firearms parts, and other defense articles pursuant to the import provisions of the </w:t>
      </w:r>
      <w:r w:rsidR="00F67CE3">
        <w:t>AECA</w:t>
      </w:r>
      <w:r w:rsidRPr="00A16EBA">
        <w:t xml:space="preserve">.  ATF also provides technical advice to the public regarding import requirements applicable to firearms or ammunition. </w:t>
      </w:r>
    </w:p>
    <w:p w:rsidR="00504A36" w:rsidRDefault="00D54ECE">
      <w:pPr>
        <w:pStyle w:val="ListParagraph"/>
        <w:numPr>
          <w:ilvl w:val="0"/>
          <w:numId w:val="10"/>
        </w:numPr>
        <w:rPr>
          <w:b/>
          <w:i/>
          <w:sz w:val="28"/>
          <w:szCs w:val="28"/>
        </w:rPr>
      </w:pPr>
      <w:r w:rsidRPr="0025122D">
        <w:rPr>
          <w:b/>
          <w:i/>
          <w:sz w:val="28"/>
          <w:szCs w:val="28"/>
        </w:rPr>
        <w:t>Crimin</w:t>
      </w:r>
      <w:r w:rsidR="002546F2" w:rsidRPr="0025122D">
        <w:rPr>
          <w:b/>
          <w:i/>
          <w:sz w:val="28"/>
          <w:szCs w:val="28"/>
        </w:rPr>
        <w:t>al Groups and Gangs</w:t>
      </w:r>
    </w:p>
    <w:p w:rsidR="005917D2" w:rsidRDefault="005917D2" w:rsidP="005917D2"/>
    <w:p w:rsidR="00F3092C" w:rsidRDefault="00557E63" w:rsidP="00C84185">
      <w:pPr>
        <w:ind w:left="1080"/>
      </w:pPr>
      <w:r>
        <w:rPr>
          <w:b/>
        </w:rPr>
        <w:t>Threat</w:t>
      </w:r>
      <w:r w:rsidR="007D2C4E">
        <w:rPr>
          <w:b/>
        </w:rPr>
        <w:t xml:space="preserve">.  </w:t>
      </w:r>
      <w:r w:rsidR="00C84185" w:rsidRPr="00C84185">
        <w:t>Criminal</w:t>
      </w:r>
      <w:r w:rsidR="00C84185">
        <w:t xml:space="preserve"> groups and gangs threaten </w:t>
      </w:r>
      <w:r w:rsidR="003D7F00">
        <w:t xml:space="preserve">all </w:t>
      </w:r>
      <w:r w:rsidR="00C84185">
        <w:t>communities across the United States.  Gangs remain key distributors of narcotics and are sophisticated and flagrant in their use of firearms for violence and intimidation.</w:t>
      </w:r>
      <w:r w:rsidR="0091420A" w:rsidRPr="005E2A4F">
        <w:t xml:space="preserve"> </w:t>
      </w:r>
      <w:r w:rsidR="005570CA">
        <w:t xml:space="preserve">According to the 2011 </w:t>
      </w:r>
      <w:r w:rsidR="005570CA" w:rsidRPr="00046D81">
        <w:t>National Gang Threat Assessment</w:t>
      </w:r>
      <w:r w:rsidR="005570CA">
        <w:t>, g</w:t>
      </w:r>
      <w:r w:rsidR="005570CA">
        <w:rPr>
          <w:rStyle w:val="blackgraphtx"/>
        </w:rPr>
        <w:t>angs are expanding, evolving and posing an increasing threat to US communities nationwide.</w:t>
      </w:r>
      <w:r w:rsidR="00F62AA6">
        <w:rPr>
          <w:rStyle w:val="blackgraphtx"/>
        </w:rPr>
        <w:t xml:space="preserve">  Gang activity accounts for nearly half of the </w:t>
      </w:r>
      <w:r w:rsidR="00F62AA6">
        <w:rPr>
          <w:rStyle w:val="blackgraphtx"/>
        </w:rPr>
        <w:lastRenderedPageBreak/>
        <w:t>violent crime in most communities.  In several jurisdictions gang activity accounts for 90 percent of violent crime.</w:t>
      </w:r>
    </w:p>
    <w:p w:rsidR="00AB2B69" w:rsidRDefault="00AB2B69" w:rsidP="00C84185">
      <w:pPr>
        <w:ind w:left="1080"/>
        <w:rPr>
          <w:b/>
        </w:rPr>
      </w:pPr>
    </w:p>
    <w:p w:rsidR="0078636B" w:rsidRPr="00BA6374" w:rsidRDefault="00C848E3" w:rsidP="004C72A6">
      <w:pPr>
        <w:ind w:left="1080"/>
      </w:pPr>
      <w:r>
        <w:rPr>
          <w:b/>
        </w:rPr>
        <w:t>Response</w:t>
      </w:r>
      <w:r w:rsidR="004D0552">
        <w:rPr>
          <w:b/>
        </w:rPr>
        <w:t xml:space="preserve">.  </w:t>
      </w:r>
      <w:r w:rsidR="0099466D" w:rsidRPr="00C8720F">
        <w:t>ATF has long recognized that violent gangs represent a threat to public safety in neighborhoods across the United States.</w:t>
      </w:r>
      <w:r w:rsidR="00B3758C">
        <w:t xml:space="preserve">  </w:t>
      </w:r>
      <w:r w:rsidR="001C1073">
        <w:t>ATF’s</w:t>
      </w:r>
      <w:r w:rsidR="0099466D" w:rsidRPr="00046D81">
        <w:t xml:space="preserve"> core jurisdiction--enforcing laws that prohibit the criminal misuse of firearms and explosives, as well as arson--has placed ATF at the center of gang investigations of groups such as the Jamaican </w:t>
      </w:r>
      <w:r w:rsidR="004D5333" w:rsidRPr="00046D81">
        <w:t>posse</w:t>
      </w:r>
      <w:r w:rsidR="004D5333">
        <w:t>s</w:t>
      </w:r>
      <w:r w:rsidR="0099466D" w:rsidRPr="00046D81">
        <w:t xml:space="preserve">, the Crips and Bloods, organized criminal Asian gangs, violent white supremacists, and the Mara Salvatrucha (MS-13).  </w:t>
      </w:r>
      <w:r w:rsidR="00202AF5">
        <w:t xml:space="preserve">As </w:t>
      </w:r>
      <w:r w:rsidR="00882F52">
        <w:t xml:space="preserve">one of </w:t>
      </w:r>
      <w:r w:rsidR="00202AF5">
        <w:t>the primary Federal agenc</w:t>
      </w:r>
      <w:r w:rsidR="00882F52">
        <w:t>ies</w:t>
      </w:r>
      <w:r w:rsidR="00202AF5">
        <w:t xml:space="preserve"> that </w:t>
      </w:r>
      <w:r w:rsidR="0099078E">
        <w:t>focus</w:t>
      </w:r>
      <w:r w:rsidR="00202AF5">
        <w:t xml:space="preserve"> on violent crime</w:t>
      </w:r>
      <w:r w:rsidR="0099466D" w:rsidRPr="00046D81">
        <w:t xml:space="preserve">, ATF </w:t>
      </w:r>
      <w:r w:rsidR="00265432" w:rsidRPr="00265432">
        <w:t xml:space="preserve">targets and works to </w:t>
      </w:r>
      <w:r w:rsidR="00B33736">
        <w:t>disrupt and dismantle</w:t>
      </w:r>
      <w:r w:rsidR="005570CA">
        <w:t xml:space="preserve"> </w:t>
      </w:r>
      <w:r w:rsidR="004D5333">
        <w:t xml:space="preserve">these </w:t>
      </w:r>
      <w:r w:rsidR="005570CA">
        <w:t xml:space="preserve">criminal organizations </w:t>
      </w:r>
      <w:r w:rsidR="00265432" w:rsidRPr="00265432">
        <w:t xml:space="preserve">that individually and collectively pose a great threat to the public safety.  </w:t>
      </w:r>
      <w:r w:rsidR="007478EB">
        <w:t>In addition to enforcing firearms, arson</w:t>
      </w:r>
      <w:r w:rsidR="00F62AA6">
        <w:t>,</w:t>
      </w:r>
      <w:r w:rsidR="007478EB">
        <w:t xml:space="preserve"> and explosives laws, </w:t>
      </w:r>
      <w:r w:rsidR="00265432" w:rsidRPr="00265432">
        <w:t xml:space="preserve">ATF’s anti-gang strategy </w:t>
      </w:r>
      <w:r w:rsidR="007478EB">
        <w:t xml:space="preserve">also </w:t>
      </w:r>
      <w:r w:rsidR="00265432" w:rsidRPr="00265432">
        <w:t xml:space="preserve">includes enforcing </w:t>
      </w:r>
      <w:r w:rsidR="002E3EAB">
        <w:t>Federal</w:t>
      </w:r>
      <w:r w:rsidR="00265432" w:rsidRPr="00265432">
        <w:t xml:space="preserve"> statutes such as the </w:t>
      </w:r>
      <w:r w:rsidR="00F62AA6">
        <w:t xml:space="preserve">RICO </w:t>
      </w:r>
      <w:r w:rsidR="009D6F5C">
        <w:t>A</w:t>
      </w:r>
      <w:r w:rsidR="00F62AA6">
        <w:t xml:space="preserve">ct, </w:t>
      </w:r>
      <w:r w:rsidR="00265432" w:rsidRPr="00265432">
        <w:t>the Hobbs Act</w:t>
      </w:r>
      <w:r w:rsidR="00F62AA6">
        <w:t>,</w:t>
      </w:r>
      <w:r w:rsidR="00265432" w:rsidRPr="00265432">
        <w:t xml:space="preserve"> and the Armed Career Criminal statute.</w:t>
      </w:r>
    </w:p>
    <w:p w:rsidR="0078636B" w:rsidRPr="00BA6374" w:rsidRDefault="0078636B" w:rsidP="004C72A6">
      <w:pPr>
        <w:ind w:left="1080"/>
      </w:pPr>
    </w:p>
    <w:p w:rsidR="0078636B" w:rsidRDefault="00F67CE3" w:rsidP="004C72A6">
      <w:pPr>
        <w:ind w:left="1080"/>
      </w:pPr>
      <w:r>
        <w:t xml:space="preserve">ATF seeks to focus </w:t>
      </w:r>
      <w:r w:rsidR="0062527B" w:rsidRPr="00265432">
        <w:t>its</w:t>
      </w:r>
      <w:r>
        <w:t xml:space="preserve"> extensive and distinct</w:t>
      </w:r>
      <w:r w:rsidR="00265432" w:rsidRPr="00265432">
        <w:t xml:space="preserve"> investigative resources on identifying the urban areas experiencing the most violent crime</w:t>
      </w:r>
      <w:r w:rsidR="004D5333">
        <w:t>.  ATF will then partner</w:t>
      </w:r>
      <w:r>
        <w:t xml:space="preserve"> with other </w:t>
      </w:r>
      <w:r w:rsidR="002E3EAB">
        <w:t>Federal</w:t>
      </w:r>
      <w:r>
        <w:t>, s</w:t>
      </w:r>
      <w:r w:rsidR="00265432" w:rsidRPr="00265432">
        <w:t xml:space="preserve">tate and local law enforcement agencies to weaken and dismantle these armed violent criminal organizations in selected ‘surge’ areas and the “worst of the worst” operating within them.  In these selected </w:t>
      </w:r>
      <w:r w:rsidR="00F62AA6">
        <w:t xml:space="preserve">target </w:t>
      </w:r>
      <w:r w:rsidR="00265432" w:rsidRPr="00265432">
        <w:t>areas A</w:t>
      </w:r>
      <w:r>
        <w:t>TF will, in collaboration with state and l</w:t>
      </w:r>
      <w:r w:rsidR="00265432" w:rsidRPr="00265432">
        <w:t>ocal authorities</w:t>
      </w:r>
      <w:r w:rsidR="0062527B" w:rsidRPr="00265432">
        <w:t>, create</w:t>
      </w:r>
      <w:r w:rsidR="00265432" w:rsidRPr="00265432">
        <w:t xml:space="preserve"> a localized strategy and implementation plan</w:t>
      </w:r>
      <w:r w:rsidR="004D5333">
        <w:t>.</w:t>
      </w:r>
      <w:r w:rsidR="00265432" w:rsidRPr="00265432">
        <w:t xml:space="preserve"> </w:t>
      </w:r>
      <w:r w:rsidR="004D5333">
        <w:t xml:space="preserve">This plan will detail how the </w:t>
      </w:r>
      <w:r w:rsidR="00265432" w:rsidRPr="00265432">
        <w:t xml:space="preserve">violent crime activity will be measured </w:t>
      </w:r>
      <w:r w:rsidR="004D5333">
        <w:t>and use</w:t>
      </w:r>
      <w:r w:rsidR="00265432" w:rsidRPr="00265432">
        <w:t xml:space="preserve"> standardized metrics to ensure that ATF is effectively and efficiently focusing its investigative efforts where they are most</w:t>
      </w:r>
      <w:r w:rsidR="0078636B" w:rsidRPr="005E2A4F">
        <w:t xml:space="preserve"> needed.</w:t>
      </w:r>
    </w:p>
    <w:p w:rsidR="001776A5" w:rsidRDefault="001776A5" w:rsidP="001776A5">
      <w:pPr>
        <w:pStyle w:val="BodyText"/>
        <w:spacing w:before="100" w:beforeAutospacing="1" w:after="100" w:afterAutospacing="1"/>
        <w:ind w:left="1080"/>
      </w:pPr>
      <w:r>
        <w:t>In FY 2012, ATF recommended the prosecution of 432 cases involving 1,429 defendants as a part of its criminal groups and gangs program area.  As of March 2013, 974 of the defendants recommended for prosecution have been arrested, 1,074 indicted, 440 convicted and 176 have been sentenced to prison for an average of 66 months.  Many of these cases are still in process within the judicial system.  For example, 110 cases involving 336 defendants are still in the pre-indictment stage.  An additional 264 of the defendants recommended for prosecution have been convicted but have not yet received their sentences.</w:t>
      </w:r>
    </w:p>
    <w:p w:rsidR="001776A5" w:rsidRDefault="001776A5" w:rsidP="001776A5">
      <w:pPr>
        <w:pStyle w:val="BodyText"/>
        <w:spacing w:before="100" w:beforeAutospacing="1" w:after="100" w:afterAutospacing="1"/>
        <w:ind w:left="1080"/>
      </w:pPr>
      <w:r>
        <w:t>Gang related criminal conduct can be found in investigations under many of ATF’s discrete program areas.  In FY 2012, across all investigative program areas, ATF recommended the prosecution of 1,743 gang related cases (cases that allege criminal activity in furtherance of a gang’s criminal activities) involving 4,106 defendants for prosecution.</w:t>
      </w:r>
    </w:p>
    <w:p w:rsidR="0099466D" w:rsidRDefault="004D11BA" w:rsidP="0099466D">
      <w:pPr>
        <w:ind w:left="1080"/>
      </w:pPr>
      <w:r>
        <w:t>Annually,</w:t>
      </w:r>
      <w:r w:rsidR="0099466D">
        <w:t xml:space="preserve"> </w:t>
      </w:r>
      <w:r w:rsidR="0099466D" w:rsidRPr="002F788D">
        <w:t xml:space="preserve">ATF </w:t>
      </w:r>
      <w:r>
        <w:t>leads many</w:t>
      </w:r>
      <w:r w:rsidR="0099466D" w:rsidRPr="002F788D">
        <w:t xml:space="preserve"> </w:t>
      </w:r>
      <w:r w:rsidR="0099466D">
        <w:t xml:space="preserve">joint law enforcement </w:t>
      </w:r>
      <w:r w:rsidR="0099466D" w:rsidRPr="002F788D">
        <w:t xml:space="preserve">operations </w:t>
      </w:r>
      <w:r w:rsidR="00A810CA">
        <w:t xml:space="preserve">across the country </w:t>
      </w:r>
      <w:r w:rsidR="0099466D">
        <w:t xml:space="preserve">involving over </w:t>
      </w:r>
      <w:r w:rsidR="00675D49">
        <w:t>8</w:t>
      </w:r>
      <w:r w:rsidR="0099466D">
        <w:t xml:space="preserve">00 full-time </w:t>
      </w:r>
      <w:r w:rsidR="00675D49">
        <w:t>joint law enforcement</w:t>
      </w:r>
      <w:r w:rsidR="0099466D">
        <w:t xml:space="preserve"> officers</w:t>
      </w:r>
      <w:r w:rsidR="0099466D" w:rsidRPr="002F788D">
        <w:t xml:space="preserve">.  Each of these </w:t>
      </w:r>
      <w:r w:rsidR="00A810CA">
        <w:t>operations</w:t>
      </w:r>
      <w:r w:rsidR="0099466D">
        <w:t xml:space="preserve"> </w:t>
      </w:r>
      <w:r w:rsidR="0099078E">
        <w:t>i</w:t>
      </w:r>
      <w:r w:rsidR="0099078E" w:rsidRPr="002F788D">
        <w:t>nvolves</w:t>
      </w:r>
      <w:r w:rsidR="0099466D" w:rsidRPr="002F788D">
        <w:t xml:space="preserve"> other </w:t>
      </w:r>
      <w:r w:rsidR="002E3EAB">
        <w:t>Federal</w:t>
      </w:r>
      <w:r w:rsidR="0099466D" w:rsidRPr="002F788D">
        <w:t xml:space="preserve">, </w:t>
      </w:r>
      <w:r w:rsidR="00B83B8F">
        <w:t>State</w:t>
      </w:r>
      <w:r w:rsidR="0099466D" w:rsidRPr="002F788D">
        <w:t xml:space="preserve"> and</w:t>
      </w:r>
      <w:r w:rsidR="0099466D">
        <w:t>/or</w:t>
      </w:r>
      <w:r w:rsidR="0099466D" w:rsidRPr="002F788D">
        <w:t xml:space="preserve"> local law enforcement personnel from its area of responsibility and is designed to address </w:t>
      </w:r>
      <w:r w:rsidR="0099466D">
        <w:t>a</w:t>
      </w:r>
      <w:r w:rsidR="0099466D" w:rsidRPr="002F788D">
        <w:t xml:space="preserve"> unique violent crim</w:t>
      </w:r>
      <w:r w:rsidR="004D5333">
        <w:t>e</w:t>
      </w:r>
      <w:r w:rsidR="0099466D" w:rsidRPr="002F788D">
        <w:t xml:space="preserve"> environment.  ATF</w:t>
      </w:r>
      <w:r w:rsidR="0099466D">
        <w:t>’s</w:t>
      </w:r>
      <w:r w:rsidR="0099466D" w:rsidRPr="002F788D">
        <w:t xml:space="preserve"> </w:t>
      </w:r>
      <w:r w:rsidR="0099466D">
        <w:t xml:space="preserve">vision is to </w:t>
      </w:r>
      <w:r w:rsidR="0099466D" w:rsidRPr="002F788D">
        <w:t xml:space="preserve">incorporate </w:t>
      </w:r>
      <w:r w:rsidR="0099466D">
        <w:t xml:space="preserve">its </w:t>
      </w:r>
      <w:r w:rsidR="0099466D" w:rsidRPr="002F788D">
        <w:t>best practices and lessons learned</w:t>
      </w:r>
      <w:r w:rsidR="004526A2">
        <w:t xml:space="preserve"> in the most successful of </w:t>
      </w:r>
      <w:r w:rsidR="004526A2">
        <w:lastRenderedPageBreak/>
        <w:t>these operations</w:t>
      </w:r>
      <w:r w:rsidR="0099466D" w:rsidRPr="002F788D">
        <w:t xml:space="preserve"> into all ATF</w:t>
      </w:r>
      <w:r w:rsidR="0099466D">
        <w:t xml:space="preserve"> </w:t>
      </w:r>
      <w:r w:rsidR="0099466D" w:rsidRPr="002F788D">
        <w:t xml:space="preserve">led </w:t>
      </w:r>
      <w:r w:rsidR="0099466D">
        <w:t>joint law enforcement operations</w:t>
      </w:r>
      <w:r w:rsidR="0099466D" w:rsidRPr="002F788D">
        <w:t xml:space="preserve"> to further </w:t>
      </w:r>
      <w:r w:rsidR="009D6F5C">
        <w:t>strengthen</w:t>
      </w:r>
      <w:r w:rsidR="0099466D" w:rsidRPr="002F788D">
        <w:t xml:space="preserve"> ATF as </w:t>
      </w:r>
      <w:r w:rsidR="006046B0">
        <w:t xml:space="preserve">one of </w:t>
      </w:r>
      <w:r w:rsidR="0099466D" w:rsidRPr="002F788D">
        <w:t>the primary DOJ component</w:t>
      </w:r>
      <w:r w:rsidR="006046B0">
        <w:t>s</w:t>
      </w:r>
      <w:r w:rsidR="0099466D" w:rsidRPr="002F788D">
        <w:t xml:space="preserve"> addressing violent crime</w:t>
      </w:r>
      <w:r w:rsidR="004526A2">
        <w:t>.</w:t>
      </w:r>
    </w:p>
    <w:p w:rsidR="00C42E55" w:rsidRDefault="00C42E55" w:rsidP="0099466D">
      <w:pPr>
        <w:ind w:left="1080"/>
      </w:pPr>
    </w:p>
    <w:p w:rsidR="0099466D" w:rsidRDefault="004526A2" w:rsidP="00F67CE3">
      <w:pPr>
        <w:ind w:left="1080"/>
      </w:pPr>
      <w:r>
        <w:t>As</w:t>
      </w:r>
      <w:r w:rsidR="0099466D" w:rsidRPr="002F788D">
        <w:t xml:space="preserve"> part of ATF’s </w:t>
      </w:r>
      <w:r w:rsidR="0099466D">
        <w:t>Frontline</w:t>
      </w:r>
      <w:r w:rsidR="0099466D" w:rsidRPr="009F2A76">
        <w:rPr>
          <w:b/>
          <w:i/>
        </w:rPr>
        <w:t xml:space="preserve"> </w:t>
      </w:r>
      <w:r w:rsidR="0022306D">
        <w:t>business model</w:t>
      </w:r>
      <w:r w:rsidR="0099466D" w:rsidRPr="002F788D">
        <w:t xml:space="preserve">, ATF </w:t>
      </w:r>
      <w:r w:rsidR="0099466D">
        <w:t xml:space="preserve">will </w:t>
      </w:r>
      <w:r w:rsidR="0099466D" w:rsidRPr="002F788D">
        <w:t>conduct comprehensive violent crime assessments for each field division</w:t>
      </w:r>
      <w:r w:rsidR="0099466D">
        <w:t xml:space="preserve"> area of responsibility</w:t>
      </w:r>
      <w:r w:rsidR="0099466D" w:rsidRPr="002F788D">
        <w:t xml:space="preserve">, develop </w:t>
      </w:r>
      <w:r w:rsidR="0099466D">
        <w:t xml:space="preserve">intelligence led </w:t>
      </w:r>
      <w:r w:rsidR="0099466D" w:rsidRPr="002F788D">
        <w:t xml:space="preserve">regional enforcement and deployment strategies, and enhance </w:t>
      </w:r>
      <w:r w:rsidR="0099466D">
        <w:t xml:space="preserve">our mission related </w:t>
      </w:r>
      <w:r w:rsidR="0099466D" w:rsidRPr="002F788D">
        <w:t>performance metrics, oversight and accountability.</w:t>
      </w:r>
    </w:p>
    <w:p w:rsidR="0078636B" w:rsidRDefault="0078636B" w:rsidP="0078636B"/>
    <w:p w:rsidR="00504A36" w:rsidRDefault="0078636B">
      <w:pPr>
        <w:pStyle w:val="ListParagraph"/>
        <w:numPr>
          <w:ilvl w:val="0"/>
          <w:numId w:val="10"/>
        </w:numPr>
        <w:rPr>
          <w:b/>
          <w:bCs/>
          <w:i/>
          <w:sz w:val="28"/>
          <w:szCs w:val="28"/>
        </w:rPr>
      </w:pPr>
      <w:r w:rsidRPr="006530F4">
        <w:rPr>
          <w:b/>
          <w:bCs/>
          <w:i/>
          <w:sz w:val="28"/>
          <w:szCs w:val="28"/>
        </w:rPr>
        <w:t>Criminal Use of Explosives</w:t>
      </w:r>
    </w:p>
    <w:p w:rsidR="00597521" w:rsidRPr="00B34E97" w:rsidRDefault="00597521" w:rsidP="00597521">
      <w:pPr>
        <w:pStyle w:val="ListParagraph"/>
        <w:ind w:left="1080"/>
        <w:rPr>
          <w:b/>
          <w:bCs/>
          <w:i/>
          <w:sz w:val="28"/>
          <w:szCs w:val="28"/>
        </w:rPr>
      </w:pPr>
    </w:p>
    <w:p w:rsidR="00557E63" w:rsidRPr="00801C3A" w:rsidRDefault="00557E63" w:rsidP="004C72A6">
      <w:pPr>
        <w:ind w:left="1080"/>
      </w:pPr>
      <w:r w:rsidRPr="00597521">
        <w:rPr>
          <w:b/>
        </w:rPr>
        <w:t>Threat.</w:t>
      </w:r>
      <w:r w:rsidR="00801C3A">
        <w:rPr>
          <w:b/>
        </w:rPr>
        <w:t xml:space="preserve">  </w:t>
      </w:r>
      <w:r w:rsidR="00801C3A">
        <w:t>Criminal bombings and the illegal use of explosives</w:t>
      </w:r>
      <w:r w:rsidR="00F67CE3">
        <w:t xml:space="preserve"> are violent acts that</w:t>
      </w:r>
      <w:r w:rsidR="00801C3A">
        <w:t xml:space="preserve"> are a threat to our </w:t>
      </w:r>
      <w:r w:rsidR="00F67CE3">
        <w:t xml:space="preserve">neighborhoods and communities, as well as to our </w:t>
      </w:r>
      <w:r w:rsidR="00801C3A">
        <w:t>national security at home and abroad.</w:t>
      </w:r>
    </w:p>
    <w:p w:rsidR="008A5A8A" w:rsidRDefault="008A5A8A">
      <w:pPr>
        <w:tabs>
          <w:tab w:val="left" w:pos="2395"/>
        </w:tabs>
        <w:ind w:left="1080"/>
      </w:pPr>
    </w:p>
    <w:p w:rsidR="0099466D" w:rsidRDefault="00494EF9" w:rsidP="0099466D">
      <w:pPr>
        <w:ind w:left="1080"/>
      </w:pPr>
      <w:r>
        <w:rPr>
          <w:b/>
        </w:rPr>
        <w:t>Response</w:t>
      </w:r>
      <w:r w:rsidR="004D0552">
        <w:rPr>
          <w:b/>
        </w:rPr>
        <w:t xml:space="preserve">.  </w:t>
      </w:r>
      <w:r w:rsidR="00CA4FA6">
        <w:t>ATF has aligned its</w:t>
      </w:r>
      <w:r w:rsidR="0099466D">
        <w:t xml:space="preserve"> mission, resources, and expertise with the National Strategy to Counter Improvised Explosives Devices</w:t>
      </w:r>
      <w:r w:rsidR="00F67CE3">
        <w:t xml:space="preserve"> (IEDs)</w:t>
      </w:r>
      <w:r w:rsidR="00CA4FA6">
        <w:t xml:space="preserve">. </w:t>
      </w:r>
      <w:r w:rsidR="0099466D">
        <w:t xml:space="preserve"> ATF is a full founding partner in the National Explosives Task Force (NETF).  The mission of the NETF is to support the provision of explosives ex</w:t>
      </w:r>
      <w:r w:rsidR="00CA4FA6">
        <w:t>pertise to investigations and</w:t>
      </w:r>
      <w:r w:rsidR="0099466D">
        <w:t xml:space="preserve"> ensure coordination of </w:t>
      </w:r>
      <w:r w:rsidR="00F67CE3">
        <w:t xml:space="preserve">a </w:t>
      </w:r>
      <w:r w:rsidR="0099466D">
        <w:t>government effort to deter, prevent, detect, protect against, and respond to the threat p</w:t>
      </w:r>
      <w:r w:rsidR="00F67CE3">
        <w:t xml:space="preserve">osed by terrorist or criminally </w:t>
      </w:r>
      <w:r w:rsidR="0099466D">
        <w:t>inspired attacks using explosives in the United States or against U.S. interests abroad.  The NETF is the central communication and coordination point for</w:t>
      </w:r>
      <w:r w:rsidR="00F67CE3">
        <w:t xml:space="preserve"> ATF and the FBI </w:t>
      </w:r>
      <w:r w:rsidR="0099466D">
        <w:t>for explosives response coordination and intelligence matters.  In part, the NETF acts to de</w:t>
      </w:r>
      <w:r w:rsidR="00B83B8F">
        <w:t>-</w:t>
      </w:r>
      <w:r w:rsidR="0099466D">
        <w:t xml:space="preserve">conflict jurisdictional issues between ATF and the FBI related to explosives investigations and monitors adherence to </w:t>
      </w:r>
      <w:r w:rsidR="00CA4FA6">
        <w:t xml:space="preserve">the </w:t>
      </w:r>
      <w:r w:rsidR="0099466D">
        <w:t>instant notification policy.</w:t>
      </w:r>
    </w:p>
    <w:p w:rsidR="0099466D" w:rsidRDefault="0099466D" w:rsidP="00F00B7C">
      <w:pPr>
        <w:ind w:left="1080"/>
      </w:pPr>
    </w:p>
    <w:p w:rsidR="00F00B7C" w:rsidRPr="002E41A6" w:rsidRDefault="00F00B7C" w:rsidP="00F00B7C">
      <w:pPr>
        <w:ind w:left="1080"/>
      </w:pPr>
      <w:r w:rsidRPr="00DE754E">
        <w:t xml:space="preserve">ATF is the only agency with </w:t>
      </w:r>
      <w:r w:rsidR="003D7F00">
        <w:t xml:space="preserve">the responsibility and </w:t>
      </w:r>
      <w:r w:rsidRPr="00DE754E">
        <w:t xml:space="preserve">authority to inspect the storage of explosives by </w:t>
      </w:r>
      <w:r w:rsidR="002E3EAB">
        <w:t>Federal</w:t>
      </w:r>
      <w:r w:rsidRPr="00DE754E">
        <w:t xml:space="preserve"> explosives licensees and to track thefts, losses, and recoveries of explosives.  </w:t>
      </w:r>
      <w:r>
        <w:t xml:space="preserve">ATF’s </w:t>
      </w:r>
      <w:r w:rsidRPr="00DE754E">
        <w:t>criminal e</w:t>
      </w:r>
      <w:r>
        <w:t xml:space="preserve">nforcement mission, combined with ATF’s </w:t>
      </w:r>
      <w:r w:rsidRPr="00DE754E">
        <w:t xml:space="preserve">regulatory responsibility, </w:t>
      </w:r>
      <w:r>
        <w:t>gives ATF a</w:t>
      </w:r>
      <w:r w:rsidRPr="00DE754E">
        <w:t xml:space="preserve"> </w:t>
      </w:r>
      <w:r w:rsidR="00494EF9">
        <w:t xml:space="preserve">comprehensive </w:t>
      </w:r>
      <w:r w:rsidRPr="00DE754E">
        <w:t>perspective on activity involving explosives in this country.  This perspective allows ATF to impact public safety through the identification and correction of explosives storage violations that, unchecked, could pose significant risk to the public</w:t>
      </w:r>
      <w:r w:rsidR="00CA4FA6">
        <w:t xml:space="preserve">.  It also allows ATF to successfully </w:t>
      </w:r>
      <w:r w:rsidRPr="00DE754E">
        <w:t xml:space="preserve">investigate </w:t>
      </w:r>
      <w:r>
        <w:t xml:space="preserve">and prosecute </w:t>
      </w:r>
      <w:r w:rsidRPr="00DE754E">
        <w:t xml:space="preserve">those who use explosives for criminal purposes, and to </w:t>
      </w:r>
      <w:r>
        <w:t xml:space="preserve">provide unique explosives-related training to a wide audience of ATF personnel; other </w:t>
      </w:r>
      <w:r w:rsidR="002E3EAB">
        <w:t>Federal</w:t>
      </w:r>
      <w:r>
        <w:t xml:space="preserve">, </w:t>
      </w:r>
      <w:r w:rsidR="00B83B8F">
        <w:t>State</w:t>
      </w:r>
      <w:r>
        <w:t xml:space="preserve"> and local law enforcement personnel; U.S. military personnel; and many international law enforcement and military explosives specialists.</w:t>
      </w:r>
    </w:p>
    <w:p w:rsidR="00F45248" w:rsidRDefault="00F45248" w:rsidP="00F45248">
      <w:pPr>
        <w:spacing w:before="100" w:beforeAutospacing="1" w:after="100" w:afterAutospacing="1"/>
        <w:ind w:left="1080"/>
      </w:pPr>
      <w:r w:rsidRPr="00762F09">
        <w:t xml:space="preserve">ATF </w:t>
      </w:r>
      <w:r>
        <w:t>guides and instructs</w:t>
      </w:r>
      <w:r w:rsidRPr="00762F09">
        <w:t xml:space="preserve"> public safety officials, explosives industry members, and </w:t>
      </w:r>
      <w:r>
        <w:t>state</w:t>
      </w:r>
      <w:r w:rsidRPr="00762F09">
        <w:t xml:space="preserve"> governments on all aspects of explosives law, including the Safe Explosives Act</w:t>
      </w:r>
      <w:r>
        <w:t xml:space="preserve"> (SEA)</w:t>
      </w:r>
      <w:r w:rsidR="00CA4FA6">
        <w:t>.  This law is intended to</w:t>
      </w:r>
      <w:r w:rsidRPr="00762F09">
        <w:t xml:space="preserve"> make r</w:t>
      </w:r>
      <w:r w:rsidR="00CA4FA6">
        <w:t>egulation less burdensome and</w:t>
      </w:r>
      <w:r w:rsidRPr="00762F09">
        <w:t xml:space="preserve"> promote compliance with </w:t>
      </w:r>
      <w:r w:rsidR="002E3EAB">
        <w:t>Federal</w:t>
      </w:r>
      <w:r w:rsidRPr="00762F09">
        <w:t xml:space="preserve"> law.</w:t>
      </w:r>
      <w:r>
        <w:t xml:space="preserve">  </w:t>
      </w:r>
      <w:r w:rsidRPr="00762F09">
        <w:t xml:space="preserve">ATF’s mission </w:t>
      </w:r>
      <w:r w:rsidR="00CA4FA6">
        <w:t>extends to ensuring</w:t>
      </w:r>
      <w:r w:rsidRPr="00762F09">
        <w:t xml:space="preserve"> only qualified and legitimate applicants enter the explosives industry and that licensees </w:t>
      </w:r>
      <w:r>
        <w:t>keep</w:t>
      </w:r>
      <w:r w:rsidRPr="00762F09">
        <w:t xml:space="preserve"> proper </w:t>
      </w:r>
      <w:r>
        <w:t>records</w:t>
      </w:r>
      <w:r w:rsidRPr="00762F09">
        <w:t xml:space="preserve"> and </w:t>
      </w:r>
      <w:r>
        <w:t xml:space="preserve">use sound </w:t>
      </w:r>
      <w:r w:rsidRPr="00762F09">
        <w:t xml:space="preserve">business practices to help prevent theft, explosives incidents, </w:t>
      </w:r>
      <w:r>
        <w:t>or the diversion</w:t>
      </w:r>
      <w:r w:rsidRPr="00762F09">
        <w:t xml:space="preserve"> of explosives </w:t>
      </w:r>
      <w:r>
        <w:t>to</w:t>
      </w:r>
      <w:r w:rsidRPr="00762F09">
        <w:t xml:space="preserve"> criminal or terrorist purposes.  </w:t>
      </w:r>
    </w:p>
    <w:p w:rsidR="00C8715B" w:rsidRDefault="00C8715B" w:rsidP="00C8715B">
      <w:pPr>
        <w:spacing w:before="100" w:beforeAutospacing="1" w:after="100" w:afterAutospacing="1"/>
        <w:ind w:left="1080"/>
      </w:pPr>
      <w:r w:rsidRPr="00762F09">
        <w:lastRenderedPageBreak/>
        <w:t xml:space="preserve">ATF’s </w:t>
      </w:r>
      <w:r w:rsidR="00F67CE3">
        <w:t>CESs</w:t>
      </w:r>
      <w:r w:rsidRPr="00762F09">
        <w:t xml:space="preserve"> </w:t>
      </w:r>
      <w:r>
        <w:t>conduct</w:t>
      </w:r>
      <w:r w:rsidRPr="00762F09">
        <w:t xml:space="preserve"> expert explosives crime scene examinations</w:t>
      </w:r>
      <w:r>
        <w:t>;</w:t>
      </w:r>
      <w:r w:rsidRPr="00762F09">
        <w:t xml:space="preserve"> lend expertise in support of security measures at special events</w:t>
      </w:r>
      <w:r>
        <w:t>;</w:t>
      </w:r>
      <w:r w:rsidRPr="00762F09">
        <w:t xml:space="preserve"> and assist ATF’s law enforcement counterparts at the </w:t>
      </w:r>
      <w:r w:rsidR="002E3EAB">
        <w:t>Federal</w:t>
      </w:r>
      <w:r w:rsidRPr="00762F09">
        <w:t xml:space="preserve">, </w:t>
      </w:r>
      <w:r>
        <w:t>state</w:t>
      </w:r>
      <w:r w:rsidRPr="00762F09">
        <w:t>, local, and international levels in investigat</w:t>
      </w:r>
      <w:r>
        <w:t>ions of</w:t>
      </w:r>
      <w:r w:rsidRPr="00762F09">
        <w:t xml:space="preserve"> explosives-related incidents.  ATF’s CESs acquired expertise in post-blast analysis through</w:t>
      </w:r>
      <w:r w:rsidR="00173104">
        <w:t xml:space="preserve"> specific training and</w:t>
      </w:r>
      <w:r w:rsidRPr="00762F09">
        <w:t xml:space="preserve"> years of experience in the field.  Their training consists of a multiphase program</w:t>
      </w:r>
      <w:r w:rsidR="00173104">
        <w:t>,</w:t>
      </w:r>
      <w:r>
        <w:t xml:space="preserve"> includ</w:t>
      </w:r>
      <w:r w:rsidR="00173104">
        <w:t>ing</w:t>
      </w:r>
      <w:r>
        <w:t xml:space="preserve"> </w:t>
      </w:r>
      <w:r w:rsidRPr="00081B48">
        <w:t>a two-year</w:t>
      </w:r>
      <w:r w:rsidR="007673FF">
        <w:t xml:space="preserve"> assessment</w:t>
      </w:r>
      <w:r w:rsidR="00173104">
        <w:t xml:space="preserve"> period</w:t>
      </w:r>
      <w:r w:rsidR="00992AB9">
        <w:t>.  This timeframe</w:t>
      </w:r>
      <w:r w:rsidRPr="00762F09">
        <w:t xml:space="preserve"> </w:t>
      </w:r>
      <w:r w:rsidR="00992AB9">
        <w:t>ensures</w:t>
      </w:r>
      <w:r>
        <w:t xml:space="preserve"> </w:t>
      </w:r>
      <w:r w:rsidRPr="00762F09">
        <w:t>their continued proficiency in all aspects of explosives handling, instruction, identification, demonstration, and destruction, as well as training in the chemistry of pyrotechnics, hazardous materials incident response operations, advanced explosives destruction techniques, and advanced IEDs.</w:t>
      </w:r>
    </w:p>
    <w:p w:rsidR="00C8715B" w:rsidRDefault="00C8715B" w:rsidP="00C8715B">
      <w:pPr>
        <w:spacing w:before="100" w:beforeAutospacing="1" w:after="100" w:afterAutospacing="1"/>
        <w:ind w:left="1080"/>
      </w:pPr>
      <w:r w:rsidRPr="0032011B">
        <w:t>E</w:t>
      </w:r>
      <w:r w:rsidR="00C84185">
        <w:t>xplosives Enforcement Officers (E</w:t>
      </w:r>
      <w:r w:rsidRPr="0032011B">
        <w:t>EOs</w:t>
      </w:r>
      <w:r w:rsidR="00C84185">
        <w:t>)</w:t>
      </w:r>
      <w:r w:rsidRPr="0032011B">
        <w:t xml:space="preserve"> are ATF’s explosives technology experts. They have extensive knowledge and experience in explosives, explosives weapons systems, and bomb disposal.  They render explosive devices safe and/or disassemble explosive and incendiary devices</w:t>
      </w:r>
      <w:r w:rsidR="00992AB9">
        <w:t xml:space="preserve">.  Likewise, the EEOs </w:t>
      </w:r>
      <w:r w:rsidRPr="0032011B">
        <w:rPr>
          <w:u w:color="FF0000"/>
        </w:rPr>
        <w:t>author destructive device</w:t>
      </w:r>
      <w:r w:rsidR="00F473DC">
        <w:rPr>
          <w:u w:color="FF0000"/>
        </w:rPr>
        <w:t xml:space="preserve"> </w:t>
      </w:r>
      <w:r w:rsidRPr="0032011B">
        <w:rPr>
          <w:u w:color="FF0000"/>
        </w:rPr>
        <w:t>determinations,</w:t>
      </w:r>
      <w:r w:rsidRPr="0032011B">
        <w:t xml:space="preserve"> coordinate with ATF special agents and prosecutors on strategy re</w:t>
      </w:r>
      <w:r>
        <w:t>lated to device determinations</w:t>
      </w:r>
      <w:r w:rsidR="004F5C66">
        <w:t>,</w:t>
      </w:r>
      <w:r w:rsidRPr="0032011B">
        <w:t xml:space="preserve"> and give expert testimony in support of such determinations in </w:t>
      </w:r>
      <w:r w:rsidR="002E3EAB">
        <w:t>Federal</w:t>
      </w:r>
      <w:r w:rsidRPr="0032011B">
        <w:t xml:space="preserve"> and state criminal court proceedings.  EEOs provide expert analysis</w:t>
      </w:r>
      <w:r w:rsidR="00644EE6">
        <w:t>,</w:t>
      </w:r>
      <w:r w:rsidRPr="0032011B">
        <w:t xml:space="preserve"> onsite investigative technical assistance at bomb scenes</w:t>
      </w:r>
      <w:r w:rsidR="00E16C45">
        <w:t>,</w:t>
      </w:r>
      <w:r w:rsidRPr="0032011B">
        <w:t xml:space="preserve"> and classify explosives materials for the industry.  Determining what constitutes an explosive, incendiary, or destructive device under </w:t>
      </w:r>
      <w:r w:rsidR="002E3EAB">
        <w:t>Federal</w:t>
      </w:r>
      <w:r w:rsidRPr="0032011B">
        <w:t xml:space="preserve"> explosives laws and the NFA involves highly technical examinations and analysis.  EEOs also provide assistance and training in all aspects of explosives handling, usage, and destruction; threat vulnerability assessments; and all other explosives-related matters for ATF, </w:t>
      </w:r>
      <w:r w:rsidR="002E3EAB">
        <w:t>Federal</w:t>
      </w:r>
      <w:r w:rsidRPr="0032011B">
        <w:t>, state, local and international law enforcement agencies.</w:t>
      </w:r>
    </w:p>
    <w:p w:rsidR="0036334D" w:rsidRDefault="006530F4" w:rsidP="006530F4">
      <w:pPr>
        <w:ind w:left="1080"/>
      </w:pPr>
      <w:r>
        <w:t xml:space="preserve">The Combined Explosives Investigation Team (CEIT) is a joint US/Mexico effort </w:t>
      </w:r>
      <w:r w:rsidR="00992AB9">
        <w:t xml:space="preserve">in </w:t>
      </w:r>
      <w:r>
        <w:t>which ATF is the lead U.S. law enforcement organization. The CEIT is instrumental in assisting the Go</w:t>
      </w:r>
      <w:r w:rsidR="00992AB9">
        <w:t xml:space="preserve">vernment of </w:t>
      </w:r>
      <w:r>
        <w:t>M</w:t>
      </w:r>
      <w:r w:rsidR="00992AB9">
        <w:t>exico</w:t>
      </w:r>
      <w:r>
        <w:t xml:space="preserve"> in increasing its capacity to identify explosives, respond to bombings and explosives seizures</w:t>
      </w:r>
      <w:r w:rsidR="00644EE6">
        <w:t>,</w:t>
      </w:r>
      <w:r>
        <w:t xml:space="preserve"> and conduct post blast investigations to combat the use of explosives by organized crime. Since becoming operational in July, 2009</w:t>
      </w:r>
      <w:r w:rsidR="00644EE6">
        <w:t>,</w:t>
      </w:r>
      <w:r>
        <w:t xml:space="preserve"> there have been </w:t>
      </w:r>
      <w:r w:rsidR="00CB701E">
        <w:t>73</w:t>
      </w:r>
      <w:r w:rsidR="00C0624B">
        <w:t xml:space="preserve"> </w:t>
      </w:r>
      <w:r w:rsidR="0085258B">
        <w:t>CEIT m</w:t>
      </w:r>
      <w:r>
        <w:t xml:space="preserve">issions in Mexico, including </w:t>
      </w:r>
      <w:r w:rsidR="00CB701E">
        <w:t>16</w:t>
      </w:r>
      <w:r w:rsidR="00C0624B">
        <w:t xml:space="preserve"> </w:t>
      </w:r>
      <w:r w:rsidR="0085258B">
        <w:t>post b</w:t>
      </w:r>
      <w:r>
        <w:t xml:space="preserve">last </w:t>
      </w:r>
      <w:r w:rsidR="0085258B">
        <w:t>investigations of vehicle b</w:t>
      </w:r>
      <w:r>
        <w:t xml:space="preserve">orne </w:t>
      </w:r>
      <w:r w:rsidR="0085258B">
        <w:t>IEDs</w:t>
      </w:r>
      <w:r>
        <w:t xml:space="preserve">.  ATF has trained </w:t>
      </w:r>
      <w:r w:rsidR="00CB701E">
        <w:t>257 (eight training courses)</w:t>
      </w:r>
      <w:r w:rsidR="00C0624B">
        <w:t xml:space="preserve"> </w:t>
      </w:r>
      <w:r>
        <w:t>members of the CEIT and other Mexican officials in post blast investigation and explosives identification at the ATF National Center for Explosives Training and Research</w:t>
      </w:r>
      <w:r w:rsidR="0085258B">
        <w:t xml:space="preserve"> (NCETR)</w:t>
      </w:r>
      <w:r>
        <w:t xml:space="preserve"> at Redstone Arsenal, Alabama. CEIT training provided to </w:t>
      </w:r>
      <w:r w:rsidR="0085258B">
        <w:t xml:space="preserve">Government of Mexico </w:t>
      </w:r>
      <w:r>
        <w:t xml:space="preserve">law enforcement </w:t>
      </w:r>
      <w:r w:rsidR="00915D59">
        <w:t>officers</w:t>
      </w:r>
      <w:r>
        <w:t xml:space="preserve"> ensures that Mexican law enforcement </w:t>
      </w:r>
      <w:r w:rsidR="0085258B">
        <w:t>is</w:t>
      </w:r>
      <w:r>
        <w:t xml:space="preserve"> prepared to collect evidence</w:t>
      </w:r>
      <w:r w:rsidR="00F90CFF">
        <w:t>,</w:t>
      </w:r>
      <w:r>
        <w:t xml:space="preserve"> and investigate explosive-related incidents in the face of ongoing use of grenades and other military ordinance by drug trafficking organizations. </w:t>
      </w:r>
    </w:p>
    <w:p w:rsidR="001776A5" w:rsidRDefault="001776A5">
      <w:r>
        <w:br w:type="page"/>
      </w:r>
    </w:p>
    <w:p w:rsidR="00FF5A9E" w:rsidRDefault="00FF5A9E" w:rsidP="006530F4">
      <w:pPr>
        <w:ind w:left="1080"/>
      </w:pPr>
    </w:p>
    <w:p w:rsidR="00504A36" w:rsidRDefault="00FF5A9E">
      <w:pPr>
        <w:pStyle w:val="ListParagraph"/>
        <w:numPr>
          <w:ilvl w:val="0"/>
          <w:numId w:val="10"/>
        </w:numPr>
        <w:rPr>
          <w:b/>
          <w:bCs/>
          <w:i/>
          <w:sz w:val="28"/>
          <w:szCs w:val="28"/>
        </w:rPr>
      </w:pPr>
      <w:r>
        <w:t xml:space="preserve"> </w:t>
      </w:r>
      <w:r w:rsidR="0078636B" w:rsidRPr="00FF5A9E">
        <w:rPr>
          <w:b/>
          <w:bCs/>
          <w:i/>
          <w:sz w:val="28"/>
          <w:szCs w:val="28"/>
        </w:rPr>
        <w:t>Diversion of Explosives from Legal Commerce – Safeguarding the Explosives Industry Through Regulation and Safe Storage of Materials</w:t>
      </w:r>
    </w:p>
    <w:p w:rsidR="00597521" w:rsidRPr="00597521" w:rsidRDefault="00597521" w:rsidP="00597521">
      <w:pPr>
        <w:ind w:left="720"/>
        <w:rPr>
          <w:b/>
        </w:rPr>
      </w:pPr>
    </w:p>
    <w:p w:rsidR="00597521" w:rsidRPr="00597521" w:rsidRDefault="00597521" w:rsidP="004C72A6">
      <w:pPr>
        <w:ind w:left="1080"/>
        <w:rPr>
          <w:b/>
        </w:rPr>
      </w:pPr>
      <w:r w:rsidRPr="00597521">
        <w:rPr>
          <w:b/>
        </w:rPr>
        <w:t>Threat.</w:t>
      </w:r>
      <w:r w:rsidR="00DB445F">
        <w:rPr>
          <w:b/>
        </w:rPr>
        <w:t xml:space="preserve"> </w:t>
      </w:r>
      <w:r w:rsidR="00DB445F" w:rsidRPr="00FF5A9E">
        <w:t xml:space="preserve"> </w:t>
      </w:r>
      <w:r w:rsidR="0085258B" w:rsidRPr="00FF5A9E">
        <w:t>E</w:t>
      </w:r>
      <w:r w:rsidR="00762207" w:rsidRPr="00FF5A9E">
        <w:t>xplosives</w:t>
      </w:r>
      <w:r w:rsidR="00762207">
        <w:t xml:space="preserve"> or explosives materia</w:t>
      </w:r>
      <w:r w:rsidR="00992AB9">
        <w:t>ls</w:t>
      </w:r>
      <w:r w:rsidR="003D7F00">
        <w:t xml:space="preserve"> diverted from legal commerce </w:t>
      </w:r>
      <w:r w:rsidR="00762207">
        <w:t>into the hands of criminal groups and gangs or terrorist organizations</w:t>
      </w:r>
      <w:r w:rsidR="0085258B">
        <w:t xml:space="preserve"> constitute a tangible threat to legal commerce and public safety</w:t>
      </w:r>
      <w:r w:rsidR="00762207">
        <w:t xml:space="preserve">. </w:t>
      </w:r>
    </w:p>
    <w:p w:rsidR="008A5A8A" w:rsidRDefault="00597521">
      <w:pPr>
        <w:tabs>
          <w:tab w:val="left" w:pos="2395"/>
        </w:tabs>
        <w:ind w:left="1080"/>
      </w:pPr>
      <w:r>
        <w:tab/>
      </w:r>
    </w:p>
    <w:p w:rsidR="00C8715B" w:rsidRPr="001B1BB0" w:rsidRDefault="00494EF9" w:rsidP="004D0552">
      <w:pPr>
        <w:ind w:left="1080"/>
      </w:pPr>
      <w:r>
        <w:rPr>
          <w:b/>
        </w:rPr>
        <w:t>Response</w:t>
      </w:r>
      <w:r w:rsidR="004D0552">
        <w:rPr>
          <w:b/>
        </w:rPr>
        <w:t xml:space="preserve">.  </w:t>
      </w:r>
      <w:r w:rsidR="002E3EAB">
        <w:t>Federal</w:t>
      </w:r>
      <w:r w:rsidR="00C8715B" w:rsidRPr="00762F09">
        <w:t xml:space="preserve"> law requires that any manufacturer, importer, or dealer of explosives must have a </w:t>
      </w:r>
      <w:r w:rsidR="006E726A">
        <w:t>Federal Explosives License (</w:t>
      </w:r>
      <w:r w:rsidR="00992AB9">
        <w:t>FEL</w:t>
      </w:r>
      <w:r w:rsidR="006E726A">
        <w:t>)</w:t>
      </w:r>
      <w:r w:rsidR="00F90CFF">
        <w:t xml:space="preserve"> </w:t>
      </w:r>
      <w:r w:rsidR="00C8715B" w:rsidRPr="00762F09">
        <w:t xml:space="preserve">and anyone who acquires for use or transports explosives must hold a </w:t>
      </w:r>
      <w:r w:rsidR="002E3EAB">
        <w:t>Federal</w:t>
      </w:r>
      <w:r w:rsidR="00C8715B" w:rsidRPr="00762F09">
        <w:t xml:space="preserve"> explosives permit or license.  ATF’s criminal and regulatory programs are a key means by which the U.S. Government enforces </w:t>
      </w:r>
      <w:r w:rsidR="002E3EAB">
        <w:t>Federal</w:t>
      </w:r>
      <w:r w:rsidR="00C8715B" w:rsidRPr="00762F09">
        <w:t xml:space="preserve"> explosives laws and prevents criminals and terrorists from obtaining explosives for use in bombings.  </w:t>
      </w:r>
    </w:p>
    <w:p w:rsidR="00992AB9" w:rsidRDefault="0085258B" w:rsidP="00FF5A9E">
      <w:pPr>
        <w:pStyle w:val="BodyText"/>
        <w:spacing w:before="100" w:beforeAutospacing="1" w:after="100" w:afterAutospacing="1"/>
        <w:ind w:left="1080"/>
      </w:pPr>
      <w:r>
        <w:t xml:space="preserve">On a 3-year cycle, as required by the SEA, </w:t>
      </w:r>
      <w:r w:rsidR="00C8715B" w:rsidRPr="0032011B">
        <w:t xml:space="preserve">ATF’s IOIs conduct compliance inspections of </w:t>
      </w:r>
      <w:r w:rsidR="00BA05C9">
        <w:t>approximately</w:t>
      </w:r>
      <w:r w:rsidR="00C8715B" w:rsidRPr="0032011B">
        <w:t xml:space="preserve"> 11,000 explosives licensees and permittees nationwide to detect, investigate and prevent diversion, and promote the safe and secure storage of explosives.  The </w:t>
      </w:r>
      <w:r w:rsidR="002E3EAB">
        <w:t>Federal</w:t>
      </w:r>
      <w:r w:rsidR="00C8715B" w:rsidRPr="0032011B">
        <w:t xml:space="preserve"> Explosives Licensing Center (FELC) screens license and permit applicants, in conjunction with the FBI, to ensure applicants’ eligibility to lawfully receive and use explosives.  It further screens employees of such licensees and permittees to ensure prohibited persons do not have access to explosives.  ATF established standards applicable to all licensees and permittees for the storage of explosives materials and related record keep</w:t>
      </w:r>
      <w:r w:rsidR="00992AB9">
        <w:t>ing requirements, which helps</w:t>
      </w:r>
      <w:r w:rsidR="00C8715B" w:rsidRPr="0032011B">
        <w:t xml:space="preserve"> ensure that explosives are properly accounted for and tracked. </w:t>
      </w:r>
    </w:p>
    <w:p w:rsidR="00AB2B69" w:rsidRPr="00C42906" w:rsidRDefault="00095F8D" w:rsidP="00AB2B69">
      <w:pPr>
        <w:ind w:left="1080"/>
      </w:pPr>
      <w:r w:rsidRPr="00C42906">
        <w:t>In FY 201</w:t>
      </w:r>
      <w:r w:rsidR="00BA05C9" w:rsidRPr="00C42906">
        <w:t>2</w:t>
      </w:r>
      <w:r w:rsidRPr="00C42906">
        <w:t>, ATF:</w:t>
      </w:r>
    </w:p>
    <w:p w:rsidR="00FF5A9E" w:rsidRPr="00C0624B" w:rsidRDefault="00FF5A9E" w:rsidP="00AB2B69">
      <w:pPr>
        <w:ind w:left="1080"/>
        <w:rPr>
          <w:highlight w:val="yellow"/>
        </w:rPr>
      </w:pPr>
    </w:p>
    <w:p w:rsidR="00504A36" w:rsidRDefault="00BA05C9">
      <w:pPr>
        <w:pStyle w:val="ListParagraph"/>
        <w:numPr>
          <w:ilvl w:val="0"/>
          <w:numId w:val="8"/>
        </w:numPr>
        <w:ind w:right="720"/>
      </w:pPr>
      <w:r w:rsidRPr="00AC44CC">
        <w:t xml:space="preserve">Conducted </w:t>
      </w:r>
      <w:r w:rsidR="00675D49" w:rsidRPr="00AC44CC">
        <w:t xml:space="preserve">5,390 </w:t>
      </w:r>
      <w:r w:rsidRPr="00AC44CC">
        <w:t>explosives licensee and permittee compliance inspections that identified and corrected 1,</w:t>
      </w:r>
      <w:r w:rsidR="00675D49" w:rsidRPr="00AC44CC">
        <w:t>528</w:t>
      </w:r>
      <w:r w:rsidRPr="00AC44CC">
        <w:t xml:space="preserve"> public safety violations;</w:t>
      </w:r>
    </w:p>
    <w:p w:rsidR="00504A36" w:rsidRDefault="00BA05C9">
      <w:pPr>
        <w:pStyle w:val="ListParagraph"/>
        <w:numPr>
          <w:ilvl w:val="0"/>
          <w:numId w:val="8"/>
        </w:numPr>
        <w:ind w:right="720"/>
      </w:pPr>
      <w:r w:rsidRPr="00AC44CC">
        <w:t>Completed 1,</w:t>
      </w:r>
      <w:r w:rsidR="00675D49" w:rsidRPr="00AC44CC">
        <w:t>249</w:t>
      </w:r>
      <w:r w:rsidRPr="00AC44CC">
        <w:t xml:space="preserve"> FEL applicant inspections;</w:t>
      </w:r>
    </w:p>
    <w:p w:rsidR="00504A36" w:rsidRDefault="00BA05C9">
      <w:pPr>
        <w:pStyle w:val="ListParagraph"/>
        <w:numPr>
          <w:ilvl w:val="0"/>
          <w:numId w:val="8"/>
        </w:numPr>
        <w:ind w:right="720"/>
      </w:pPr>
      <w:r w:rsidRPr="00AC44CC">
        <w:t>Processed 4,222 FEL applications (new &amp; renewal);</w:t>
      </w:r>
    </w:p>
    <w:p w:rsidR="00504A36" w:rsidRDefault="00BA05C9">
      <w:pPr>
        <w:pStyle w:val="ListParagraph"/>
        <w:numPr>
          <w:ilvl w:val="0"/>
          <w:numId w:val="8"/>
        </w:numPr>
        <w:ind w:right="720"/>
      </w:pPr>
      <w:r w:rsidRPr="00AC44CC">
        <w:t>Completed 77,965 explosives employee/possessor background checks; and,</w:t>
      </w:r>
    </w:p>
    <w:p w:rsidR="00504A36" w:rsidRDefault="00BA05C9">
      <w:pPr>
        <w:pStyle w:val="ListParagraph"/>
        <w:numPr>
          <w:ilvl w:val="0"/>
          <w:numId w:val="8"/>
        </w:numPr>
        <w:ind w:right="720"/>
      </w:pPr>
      <w:r w:rsidRPr="00AC44CC">
        <w:t>Completed 12,188 explosives responsible persons background checks.</w:t>
      </w:r>
    </w:p>
    <w:p w:rsidR="00AB2B69" w:rsidRPr="00AC44CC" w:rsidRDefault="00AB2B69" w:rsidP="00AC44CC">
      <w:pPr>
        <w:rPr>
          <w:b/>
          <w:i/>
          <w:sz w:val="28"/>
          <w:szCs w:val="28"/>
        </w:rPr>
      </w:pPr>
    </w:p>
    <w:p w:rsidR="00504A36" w:rsidRDefault="0078636B">
      <w:pPr>
        <w:pStyle w:val="ListParagraph"/>
        <w:numPr>
          <w:ilvl w:val="0"/>
          <w:numId w:val="10"/>
        </w:numPr>
        <w:rPr>
          <w:b/>
          <w:i/>
          <w:sz w:val="28"/>
          <w:szCs w:val="28"/>
        </w:rPr>
      </w:pPr>
      <w:r w:rsidRPr="00B34E97">
        <w:rPr>
          <w:b/>
          <w:bCs/>
          <w:i/>
          <w:sz w:val="28"/>
          <w:szCs w:val="28"/>
        </w:rPr>
        <w:t>Criminal Use of Fire</w:t>
      </w:r>
    </w:p>
    <w:p w:rsidR="00B34E97" w:rsidRDefault="00B34E97" w:rsidP="00957220">
      <w:pPr>
        <w:pStyle w:val="PlainText"/>
        <w:rPr>
          <w:rFonts w:ascii="Times New Roman" w:hAnsi="Times New Roman"/>
          <w:sz w:val="24"/>
          <w:szCs w:val="24"/>
        </w:rPr>
      </w:pPr>
    </w:p>
    <w:p w:rsidR="00B33AA9" w:rsidRDefault="00597521">
      <w:pPr>
        <w:pStyle w:val="PlainText"/>
        <w:tabs>
          <w:tab w:val="left" w:pos="8100"/>
        </w:tabs>
        <w:ind w:left="1080" w:right="1260"/>
        <w:rPr>
          <w:b/>
        </w:rPr>
      </w:pPr>
      <w:r w:rsidRPr="00597521">
        <w:rPr>
          <w:rFonts w:ascii="Times New Roman" w:hAnsi="Times New Roman"/>
          <w:b/>
          <w:sz w:val="24"/>
          <w:szCs w:val="24"/>
        </w:rPr>
        <w:t xml:space="preserve">Threat.  </w:t>
      </w:r>
      <w:r w:rsidR="00A17277" w:rsidRPr="004343FB">
        <w:rPr>
          <w:rFonts w:ascii="Times New Roman" w:hAnsi="Times New Roman"/>
          <w:sz w:val="24"/>
          <w:szCs w:val="24"/>
        </w:rPr>
        <w:t>Loss of lives and property due to arson</w:t>
      </w:r>
      <w:r w:rsidR="00801C3A">
        <w:rPr>
          <w:rFonts w:ascii="Times New Roman" w:hAnsi="Times New Roman"/>
          <w:sz w:val="24"/>
          <w:szCs w:val="24"/>
        </w:rPr>
        <w:t xml:space="preserve"> remains </w:t>
      </w:r>
      <w:r w:rsidR="00494EF9">
        <w:rPr>
          <w:rFonts w:ascii="Times New Roman" w:hAnsi="Times New Roman"/>
          <w:sz w:val="24"/>
          <w:szCs w:val="24"/>
        </w:rPr>
        <w:t xml:space="preserve">a </w:t>
      </w:r>
      <w:r w:rsidR="00801C3A">
        <w:rPr>
          <w:rFonts w:ascii="Times New Roman" w:hAnsi="Times New Roman"/>
          <w:sz w:val="24"/>
          <w:szCs w:val="24"/>
        </w:rPr>
        <w:t>significant</w:t>
      </w:r>
      <w:r w:rsidR="00953D47">
        <w:rPr>
          <w:rFonts w:ascii="Times New Roman" w:hAnsi="Times New Roman"/>
          <w:sz w:val="24"/>
          <w:szCs w:val="24"/>
        </w:rPr>
        <w:t xml:space="preserve"> </w:t>
      </w:r>
      <w:r w:rsidR="00494EF9">
        <w:rPr>
          <w:rFonts w:ascii="Times New Roman" w:hAnsi="Times New Roman"/>
          <w:sz w:val="24"/>
          <w:szCs w:val="24"/>
        </w:rPr>
        <w:t>threat</w:t>
      </w:r>
      <w:r w:rsidR="00992AB9">
        <w:rPr>
          <w:rFonts w:ascii="Times New Roman" w:hAnsi="Times New Roman"/>
          <w:sz w:val="24"/>
          <w:szCs w:val="24"/>
        </w:rPr>
        <w:t xml:space="preserve"> to our communities</w:t>
      </w:r>
      <w:r w:rsidR="0085258B">
        <w:rPr>
          <w:rFonts w:ascii="Times New Roman" w:hAnsi="Times New Roman"/>
          <w:sz w:val="24"/>
          <w:szCs w:val="24"/>
        </w:rPr>
        <w:t>, the</w:t>
      </w:r>
      <w:r w:rsidR="0085258B" w:rsidRPr="0085258B">
        <w:rPr>
          <w:rFonts w:ascii="Times New Roman" w:hAnsi="Times New Roman"/>
          <w:sz w:val="24"/>
          <w:szCs w:val="24"/>
        </w:rPr>
        <w:t xml:space="preserve"> </w:t>
      </w:r>
      <w:r w:rsidR="0085258B">
        <w:rPr>
          <w:rFonts w:ascii="Times New Roman" w:hAnsi="Times New Roman"/>
          <w:sz w:val="24"/>
          <w:szCs w:val="24"/>
        </w:rPr>
        <w:t xml:space="preserve">business community, </w:t>
      </w:r>
      <w:r w:rsidR="00992AB9">
        <w:rPr>
          <w:rFonts w:ascii="Times New Roman" w:hAnsi="Times New Roman"/>
          <w:sz w:val="24"/>
          <w:szCs w:val="24"/>
        </w:rPr>
        <w:t>and the American people</w:t>
      </w:r>
      <w:r w:rsidR="00494EF9">
        <w:rPr>
          <w:rFonts w:ascii="Times New Roman" w:hAnsi="Times New Roman"/>
          <w:sz w:val="24"/>
          <w:szCs w:val="24"/>
        </w:rPr>
        <w:t>.</w:t>
      </w:r>
    </w:p>
    <w:p w:rsidR="00597521" w:rsidRDefault="00597521" w:rsidP="004C72A6">
      <w:pPr>
        <w:tabs>
          <w:tab w:val="left" w:pos="2395"/>
        </w:tabs>
        <w:ind w:left="1080"/>
      </w:pPr>
      <w:r>
        <w:tab/>
      </w:r>
    </w:p>
    <w:p w:rsidR="00E034B2" w:rsidRDefault="00265432" w:rsidP="00E034B2">
      <w:pPr>
        <w:ind w:left="1080"/>
        <w:rPr>
          <w:color w:val="221E1F"/>
        </w:rPr>
      </w:pPr>
      <w:r w:rsidRPr="00265432">
        <w:rPr>
          <w:b/>
        </w:rPr>
        <w:t xml:space="preserve">Response.  </w:t>
      </w:r>
      <w:r w:rsidR="00E034B2">
        <w:t xml:space="preserve">ATF is the only Federal law enforcement entity with the expertise, experience, and the specialized resources that are necessary to investigate arson crimes.  ATF's combination of Certified Fire Investigators (CFIs), accelerant </w:t>
      </w:r>
      <w:r w:rsidR="00E034B2">
        <w:lastRenderedPageBreak/>
        <w:t>detection canines, NRT, forensic auditors, and the F</w:t>
      </w:r>
      <w:r w:rsidR="00A57240">
        <w:t xml:space="preserve">ire </w:t>
      </w:r>
      <w:r w:rsidR="00E034B2">
        <w:t>R</w:t>
      </w:r>
      <w:r w:rsidR="00A57240">
        <w:t xml:space="preserve">esearch </w:t>
      </w:r>
      <w:r w:rsidR="00E034B2">
        <w:t>L</w:t>
      </w:r>
      <w:r w:rsidR="00A57240">
        <w:t>aboratory (FRL)</w:t>
      </w:r>
      <w:r w:rsidR="00E034B2">
        <w:t xml:space="preserve"> provide a basis for investigating arson crimes.  The loss of lives and property that result from arson cases in the United States each year remains significant.  </w:t>
      </w:r>
      <w:r w:rsidR="00E034B2">
        <w:rPr>
          <w:color w:val="221E1F"/>
        </w:rPr>
        <w:t>As of 2010,  according to the United States Fire Administration (USFA)  and the National Fire Protection Association (NFPA), an estimated average of 306,300 intentionally set fires (arson) are reported to fire departments in the United States each year causing deaths and injuries to 1,800  civilians.  This also results in direct property losses of $1.3 billion annually.</w:t>
      </w:r>
    </w:p>
    <w:p w:rsidR="00E034B2" w:rsidRDefault="00E034B2" w:rsidP="00E034B2">
      <w:pPr>
        <w:ind w:left="1080"/>
      </w:pPr>
    </w:p>
    <w:p w:rsidR="00E034B2" w:rsidRDefault="00E034B2" w:rsidP="00E034B2">
      <w:pPr>
        <w:ind w:left="1080" w:right="720"/>
      </w:pPr>
      <w:r>
        <w:t xml:space="preserve">The vast majority of these fires are investigated at the local level and ATF is called in to provide its specialized skill sets when needed by State and local authorities. In FY 2012, ATF initiated 1571 such fire and arson investigations.   In many cases, the unique knowledge, technical resources, forensic capabilities, and jurisdictional authority of the Federal Government are needed to solve crimes and remove arsonists from the communities. </w:t>
      </w:r>
    </w:p>
    <w:p w:rsidR="00E034B2" w:rsidRDefault="00E034B2" w:rsidP="00E034B2">
      <w:pPr>
        <w:spacing w:before="100" w:beforeAutospacing="1" w:after="100" w:afterAutospacing="1"/>
        <w:ind w:left="1080"/>
      </w:pPr>
      <w:r>
        <w:t>ATF</w:t>
      </w:r>
      <w:r>
        <w:rPr>
          <w:b/>
          <w:bCs/>
          <w:color w:val="FF6600"/>
        </w:rPr>
        <w:t xml:space="preserve"> </w:t>
      </w:r>
      <w:r>
        <w:t>special agents investigate potential acts of arson motivated by profit, ideology or other criminal intent.  They also train Federal, state, local, and international law enforcement agencies on how to investigate and</w:t>
      </w:r>
      <w:r>
        <w:rPr>
          <w:b/>
          <w:bCs/>
        </w:rPr>
        <w:t xml:space="preserve"> </w:t>
      </w:r>
      <w:r>
        <w:t xml:space="preserve">solve such crimes.  ATF is recognized for its expertise in fire investigations, in conducting research to help investigators reconstruct fire and explosives incidents, and in conducting financial investigations to identify illegal arson-for-profit schemes.  Additionally, ATF continues to employ its authorities and assets to investigate and resolve arsons at houses of worship.  ATF’s arrest rate for church arsons is more than twice the national average for such cases.  </w:t>
      </w:r>
    </w:p>
    <w:p w:rsidR="00E034B2" w:rsidRDefault="00E034B2" w:rsidP="00E034B2">
      <w:pPr>
        <w:pStyle w:val="BodyText"/>
        <w:spacing w:before="100" w:beforeAutospacing="1" w:after="100" w:afterAutospacing="1"/>
        <w:ind w:left="1080"/>
        <w:rPr>
          <w:szCs w:val="24"/>
        </w:rPr>
      </w:pPr>
      <w:r>
        <w:t xml:space="preserve">For over 30 years, ATF has led or participated in formal and informal task forces in major cities with significant arson problems. Each task force is based on the available resources and specific needs of the particular city.  In addition to ATF special agents, CFI’s and ATF forensic auditors, task forces typically include local fire officials, arson investigators, and local police.  </w:t>
      </w:r>
    </w:p>
    <w:p w:rsidR="00E034B2" w:rsidRDefault="00E034B2" w:rsidP="00E034B2">
      <w:pPr>
        <w:spacing w:before="100" w:beforeAutospacing="1" w:after="100" w:afterAutospacing="1"/>
        <w:ind w:left="1080"/>
      </w:pPr>
      <w:r>
        <w:t xml:space="preserve">ATF’s CFIs are special agents who have completed an extensive two-year training program in advanced fire scene examination with an emphasis on the modern principles of fire dynamics.  They conduct fire scene examinations and render origin and cause determinations on behalf of ATF, provide expert testimony on fire scene determinations, and provide technical support and analysis to assist other special agents and prosecutors with court preparation, presentation of evidence, and technical interpretation of fire-related information.  The CFI’s lend technical guidance in support of field arson investigative activities; conduct arson-related training for other ATF special agents and other Federal, state, and local fire investigators; and conduct research to identify trends and patterns in fire incidents.  </w:t>
      </w:r>
    </w:p>
    <w:p w:rsidR="00E034B2" w:rsidRDefault="00E034B2" w:rsidP="00E034B2">
      <w:pPr>
        <w:pStyle w:val="BodyText"/>
        <w:spacing w:before="100" w:beforeAutospacing="1" w:after="100" w:afterAutospacing="1"/>
        <w:ind w:left="1080"/>
        <w:rPr>
          <w:szCs w:val="24"/>
        </w:rPr>
      </w:pPr>
      <w:r>
        <w:t xml:space="preserve">As an integral part of ATF’s overall violent crime reduction strategy, ATF provides vital resources to local communities to investigate explosives and fire incidents.  ATF’s arson and explosives NRT was formed in 1978 to help meet the needs of those </w:t>
      </w:r>
      <w:r>
        <w:lastRenderedPageBreak/>
        <w:t xml:space="preserve">who are responding to and investigating complex incidents.  The NRT was designed to bring together all of ATF’s expertise and experience to work alongside state and local officials in reconstructing the scene, identifying the seat of the blast or origin of the fire, conducting interviews, sifting through debris to obtain evidence related to the explosion and/or fire, participating in the ensuing investigation, and providing expert court testimony. </w:t>
      </w:r>
    </w:p>
    <w:p w:rsidR="00E034B2" w:rsidRDefault="00E034B2" w:rsidP="00E034B2">
      <w:pPr>
        <w:pStyle w:val="BodyText"/>
        <w:spacing w:before="100" w:beforeAutospacing="1" w:after="100" w:afterAutospacing="1"/>
        <w:ind w:left="1080"/>
      </w:pPr>
      <w:r>
        <w:t>The NRT consists of three regional response units.  Each unit is comprised of veteran special agents having post-blast and fire origin and cause expertise, including CESs, CFIs, forensic chemists, EEOs, fire protection engineers, and accelerant–and explosives-detection canines.  Further complementing the team’s efforts are employees who provide intelligence, forensic audit, technical, and legal support.  NRT members are trained in all levels of personal protective equipment, up to and including Level A protection, and are HAZMAT certified.  A fleet of fully equipped response vehicles provides</w:t>
      </w:r>
      <w:r w:rsidR="00A57240">
        <w:t xml:space="preserve"> the needed logistical support.</w:t>
      </w:r>
      <w:r>
        <w:t xml:space="preserve"> In FY 2012, the NRT responded to 15 domestic incidents and one international incident involving 363 deaths, 29 injuries, and $134M in property damage.  15 special agents and two professional support staff are assigned full-time to the NRT, as well as 114 special agents and non-agent personnel who are assigned on a part-ti</w:t>
      </w:r>
      <w:r w:rsidR="00A57240">
        <w:t>me, as needed basis to the NRT.</w:t>
      </w:r>
    </w:p>
    <w:p w:rsidR="00E034B2" w:rsidRDefault="00E034B2" w:rsidP="00E034B2">
      <w:pPr>
        <w:pStyle w:val="BodyText"/>
        <w:spacing w:before="100" w:beforeAutospacing="1" w:after="100" w:afterAutospacing="1"/>
        <w:ind w:left="1080"/>
      </w:pPr>
      <w:r>
        <w:t xml:space="preserve">ATF is accountable to DOJ and Congress for tracking and reporting all house of worship fire or explosion investigations relative to any Federal or state civil rights violations (hate crimes), and continues to respond to all house of worship incidents to determine if the incident is an arson or bombing, conduct any investigations of incidents of Federal interest, and monitor and assist in other investigations of house of worship incidents.  </w:t>
      </w:r>
    </w:p>
    <w:p w:rsidR="00504A36" w:rsidRDefault="0078636B">
      <w:pPr>
        <w:pStyle w:val="xl19"/>
        <w:numPr>
          <w:ilvl w:val="0"/>
          <w:numId w:val="10"/>
        </w:numPr>
        <w:tabs>
          <w:tab w:val="left" w:leader="dot" w:pos="8010"/>
        </w:tabs>
        <w:spacing w:before="100" w:beforeAutospacing="1" w:after="100" w:afterAutospacing="1"/>
        <w:rPr>
          <w:b/>
          <w:bCs/>
          <w:i/>
          <w:sz w:val="28"/>
          <w:szCs w:val="28"/>
        </w:rPr>
      </w:pPr>
      <w:r w:rsidRPr="002E2B4C">
        <w:rPr>
          <w:b/>
          <w:bCs/>
          <w:i/>
          <w:sz w:val="28"/>
          <w:szCs w:val="28"/>
        </w:rPr>
        <w:t>Criminal Diversion of Tobacco from Legal Commerce</w:t>
      </w:r>
    </w:p>
    <w:p w:rsidR="00597521" w:rsidRPr="00953D47" w:rsidRDefault="00597521" w:rsidP="004C72A6">
      <w:pPr>
        <w:ind w:left="1080"/>
      </w:pPr>
      <w:r w:rsidRPr="00597521">
        <w:rPr>
          <w:b/>
        </w:rPr>
        <w:t>Threat.</w:t>
      </w:r>
      <w:r w:rsidR="00953D47">
        <w:rPr>
          <w:b/>
        </w:rPr>
        <w:t xml:space="preserve">  </w:t>
      </w:r>
      <w:r w:rsidR="00953D47">
        <w:rPr>
          <w:bCs/>
        </w:rPr>
        <w:t xml:space="preserve">Illegal diversion of tobacco products deprives governments of revenue (tax losses are estimated in the billions of dollars) and enables organized criminal enterprises (including terrorist organizations) to gain substantial profits.  </w:t>
      </w:r>
    </w:p>
    <w:p w:rsidR="00597521" w:rsidRDefault="00597521" w:rsidP="004C72A6">
      <w:pPr>
        <w:ind w:left="1080"/>
      </w:pPr>
    </w:p>
    <w:p w:rsidR="008020B1" w:rsidRDefault="00494EF9" w:rsidP="00FB3022">
      <w:pPr>
        <w:ind w:left="1080"/>
        <w:rPr>
          <w:bCs/>
        </w:rPr>
      </w:pPr>
      <w:r>
        <w:rPr>
          <w:b/>
        </w:rPr>
        <w:t>Response</w:t>
      </w:r>
      <w:r w:rsidR="004D0552">
        <w:rPr>
          <w:b/>
        </w:rPr>
        <w:t>.</w:t>
      </w:r>
      <w:r w:rsidR="00597521" w:rsidRPr="00597521">
        <w:rPr>
          <w:b/>
        </w:rPr>
        <w:t xml:space="preserve"> </w:t>
      </w:r>
      <w:r w:rsidR="00597521">
        <w:t xml:space="preserve"> </w:t>
      </w:r>
      <w:r w:rsidR="008020B1">
        <w:rPr>
          <w:bCs/>
        </w:rPr>
        <w:t xml:space="preserve">ATF’s primary jurisdiction relating to tobacco is the Contraband Cigarette Trafficking Act (CCTA), which makes it unlawful for any person to ship, transport, receive, possess, sell, distribute, or purchase more than 10,000 cigarettes that bear no evidence of state tax payment for the state in which the cigarettes are found.  The CCTA was enacted to support state and local law enforcement agencies in efforts to stop structured and organized criminal groups that derive significant financial gain through the transportation of contraband tobacco from no- or low-tax locales to high-tax locales.  </w:t>
      </w:r>
      <w:r w:rsidR="008020B1" w:rsidRPr="00CF10C8">
        <w:rPr>
          <w:bCs/>
        </w:rPr>
        <w:t>To prevent these crimes, ATF works</w:t>
      </w:r>
      <w:r w:rsidR="008020B1">
        <w:rPr>
          <w:bCs/>
          <w:color w:val="FF00FF"/>
        </w:rPr>
        <w:t xml:space="preserve"> </w:t>
      </w:r>
      <w:r w:rsidR="008020B1">
        <w:rPr>
          <w:bCs/>
        </w:rPr>
        <w:t xml:space="preserve">with other </w:t>
      </w:r>
      <w:r w:rsidR="002E3EAB">
        <w:rPr>
          <w:bCs/>
        </w:rPr>
        <w:t>Federal</w:t>
      </w:r>
      <w:r w:rsidR="008020B1">
        <w:rPr>
          <w:bCs/>
        </w:rPr>
        <w:t xml:space="preserve"> law enforcement and revenue agencies, state and local law enforcement and revenue agencies, and international law enforcement and revenue agencies.  ATF often charges defendants with violations other than CCTA violations, ranging from conspiracy to </w:t>
      </w:r>
      <w:r w:rsidR="002E3EAB">
        <w:rPr>
          <w:bCs/>
        </w:rPr>
        <w:t>Federal</w:t>
      </w:r>
      <w:r w:rsidR="008020B1">
        <w:rPr>
          <w:bCs/>
        </w:rPr>
        <w:t xml:space="preserve"> charges of murder-for-hire.  Through the successful prosecution and plea agreements </w:t>
      </w:r>
      <w:r w:rsidR="008020B1">
        <w:rPr>
          <w:bCs/>
        </w:rPr>
        <w:lastRenderedPageBreak/>
        <w:t>in these complex cases involving interstate commerce, states have recovered millions of dollars in excise tax revenues.</w:t>
      </w:r>
    </w:p>
    <w:p w:rsidR="008020B1" w:rsidRDefault="008020B1" w:rsidP="004C72A6">
      <w:pPr>
        <w:pStyle w:val="BodyText"/>
        <w:spacing w:before="100" w:beforeAutospacing="1" w:after="100" w:afterAutospacing="1"/>
        <w:ind w:left="1080"/>
        <w:rPr>
          <w:bCs/>
        </w:rPr>
      </w:pPr>
      <w:r>
        <w:rPr>
          <w:bCs/>
        </w:rPr>
        <w:t xml:space="preserve">Organized criminal groups, including those with ties to terrorist organizations, have increasingly engaged in the illegal trafficking in tobacco products, particularly counterfeit and lawfully manufactured cigarettes.  The proliferation of large volume trafficking across international borders and interstate commerce, without payment of tax, provides funding and material support to terrorist organizations and other organized criminal enterprises.  ATF has conducted two tobacco diversion </w:t>
      </w:r>
      <w:r w:rsidR="007C5127">
        <w:rPr>
          <w:bCs/>
        </w:rPr>
        <w:t>investigations that</w:t>
      </w:r>
      <w:r>
        <w:rPr>
          <w:bCs/>
        </w:rPr>
        <w:t xml:space="preserve"> resulted in convictions for Material Support to a Terrorist Organization. </w:t>
      </w:r>
    </w:p>
    <w:p w:rsidR="008020B1" w:rsidRPr="00990A77" w:rsidRDefault="008020B1" w:rsidP="004C72A6">
      <w:pPr>
        <w:pStyle w:val="BodyText"/>
        <w:spacing w:before="100" w:beforeAutospacing="1" w:after="100" w:afterAutospacing="1"/>
        <w:ind w:left="1080"/>
        <w:rPr>
          <w:bCs/>
        </w:rPr>
      </w:pPr>
      <w:r w:rsidRPr="0032011B">
        <w:t>During FY 201</w:t>
      </w:r>
      <w:r w:rsidR="001776A5">
        <w:t>2</w:t>
      </w:r>
      <w:r w:rsidRPr="0032011B">
        <w:t xml:space="preserve">, ATF opened approximately </w:t>
      </w:r>
      <w:r w:rsidR="00675D49">
        <w:t>68</w:t>
      </w:r>
      <w:r w:rsidRPr="0032011B">
        <w:t xml:space="preserve"> investigations into the diversion of tobacco products, recommending the prosecution of approximately </w:t>
      </w:r>
      <w:r w:rsidR="00675D49">
        <w:t>202</w:t>
      </w:r>
      <w:r w:rsidRPr="0032011B">
        <w:t xml:space="preserve"> defendants and seizing approximately $</w:t>
      </w:r>
      <w:r w:rsidR="00675D49">
        <w:t>34.9</w:t>
      </w:r>
      <w:r w:rsidR="00AC44CC">
        <w:t xml:space="preserve"> </w:t>
      </w:r>
      <w:r w:rsidRPr="0032011B">
        <w:t>million in valued assets.</w:t>
      </w:r>
      <w:r w:rsidRPr="0032011B">
        <w:rPr>
          <w:bCs/>
        </w:rPr>
        <w:t xml:space="preserve"> Recently, ATF has seen a sharp increase in the involvement of organized criminal groups in the diversion of tobacco products.  These groups are increasing their involvement due to the huge profits tobacco diversion generates for their criminal organizations.  The profits gained through tobacco diversion are then filtered back into their criminal organizations to fund other criminal activities, including other types of fraud and violent crime.  These criminal organizations affect the core of national and financial security and the quality of life of all Americans.  </w:t>
      </w:r>
    </w:p>
    <w:p w:rsidR="00415AED" w:rsidRDefault="00566A7E" w:rsidP="00CC324D">
      <w:pPr>
        <w:spacing w:before="100" w:beforeAutospacing="1" w:after="100" w:afterAutospacing="1"/>
        <w:ind w:left="1080"/>
      </w:pPr>
      <w:r>
        <w:t>In addition,</w:t>
      </w:r>
      <w:r w:rsidR="008020B1" w:rsidRPr="008D071B">
        <w:t xml:space="preserve"> investigations related to the CCTA</w:t>
      </w:r>
      <w:r>
        <w:t xml:space="preserve"> play</w:t>
      </w:r>
      <w:r w:rsidR="008020B1" w:rsidRPr="008D071B">
        <w:t xml:space="preserve"> a vital role in implementing and overseeing the Prevent All Cigarette Trafficking Act of 2009 (PACT Act), signed by President Obama in March 2010.  At its core, the new law provides investigative tools to </w:t>
      </w:r>
      <w:r w:rsidR="002E3EAB">
        <w:t>Federal</w:t>
      </w:r>
      <w:r w:rsidR="008020B1" w:rsidRPr="008D071B">
        <w:t xml:space="preserve"> and state law enforcement agencies to identify and investigate individuals who engage in the sale and shipment of contraband tobacco products directly to the consumer in non–face-to-face transactions.   ATF develops the Delivery Seller Noncompliant List</w:t>
      </w:r>
      <w:r w:rsidR="00B73206">
        <w:t xml:space="preserve"> mandated by the PACT Act</w:t>
      </w:r>
      <w:r w:rsidR="008020B1" w:rsidRPr="008D071B">
        <w:t xml:space="preserve">.  The list, continually updated, comprises individuals engaged in internet or mail order tobacco transactions in violation of the PACT Act.  The </w:t>
      </w:r>
      <w:r w:rsidR="002E3EAB">
        <w:t>Federal</w:t>
      </w:r>
      <w:r w:rsidR="008020B1" w:rsidRPr="008D071B">
        <w:t xml:space="preserve"> listing developed by ATF is distributed to state governments, Tribal governments and to common carriers.  The PACT Act prohibits common carr</w:t>
      </w:r>
      <w:r w:rsidR="00B73206">
        <w:t>iers from delivering packages on behalf of</w:t>
      </w:r>
      <w:r w:rsidR="008020B1" w:rsidRPr="008D071B">
        <w:t xml:space="preserve"> the individuals on the list.</w:t>
      </w:r>
    </w:p>
    <w:p w:rsidR="00006B17" w:rsidRDefault="00006B17" w:rsidP="00006B17">
      <w:pPr>
        <w:spacing w:before="100" w:beforeAutospacing="1" w:after="100" w:afterAutospacing="1"/>
        <w:ind w:left="1080"/>
        <w:sectPr w:rsidR="00006B17" w:rsidSect="005C6DAA">
          <w:footerReference w:type="default" r:id="rId21"/>
          <w:type w:val="continuous"/>
          <w:pgSz w:w="12240" w:h="15840" w:code="1"/>
          <w:pgMar w:top="1440" w:right="1440" w:bottom="1440" w:left="1440" w:header="720" w:footer="720" w:gutter="0"/>
          <w:pgNumType w:start="1"/>
          <w:cols w:space="720"/>
          <w:docGrid w:linePitch="360"/>
        </w:sectPr>
      </w:pPr>
    </w:p>
    <w:p w:rsidR="00006B17" w:rsidRPr="00AC44CC" w:rsidRDefault="00F81BF5" w:rsidP="00AC44CC">
      <w:pPr>
        <w:pStyle w:val="Header"/>
        <w:tabs>
          <w:tab w:val="left" w:pos="720"/>
        </w:tabs>
        <w:spacing w:before="100" w:beforeAutospacing="1" w:after="100" w:afterAutospacing="1"/>
        <w:contextualSpacing/>
        <w:rPr>
          <w:rFonts w:asciiTheme="minorHAnsi" w:hAnsiTheme="minorHAnsi" w:cstheme="minorHAnsi"/>
          <w:bCs/>
          <w:sz w:val="22"/>
          <w:szCs w:val="22"/>
        </w:rPr>
      </w:pPr>
      <w:r>
        <w:rPr>
          <w:rFonts w:asciiTheme="minorHAnsi" w:hAnsiTheme="minorHAnsi" w:cstheme="minorHAnsi"/>
          <w:bCs/>
          <w:sz w:val="22"/>
          <w:szCs w:val="22"/>
        </w:rPr>
        <w:lastRenderedPageBreak/>
        <w:t>2. Performance Tables</w:t>
      </w:r>
      <w:r w:rsidR="008F15D2">
        <w:rPr>
          <w:rFonts w:asciiTheme="minorHAnsi" w:hAnsiTheme="minorHAnsi" w:cstheme="minorHAnsi"/>
          <w:bCs/>
          <w:sz w:val="22"/>
          <w:szCs w:val="22"/>
        </w:rPr>
        <w:t xml:space="preserve"> - </w:t>
      </w:r>
      <w:r w:rsidR="008F15D2" w:rsidRPr="006D608B">
        <w:rPr>
          <w:rFonts w:asciiTheme="minorHAnsi" w:hAnsiTheme="minorHAnsi" w:cstheme="minorHAnsi"/>
          <w:bCs/>
          <w:sz w:val="22"/>
          <w:szCs w:val="22"/>
        </w:rPr>
        <w:t>Law Enforcement Operations</w:t>
      </w:r>
      <w:r w:rsidR="008F15D2" w:rsidRPr="008F15D2">
        <w:rPr>
          <w:rStyle w:val="FootnoteReference"/>
          <w:rFonts w:asciiTheme="minorHAnsi" w:hAnsiTheme="minorHAnsi" w:cstheme="minorHAnsi"/>
          <w:bCs/>
          <w:sz w:val="22"/>
          <w:szCs w:val="22"/>
        </w:rPr>
        <w:footnoteReference w:id="1"/>
      </w:r>
      <w:r w:rsidR="00095F8D" w:rsidRPr="00095F8D">
        <w:rPr>
          <w:rFonts w:asciiTheme="minorHAnsi" w:hAnsiTheme="minorHAnsi" w:cstheme="minorHAnsi"/>
          <w:bCs/>
          <w:sz w:val="22"/>
          <w:szCs w:val="22"/>
          <w:vertAlign w:val="superscript"/>
        </w:rPr>
        <w:t>,</w:t>
      </w:r>
      <w:r w:rsidR="0007671E">
        <w:rPr>
          <w:rFonts w:asciiTheme="minorHAnsi" w:hAnsiTheme="minorHAnsi" w:cstheme="minorHAnsi"/>
          <w:bCs/>
          <w:sz w:val="22"/>
          <w:szCs w:val="22"/>
          <w:vertAlign w:val="superscript"/>
        </w:rPr>
        <w:t xml:space="preserve"> </w:t>
      </w:r>
      <w:r w:rsidR="00095F8D" w:rsidRPr="00095F8D">
        <w:rPr>
          <w:rFonts w:asciiTheme="minorHAnsi" w:hAnsiTheme="minorHAnsi" w:cstheme="minorHAnsi"/>
          <w:bCs/>
          <w:sz w:val="22"/>
          <w:szCs w:val="22"/>
          <w:vertAlign w:val="superscript"/>
        </w:rPr>
        <w:t>2</w:t>
      </w:r>
    </w:p>
    <w:p w:rsidR="00C5076D" w:rsidRDefault="003E5447" w:rsidP="009004E3">
      <w:r w:rsidRPr="003E5447">
        <w:rPr>
          <w:noProof/>
        </w:rPr>
        <w:drawing>
          <wp:inline distT="0" distB="0" distL="0" distR="0">
            <wp:extent cx="8229600" cy="4467976"/>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8229600" cy="4467976"/>
                    </a:xfrm>
                    <a:prstGeom prst="rect">
                      <a:avLst/>
                    </a:prstGeom>
                    <a:noFill/>
                    <a:ln w="9525">
                      <a:noFill/>
                      <a:miter lim="800000"/>
                      <a:headEnd/>
                      <a:tailEnd/>
                    </a:ln>
                  </pic:spPr>
                </pic:pic>
              </a:graphicData>
            </a:graphic>
          </wp:inline>
        </w:drawing>
      </w:r>
    </w:p>
    <w:p w:rsidR="009004E3" w:rsidRPr="004B58B4" w:rsidRDefault="009004E3" w:rsidP="009004E3">
      <w:pPr>
        <w:rPr>
          <w:bCs/>
          <w:sz w:val="16"/>
          <w:szCs w:val="16"/>
        </w:rPr>
      </w:pPr>
      <w:r w:rsidRPr="004B58B4">
        <w:rPr>
          <w:rStyle w:val="FootnoteReference"/>
          <w:sz w:val="16"/>
          <w:szCs w:val="16"/>
        </w:rPr>
        <w:footnoteRef/>
      </w:r>
      <w:r w:rsidRPr="004B58B4">
        <w:rPr>
          <w:sz w:val="16"/>
          <w:szCs w:val="16"/>
        </w:rPr>
        <w:t xml:space="preserve"> Note: </w:t>
      </w:r>
      <w:r w:rsidR="001C203B" w:rsidRPr="004B58B4">
        <w:rPr>
          <w:sz w:val="16"/>
          <w:szCs w:val="16"/>
        </w:rPr>
        <w:t xml:space="preserve">All program activities shown above support both </w:t>
      </w:r>
      <w:r w:rsidRPr="004B58B4">
        <w:rPr>
          <w:sz w:val="16"/>
          <w:szCs w:val="16"/>
        </w:rPr>
        <w:t xml:space="preserve">the </w:t>
      </w:r>
      <w:r w:rsidR="001C203B" w:rsidRPr="004B58B4">
        <w:rPr>
          <w:sz w:val="16"/>
          <w:szCs w:val="16"/>
        </w:rPr>
        <w:t xml:space="preserve">Law Enforcement Operations and Investigative Support Services </w:t>
      </w:r>
      <w:r w:rsidRPr="004B58B4">
        <w:rPr>
          <w:sz w:val="16"/>
          <w:szCs w:val="16"/>
        </w:rPr>
        <w:t xml:space="preserve">decision units </w:t>
      </w:r>
      <w:r w:rsidRPr="004B58B4">
        <w:rPr>
          <w:bCs/>
          <w:sz w:val="16"/>
          <w:szCs w:val="16"/>
        </w:rPr>
        <w:t>to demonstrate ATF’s actual performance.</w:t>
      </w:r>
    </w:p>
    <w:p w:rsidR="009004E3" w:rsidRPr="004B58B4" w:rsidRDefault="009004E3" w:rsidP="009004E3">
      <w:pPr>
        <w:contextualSpacing/>
        <w:rPr>
          <w:bCs/>
          <w:sz w:val="16"/>
          <w:szCs w:val="16"/>
        </w:rPr>
      </w:pPr>
    </w:p>
    <w:p w:rsidR="009004E3" w:rsidRPr="004B58B4" w:rsidRDefault="00095F8D" w:rsidP="009004E3">
      <w:pPr>
        <w:rPr>
          <w:sz w:val="16"/>
          <w:szCs w:val="16"/>
        </w:rPr>
      </w:pPr>
      <w:r w:rsidRPr="004B58B4">
        <w:rPr>
          <w:bCs/>
          <w:sz w:val="16"/>
          <w:szCs w:val="16"/>
          <w:vertAlign w:val="superscript"/>
        </w:rPr>
        <w:t>2</w:t>
      </w:r>
      <w:r w:rsidR="00C5076D" w:rsidRPr="004B58B4">
        <w:rPr>
          <w:bCs/>
          <w:sz w:val="16"/>
          <w:szCs w:val="16"/>
        </w:rPr>
        <w:t xml:space="preserve"> </w:t>
      </w:r>
      <w:r w:rsidR="009004E3" w:rsidRPr="004B58B4">
        <w:rPr>
          <w:bCs/>
          <w:sz w:val="16"/>
          <w:szCs w:val="16"/>
        </w:rPr>
        <w:t xml:space="preserve">Note:  </w:t>
      </w:r>
      <w:r w:rsidR="009004E3" w:rsidRPr="004B58B4">
        <w:rPr>
          <w:sz w:val="16"/>
          <w:szCs w:val="16"/>
        </w:rPr>
        <w:t xml:space="preserve">The sum of the program activity resources and FTE </w:t>
      </w:r>
      <w:r w:rsidR="002D51B7">
        <w:rPr>
          <w:sz w:val="16"/>
          <w:szCs w:val="16"/>
        </w:rPr>
        <w:t xml:space="preserve">for FY 2012 actuals </w:t>
      </w:r>
      <w:r w:rsidR="009004E3" w:rsidRPr="004B58B4">
        <w:rPr>
          <w:sz w:val="16"/>
          <w:szCs w:val="16"/>
        </w:rPr>
        <w:t xml:space="preserve">will not add up to the total </w:t>
      </w:r>
      <w:r w:rsidR="004827AB" w:rsidRPr="004B58B4">
        <w:rPr>
          <w:sz w:val="16"/>
          <w:szCs w:val="16"/>
        </w:rPr>
        <w:t>for each</w:t>
      </w:r>
      <w:r w:rsidR="009004E3" w:rsidRPr="004B58B4">
        <w:rPr>
          <w:sz w:val="16"/>
          <w:szCs w:val="16"/>
        </w:rPr>
        <w:t xml:space="preserve"> decision unit, because it does not include administrative overhead.</w:t>
      </w:r>
    </w:p>
    <w:p w:rsidR="00154F2F" w:rsidRDefault="006F4E49">
      <w:r w:rsidRPr="006F4E49">
        <w:rPr>
          <w:noProof/>
        </w:rPr>
        <w:lastRenderedPageBreak/>
        <w:drawing>
          <wp:inline distT="0" distB="0" distL="0" distR="0">
            <wp:extent cx="8157387" cy="5943600"/>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8158633" cy="5944508"/>
                    </a:xfrm>
                    <a:prstGeom prst="rect">
                      <a:avLst/>
                    </a:prstGeom>
                    <a:noFill/>
                    <a:ln w="9525">
                      <a:noFill/>
                      <a:miter lim="800000"/>
                      <a:headEnd/>
                      <a:tailEnd/>
                    </a:ln>
                  </pic:spPr>
                </pic:pic>
              </a:graphicData>
            </a:graphic>
          </wp:inline>
        </w:drawing>
      </w:r>
    </w:p>
    <w:p w:rsidR="006369C9" w:rsidRDefault="00F00A3C">
      <w:r w:rsidRPr="00F00A3C">
        <w:rPr>
          <w:noProof/>
        </w:rPr>
        <w:lastRenderedPageBreak/>
        <w:drawing>
          <wp:inline distT="0" distB="0" distL="0" distR="0">
            <wp:extent cx="8229600" cy="565716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8229600" cy="5657164"/>
                    </a:xfrm>
                    <a:prstGeom prst="rect">
                      <a:avLst/>
                    </a:prstGeom>
                    <a:noFill/>
                    <a:ln w="9525">
                      <a:noFill/>
                      <a:miter lim="800000"/>
                      <a:headEnd/>
                      <a:tailEnd/>
                    </a:ln>
                  </pic:spPr>
                </pic:pic>
              </a:graphicData>
            </a:graphic>
          </wp:inline>
        </w:drawing>
      </w:r>
      <w:r w:rsidR="006369C9">
        <w:br w:type="page"/>
      </w:r>
    </w:p>
    <w:p w:rsidR="00006B17" w:rsidRDefault="00006B17" w:rsidP="00006B17">
      <w:pPr>
        <w:spacing w:before="100" w:beforeAutospacing="1" w:after="100" w:afterAutospacing="1"/>
        <w:ind w:left="1080"/>
        <w:sectPr w:rsidR="00006B17" w:rsidSect="00D6643D">
          <w:pgSz w:w="15840" w:h="12240" w:orient="landscape" w:code="1"/>
          <w:pgMar w:top="1440" w:right="1440" w:bottom="1440" w:left="1440" w:header="720" w:footer="720" w:gutter="0"/>
          <w:cols w:space="720"/>
          <w:docGrid w:linePitch="360"/>
        </w:sectPr>
      </w:pPr>
    </w:p>
    <w:p w:rsidR="006369C9" w:rsidRPr="00CC324D" w:rsidRDefault="006369C9" w:rsidP="00006B17">
      <w:pPr>
        <w:spacing w:before="100" w:beforeAutospacing="1" w:after="100" w:afterAutospacing="1"/>
        <w:ind w:left="1080"/>
      </w:pPr>
    </w:p>
    <w:p w:rsidR="00B6650B" w:rsidRPr="00B74C21" w:rsidRDefault="00FA2AAB" w:rsidP="00D6643D">
      <w:pPr>
        <w:pStyle w:val="xl24"/>
        <w:rPr>
          <w:b/>
          <w:color w:val="FF0000"/>
        </w:rPr>
      </w:pPr>
      <w:r w:rsidRPr="00027DE2">
        <w:rPr>
          <w:b/>
        </w:rPr>
        <w:t>B.</w:t>
      </w:r>
      <w:r w:rsidR="00515532">
        <w:rPr>
          <w:b/>
        </w:rPr>
        <w:t xml:space="preserve"> </w:t>
      </w:r>
      <w:r w:rsidRPr="00027DE2">
        <w:rPr>
          <w:b/>
        </w:rPr>
        <w:t xml:space="preserve"> </w:t>
      </w:r>
      <w:r w:rsidR="004106A5">
        <w:rPr>
          <w:b/>
          <w:u w:val="single"/>
        </w:rPr>
        <w:t>INVESTIGATIVE</w:t>
      </w:r>
      <w:r w:rsidR="00265432" w:rsidRPr="00265432">
        <w:rPr>
          <w:b/>
          <w:u w:val="single"/>
        </w:rPr>
        <w:t xml:space="preserve"> </w:t>
      </w:r>
      <w:r w:rsidR="00397503">
        <w:rPr>
          <w:b/>
          <w:u w:val="single"/>
        </w:rPr>
        <w:t xml:space="preserve">SUPPORT </w:t>
      </w:r>
      <w:r w:rsidR="00265432" w:rsidRPr="00265432">
        <w:rPr>
          <w:b/>
          <w:u w:val="single"/>
        </w:rPr>
        <w:t>SERVICES</w:t>
      </w:r>
      <w:r w:rsidR="0033648E">
        <w:rPr>
          <w:b/>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1260"/>
        <w:gridCol w:w="1440"/>
      </w:tblGrid>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DC3BE1" w:rsidRDefault="004106A5" w:rsidP="0033648E">
            <w:pPr>
              <w:spacing w:before="100" w:beforeAutospacing="1" w:after="100" w:afterAutospacing="1"/>
              <w:rPr>
                <w:b/>
                <w:bCs/>
              </w:rPr>
            </w:pPr>
            <w:r>
              <w:rPr>
                <w:b/>
                <w:bCs/>
              </w:rPr>
              <w:t xml:space="preserve">INVESTIGATIVE </w:t>
            </w:r>
            <w:r w:rsidR="00397503">
              <w:rPr>
                <w:b/>
                <w:bCs/>
              </w:rPr>
              <w:t>SUPPORT</w:t>
            </w:r>
            <w:r w:rsidR="00DC3BE1">
              <w:rPr>
                <w:b/>
                <w:bCs/>
              </w:rPr>
              <w:t xml:space="preserve"> SERVICES</w:t>
            </w:r>
            <w:r w:rsidR="0033648E" w:rsidRPr="004D0552">
              <w:rPr>
                <w:b/>
                <w:color w:val="FF0000"/>
              </w:rPr>
              <w:t xml:space="preserve"> </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DC3BE1" w:rsidRDefault="00DC3BE1" w:rsidP="00DC3BE1">
            <w:pPr>
              <w:spacing w:before="100" w:beforeAutospacing="1" w:after="100" w:afterAutospacing="1"/>
              <w:rPr>
                <w:b/>
                <w:bCs/>
              </w:rPr>
            </w:pPr>
            <w:r w:rsidRPr="00DC3BE1">
              <w:rPr>
                <w:b/>
                <w:bCs/>
              </w:rPr>
              <w:t>Perm. Pos.</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DC3BE1" w:rsidRDefault="00DC3BE1" w:rsidP="00DC3BE1">
            <w:pPr>
              <w:spacing w:before="100" w:beforeAutospacing="1" w:after="100" w:afterAutospacing="1"/>
              <w:rPr>
                <w:b/>
                <w:bCs/>
              </w:rPr>
            </w:pPr>
            <w:r w:rsidRPr="00DC3BE1">
              <w:rPr>
                <w:b/>
                <w:bCs/>
              </w:rPr>
              <w:t>FTE</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DC3BE1" w:rsidRDefault="00DC3BE1" w:rsidP="00DC3BE1">
            <w:pPr>
              <w:spacing w:before="100" w:beforeAutospacing="1" w:after="100" w:afterAutospacing="1"/>
              <w:rPr>
                <w:b/>
                <w:bCs/>
              </w:rPr>
            </w:pPr>
            <w:r w:rsidRPr="00DC3BE1">
              <w:rPr>
                <w:b/>
                <w:bCs/>
              </w:rPr>
              <w:t>Amount</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0B7D10" w:rsidRDefault="008F2CCC" w:rsidP="00DC3BE1">
            <w:pPr>
              <w:spacing w:before="100" w:beforeAutospacing="1" w:after="100" w:afterAutospacing="1"/>
              <w:rPr>
                <w:bCs/>
              </w:rPr>
            </w:pPr>
            <w:r w:rsidRPr="000B7D10">
              <w:rPr>
                <w:bCs/>
              </w:rPr>
              <w:t xml:space="preserve">2012 Enacted </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4B5386" w:rsidP="004B5386">
            <w:pPr>
              <w:spacing w:before="100" w:beforeAutospacing="1" w:after="100" w:afterAutospacing="1"/>
              <w:jc w:val="right"/>
              <w:rPr>
                <w:bCs/>
              </w:rPr>
            </w:pPr>
            <w:r w:rsidRPr="000B7D10">
              <w:rPr>
                <w:bCs/>
              </w:rPr>
              <w:t>69</w:t>
            </w:r>
            <w:r>
              <w:rPr>
                <w:bCs/>
              </w:rPr>
              <w:t>0</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0B7D10" w:rsidRDefault="006369C9" w:rsidP="006369C9">
            <w:pPr>
              <w:spacing w:before="100" w:beforeAutospacing="1" w:after="100" w:afterAutospacing="1"/>
              <w:jc w:val="right"/>
              <w:rPr>
                <w:bCs/>
              </w:rPr>
            </w:pPr>
            <w:r>
              <w:rPr>
                <w:bCs/>
              </w:rPr>
              <w:t>680</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8F2CCC" w:rsidP="00021737">
            <w:pPr>
              <w:spacing w:before="100" w:beforeAutospacing="1" w:after="100" w:afterAutospacing="1"/>
              <w:jc w:val="right"/>
              <w:rPr>
                <w:bCs/>
              </w:rPr>
            </w:pPr>
            <w:r w:rsidRPr="000B7D10">
              <w:rPr>
                <w:bCs/>
              </w:rPr>
              <w:t>$155,</w:t>
            </w:r>
            <w:r w:rsidR="006369C9">
              <w:rPr>
                <w:bCs/>
              </w:rPr>
              <w:t>86</w:t>
            </w:r>
            <w:r w:rsidR="00021737">
              <w:rPr>
                <w:bCs/>
              </w:rPr>
              <w:t>5</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0B7D10" w:rsidRDefault="008F2CCC" w:rsidP="00DC3BE1">
            <w:pPr>
              <w:spacing w:before="100" w:beforeAutospacing="1" w:after="100" w:afterAutospacing="1"/>
              <w:rPr>
                <w:bCs/>
              </w:rPr>
            </w:pPr>
            <w:r w:rsidRPr="000B7D10">
              <w:rPr>
                <w:bCs/>
              </w:rPr>
              <w:t xml:space="preserve">2012 Enacted w/Rescissions </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4B5386" w:rsidP="004B5386">
            <w:pPr>
              <w:spacing w:before="100" w:beforeAutospacing="1" w:after="100" w:afterAutospacing="1"/>
              <w:jc w:val="right"/>
              <w:rPr>
                <w:bCs/>
              </w:rPr>
            </w:pPr>
            <w:r w:rsidRPr="000B7D10">
              <w:rPr>
                <w:bCs/>
              </w:rPr>
              <w:t>69</w:t>
            </w:r>
            <w:r>
              <w:rPr>
                <w:bCs/>
              </w:rPr>
              <w:t>0</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0B7D10" w:rsidRDefault="006369C9" w:rsidP="006369C9">
            <w:pPr>
              <w:spacing w:before="100" w:beforeAutospacing="1" w:after="100" w:afterAutospacing="1"/>
              <w:jc w:val="right"/>
              <w:rPr>
                <w:bCs/>
              </w:rPr>
            </w:pPr>
            <w:r>
              <w:rPr>
                <w:bCs/>
              </w:rPr>
              <w:t>680</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8F2CCC" w:rsidP="00021737">
            <w:pPr>
              <w:spacing w:before="100" w:beforeAutospacing="1" w:after="100" w:afterAutospacing="1"/>
              <w:jc w:val="right"/>
              <w:rPr>
                <w:bCs/>
              </w:rPr>
            </w:pPr>
            <w:r w:rsidRPr="000B7D10">
              <w:rPr>
                <w:bCs/>
              </w:rPr>
              <w:t>155,</w:t>
            </w:r>
            <w:r w:rsidR="004B5386" w:rsidRPr="000B7D10">
              <w:rPr>
                <w:bCs/>
              </w:rPr>
              <w:t>86</w:t>
            </w:r>
            <w:r w:rsidR="00021737">
              <w:rPr>
                <w:bCs/>
              </w:rPr>
              <w:t>5</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0B7D10" w:rsidRDefault="008F2CCC" w:rsidP="00DC3BE1">
            <w:pPr>
              <w:spacing w:before="100" w:beforeAutospacing="1" w:after="100" w:afterAutospacing="1"/>
              <w:rPr>
                <w:bCs/>
              </w:rPr>
            </w:pPr>
            <w:r w:rsidRPr="000B7D10">
              <w:rPr>
                <w:bCs/>
              </w:rPr>
              <w:t xml:space="preserve">2013 </w:t>
            </w:r>
            <w:r w:rsidR="004573AC" w:rsidRPr="000B7D10">
              <w:rPr>
                <w:bCs/>
              </w:rPr>
              <w:t>Continuing Resolution</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4B5386" w:rsidP="00CE5ECC">
            <w:pPr>
              <w:spacing w:before="100" w:beforeAutospacing="1" w:after="100" w:afterAutospacing="1"/>
              <w:jc w:val="right"/>
              <w:rPr>
                <w:bCs/>
              </w:rPr>
            </w:pPr>
            <w:r>
              <w:rPr>
                <w:bCs/>
              </w:rPr>
              <w:t>690</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0B7D10" w:rsidRDefault="004B5386" w:rsidP="00045436">
            <w:pPr>
              <w:spacing w:before="100" w:beforeAutospacing="1" w:after="100" w:afterAutospacing="1"/>
              <w:jc w:val="right"/>
              <w:rPr>
                <w:bCs/>
              </w:rPr>
            </w:pPr>
            <w:r>
              <w:rPr>
                <w:bCs/>
              </w:rPr>
              <w:t>64</w:t>
            </w:r>
            <w:r w:rsidR="003A2AD7">
              <w:rPr>
                <w:bCs/>
              </w:rPr>
              <w:t>2</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4B5386" w:rsidP="00021737">
            <w:pPr>
              <w:spacing w:before="100" w:beforeAutospacing="1" w:after="100" w:afterAutospacing="1"/>
              <w:jc w:val="right"/>
              <w:rPr>
                <w:bCs/>
              </w:rPr>
            </w:pPr>
            <w:r>
              <w:rPr>
                <w:bCs/>
              </w:rPr>
              <w:t>15</w:t>
            </w:r>
            <w:r w:rsidR="00021737">
              <w:rPr>
                <w:bCs/>
              </w:rPr>
              <w:t>6</w:t>
            </w:r>
            <w:r>
              <w:rPr>
                <w:bCs/>
              </w:rPr>
              <w:t>,8</w:t>
            </w:r>
            <w:r w:rsidR="00021737">
              <w:rPr>
                <w:bCs/>
              </w:rPr>
              <w:t>50</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0B7D10" w:rsidRDefault="008F2CCC" w:rsidP="00DC3BE1">
            <w:pPr>
              <w:spacing w:before="100" w:beforeAutospacing="1" w:after="100" w:afterAutospacing="1"/>
              <w:rPr>
                <w:bCs/>
              </w:rPr>
            </w:pPr>
            <w:r w:rsidRPr="000B7D10">
              <w:rPr>
                <w:bCs/>
              </w:rPr>
              <w:t>Adjustments to Base and Technical Adjustments</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8F2CCC" w:rsidP="00CE5ECC">
            <w:pPr>
              <w:spacing w:before="100" w:beforeAutospacing="1" w:after="100" w:afterAutospacing="1"/>
              <w:jc w:val="right"/>
              <w:rPr>
                <w:bCs/>
              </w:rPr>
            </w:pPr>
            <w:r w:rsidRPr="000B7D10">
              <w:rPr>
                <w:bCs/>
              </w:rPr>
              <w:t>0</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0B7D10" w:rsidRDefault="008F2CCC" w:rsidP="00F15AE4">
            <w:pPr>
              <w:spacing w:before="100" w:beforeAutospacing="1" w:after="100" w:afterAutospacing="1"/>
              <w:jc w:val="right"/>
              <w:rPr>
                <w:bCs/>
              </w:rPr>
            </w:pPr>
            <w:r w:rsidRPr="000B7D10">
              <w:rPr>
                <w:bCs/>
              </w:rPr>
              <w:t>0</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021737" w:rsidP="00021737">
            <w:pPr>
              <w:spacing w:before="100" w:beforeAutospacing="1" w:after="100" w:afterAutospacing="1"/>
              <w:jc w:val="right"/>
              <w:rPr>
                <w:bCs/>
              </w:rPr>
            </w:pPr>
            <w:r>
              <w:rPr>
                <w:bCs/>
              </w:rPr>
              <w:t>18,035</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0B7D10" w:rsidRDefault="008F2CCC" w:rsidP="00DC3BE1">
            <w:pPr>
              <w:spacing w:before="100" w:beforeAutospacing="1" w:after="100" w:afterAutospacing="1"/>
              <w:rPr>
                <w:bCs/>
              </w:rPr>
            </w:pPr>
            <w:r w:rsidRPr="000B7D10">
              <w:rPr>
                <w:bCs/>
              </w:rPr>
              <w:t>2014 Current Services</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4B5386" w:rsidP="00CE5ECC">
            <w:pPr>
              <w:spacing w:before="100" w:beforeAutospacing="1" w:after="100" w:afterAutospacing="1"/>
              <w:jc w:val="right"/>
              <w:rPr>
                <w:bCs/>
              </w:rPr>
            </w:pPr>
            <w:r>
              <w:rPr>
                <w:bCs/>
              </w:rPr>
              <w:t>690</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0B7D10" w:rsidRDefault="004B5386" w:rsidP="00045436">
            <w:pPr>
              <w:spacing w:before="100" w:beforeAutospacing="1" w:after="100" w:afterAutospacing="1"/>
              <w:jc w:val="right"/>
              <w:rPr>
                <w:bCs/>
              </w:rPr>
            </w:pPr>
            <w:r>
              <w:rPr>
                <w:bCs/>
              </w:rPr>
              <w:t>64</w:t>
            </w:r>
            <w:r w:rsidR="003A2AD7">
              <w:rPr>
                <w:bCs/>
              </w:rPr>
              <w:t>2</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8F2CCC" w:rsidP="00021737">
            <w:pPr>
              <w:spacing w:before="100" w:beforeAutospacing="1" w:after="100" w:afterAutospacing="1"/>
              <w:jc w:val="right"/>
              <w:rPr>
                <w:bCs/>
              </w:rPr>
            </w:pPr>
            <w:r w:rsidRPr="000B7D10">
              <w:rPr>
                <w:bCs/>
              </w:rPr>
              <w:t>1</w:t>
            </w:r>
            <w:r w:rsidR="00021737">
              <w:rPr>
                <w:bCs/>
              </w:rPr>
              <w:t>38,815</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0B7D10" w:rsidRDefault="008F2CCC" w:rsidP="00DC3BE1">
            <w:pPr>
              <w:spacing w:before="100" w:beforeAutospacing="1" w:after="100" w:afterAutospacing="1"/>
              <w:rPr>
                <w:bCs/>
              </w:rPr>
            </w:pPr>
            <w:r w:rsidRPr="000B7D10">
              <w:rPr>
                <w:bCs/>
              </w:rPr>
              <w:t>2014 Program Increases</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3F5B32" w:rsidP="00CE5ECC">
            <w:pPr>
              <w:spacing w:before="100" w:beforeAutospacing="1" w:after="100" w:afterAutospacing="1"/>
              <w:jc w:val="right"/>
              <w:rPr>
                <w:bCs/>
              </w:rPr>
            </w:pPr>
            <w:r w:rsidRPr="000B7D10">
              <w:rPr>
                <w:bCs/>
              </w:rPr>
              <w:t>34</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0B7D10" w:rsidRDefault="004B5386" w:rsidP="006369C9">
            <w:pPr>
              <w:spacing w:before="100" w:beforeAutospacing="1" w:after="100" w:afterAutospacing="1"/>
              <w:jc w:val="right"/>
              <w:rPr>
                <w:bCs/>
              </w:rPr>
            </w:pPr>
            <w:r>
              <w:rPr>
                <w:bCs/>
              </w:rPr>
              <w:t>1</w:t>
            </w:r>
            <w:r w:rsidR="006369C9">
              <w:rPr>
                <w:bCs/>
              </w:rPr>
              <w:t>7</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021737" w:rsidP="00021737">
            <w:pPr>
              <w:spacing w:before="100" w:beforeAutospacing="1" w:after="100" w:afterAutospacing="1"/>
              <w:jc w:val="right"/>
              <w:rPr>
                <w:bCs/>
              </w:rPr>
            </w:pPr>
            <w:r>
              <w:rPr>
                <w:bCs/>
              </w:rPr>
              <w:t>28,911</w:t>
            </w:r>
          </w:p>
        </w:tc>
      </w:tr>
      <w:tr w:rsidR="003F5B32"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3F5B32" w:rsidRPr="000B7D10" w:rsidRDefault="003F5B32" w:rsidP="00DC3BE1">
            <w:pPr>
              <w:spacing w:before="100" w:beforeAutospacing="1" w:after="100" w:afterAutospacing="1"/>
              <w:rPr>
                <w:bCs/>
              </w:rPr>
            </w:pPr>
            <w:r w:rsidRPr="000B7D10">
              <w:rPr>
                <w:bCs/>
              </w:rPr>
              <w:t>2014 Program De</w:t>
            </w:r>
            <w:r w:rsidR="008F2CCC" w:rsidRPr="000B7D10">
              <w:rPr>
                <w:bCs/>
              </w:rPr>
              <w:t>creases</w:t>
            </w:r>
          </w:p>
        </w:tc>
        <w:tc>
          <w:tcPr>
            <w:tcW w:w="1440" w:type="dxa"/>
            <w:tcBorders>
              <w:top w:val="single" w:sz="4" w:space="0" w:color="auto"/>
              <w:left w:val="single" w:sz="4" w:space="0" w:color="auto"/>
              <w:bottom w:val="single" w:sz="4" w:space="0" w:color="auto"/>
              <w:right w:val="single" w:sz="4" w:space="0" w:color="auto"/>
            </w:tcBorders>
            <w:vAlign w:val="bottom"/>
          </w:tcPr>
          <w:p w:rsidR="003F5B32" w:rsidRPr="000B7D10" w:rsidRDefault="003F5B32" w:rsidP="00757AF8">
            <w:pPr>
              <w:spacing w:before="100" w:beforeAutospacing="1" w:after="100" w:afterAutospacing="1"/>
              <w:jc w:val="right"/>
              <w:rPr>
                <w:bCs/>
              </w:rPr>
            </w:pPr>
            <w:r w:rsidRPr="000B7D10">
              <w:rPr>
                <w:bCs/>
              </w:rPr>
              <w:t>(22)</w:t>
            </w:r>
          </w:p>
        </w:tc>
        <w:tc>
          <w:tcPr>
            <w:tcW w:w="1260" w:type="dxa"/>
            <w:tcBorders>
              <w:top w:val="single" w:sz="4" w:space="0" w:color="auto"/>
              <w:left w:val="single" w:sz="4" w:space="0" w:color="auto"/>
              <w:bottom w:val="single" w:sz="4" w:space="0" w:color="auto"/>
              <w:right w:val="single" w:sz="4" w:space="0" w:color="auto"/>
            </w:tcBorders>
            <w:vAlign w:val="bottom"/>
          </w:tcPr>
          <w:p w:rsidR="003F5B32" w:rsidRPr="000B7D10" w:rsidRDefault="003F5B32" w:rsidP="00757AF8">
            <w:pPr>
              <w:spacing w:before="100" w:beforeAutospacing="1" w:after="100" w:afterAutospacing="1"/>
              <w:jc w:val="right"/>
              <w:rPr>
                <w:bCs/>
              </w:rPr>
            </w:pPr>
            <w:r w:rsidRPr="000B7D10">
              <w:rPr>
                <w:bCs/>
              </w:rPr>
              <w:t>0</w:t>
            </w:r>
          </w:p>
        </w:tc>
        <w:tc>
          <w:tcPr>
            <w:tcW w:w="1440" w:type="dxa"/>
            <w:tcBorders>
              <w:top w:val="single" w:sz="4" w:space="0" w:color="auto"/>
              <w:left w:val="single" w:sz="4" w:space="0" w:color="auto"/>
              <w:bottom w:val="single" w:sz="4" w:space="0" w:color="auto"/>
              <w:right w:val="single" w:sz="4" w:space="0" w:color="auto"/>
            </w:tcBorders>
            <w:vAlign w:val="bottom"/>
          </w:tcPr>
          <w:p w:rsidR="003F5B32" w:rsidRPr="000B7D10" w:rsidRDefault="003F5B32" w:rsidP="004B5386">
            <w:pPr>
              <w:spacing w:before="100" w:beforeAutospacing="1" w:after="100" w:afterAutospacing="1"/>
              <w:jc w:val="right"/>
              <w:rPr>
                <w:bCs/>
              </w:rPr>
            </w:pPr>
            <w:r w:rsidRPr="000B7D10">
              <w:rPr>
                <w:bCs/>
              </w:rPr>
              <w:t>(1,</w:t>
            </w:r>
            <w:r w:rsidR="004B5386" w:rsidRPr="000B7D10">
              <w:rPr>
                <w:bCs/>
              </w:rPr>
              <w:t>37</w:t>
            </w:r>
            <w:r w:rsidR="004B5386">
              <w:rPr>
                <w:bCs/>
              </w:rPr>
              <w:t>3</w:t>
            </w:r>
            <w:r w:rsidR="000B7D10">
              <w:rPr>
                <w:bCs/>
              </w:rPr>
              <w:t>)</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vAlign w:val="bottom"/>
          </w:tcPr>
          <w:p w:rsidR="00DC3BE1" w:rsidRPr="000B7D10" w:rsidRDefault="008F2CCC" w:rsidP="00DC3BE1">
            <w:pPr>
              <w:spacing w:before="100" w:beforeAutospacing="1" w:after="100" w:afterAutospacing="1"/>
              <w:rPr>
                <w:bCs/>
              </w:rPr>
            </w:pPr>
            <w:r w:rsidRPr="000B7D10">
              <w:rPr>
                <w:bCs/>
              </w:rPr>
              <w:t>2014 Request</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4B5386" w:rsidP="003F5B32">
            <w:pPr>
              <w:spacing w:before="100" w:beforeAutospacing="1" w:after="100" w:afterAutospacing="1"/>
              <w:jc w:val="right"/>
              <w:rPr>
                <w:bCs/>
              </w:rPr>
            </w:pPr>
            <w:r>
              <w:rPr>
                <w:bCs/>
              </w:rPr>
              <w:t>702</w:t>
            </w:r>
          </w:p>
        </w:tc>
        <w:tc>
          <w:tcPr>
            <w:tcW w:w="1260" w:type="dxa"/>
            <w:tcBorders>
              <w:top w:val="single" w:sz="4" w:space="0" w:color="auto"/>
              <w:left w:val="single" w:sz="4" w:space="0" w:color="auto"/>
              <w:bottom w:val="single" w:sz="4" w:space="0" w:color="auto"/>
              <w:right w:val="single" w:sz="4" w:space="0" w:color="auto"/>
            </w:tcBorders>
            <w:vAlign w:val="bottom"/>
          </w:tcPr>
          <w:p w:rsidR="00DC3BE1" w:rsidRPr="000B7D10" w:rsidRDefault="004B5386" w:rsidP="00045436">
            <w:pPr>
              <w:spacing w:before="100" w:beforeAutospacing="1" w:after="100" w:afterAutospacing="1"/>
              <w:jc w:val="right"/>
              <w:rPr>
                <w:bCs/>
              </w:rPr>
            </w:pPr>
            <w:r>
              <w:rPr>
                <w:bCs/>
              </w:rPr>
              <w:t>6</w:t>
            </w:r>
            <w:r w:rsidR="003A2AD7">
              <w:rPr>
                <w:bCs/>
              </w:rPr>
              <w:t>59</w:t>
            </w:r>
          </w:p>
        </w:tc>
        <w:tc>
          <w:tcPr>
            <w:tcW w:w="1440" w:type="dxa"/>
            <w:tcBorders>
              <w:top w:val="single" w:sz="4" w:space="0" w:color="auto"/>
              <w:left w:val="single" w:sz="4" w:space="0" w:color="auto"/>
              <w:bottom w:val="single" w:sz="4" w:space="0" w:color="auto"/>
              <w:right w:val="single" w:sz="4" w:space="0" w:color="auto"/>
            </w:tcBorders>
            <w:vAlign w:val="bottom"/>
          </w:tcPr>
          <w:p w:rsidR="00DC3BE1" w:rsidRPr="000B7D10" w:rsidRDefault="003F5B32" w:rsidP="00021737">
            <w:pPr>
              <w:spacing w:before="100" w:beforeAutospacing="1" w:after="100" w:afterAutospacing="1"/>
              <w:jc w:val="right"/>
              <w:rPr>
                <w:bCs/>
              </w:rPr>
            </w:pPr>
            <w:r w:rsidRPr="000B7D10">
              <w:rPr>
                <w:bCs/>
              </w:rPr>
              <w:t>16</w:t>
            </w:r>
            <w:r w:rsidR="00021737">
              <w:rPr>
                <w:bCs/>
              </w:rPr>
              <w:t>6</w:t>
            </w:r>
            <w:r w:rsidRPr="000B7D10">
              <w:rPr>
                <w:bCs/>
              </w:rPr>
              <w:t>,</w:t>
            </w:r>
            <w:r w:rsidR="00021737">
              <w:rPr>
                <w:bCs/>
              </w:rPr>
              <w:t>353</w:t>
            </w:r>
          </w:p>
        </w:tc>
      </w:tr>
      <w:tr w:rsidR="00DC3BE1" w:rsidRPr="00DC4C9F" w:rsidTr="00DC3BE1">
        <w:tc>
          <w:tcPr>
            <w:tcW w:w="5220" w:type="dxa"/>
            <w:tcBorders>
              <w:top w:val="single" w:sz="4" w:space="0" w:color="auto"/>
              <w:left w:val="single" w:sz="4" w:space="0" w:color="auto"/>
              <w:bottom w:val="single" w:sz="4" w:space="0" w:color="auto"/>
              <w:right w:val="single" w:sz="4" w:space="0" w:color="auto"/>
            </w:tcBorders>
            <w:shd w:val="clear" w:color="auto" w:fill="E6E6E6"/>
            <w:vAlign w:val="bottom"/>
          </w:tcPr>
          <w:p w:rsidR="00DC3BE1" w:rsidRPr="00DC3BE1" w:rsidRDefault="00DC3BE1" w:rsidP="00DC3BE1">
            <w:pPr>
              <w:spacing w:before="100" w:beforeAutospacing="1" w:after="100" w:afterAutospacing="1"/>
              <w:rPr>
                <w:b/>
                <w:bCs/>
              </w:rPr>
            </w:pPr>
            <w:r w:rsidRPr="00DC3BE1">
              <w:rPr>
                <w:b/>
                <w:bCs/>
              </w:rPr>
              <w:t>Total Change 2013-2014</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bottom"/>
          </w:tcPr>
          <w:p w:rsidR="00DC3BE1" w:rsidRPr="000B7D10" w:rsidRDefault="003F5B32" w:rsidP="00CE5ECC">
            <w:pPr>
              <w:spacing w:before="100" w:beforeAutospacing="1" w:after="100" w:afterAutospacing="1"/>
              <w:jc w:val="right"/>
              <w:rPr>
                <w:bCs/>
              </w:rPr>
            </w:pPr>
            <w:r w:rsidRPr="000B7D10">
              <w:rPr>
                <w:bCs/>
              </w:rPr>
              <w:t>12</w:t>
            </w:r>
          </w:p>
        </w:tc>
        <w:tc>
          <w:tcPr>
            <w:tcW w:w="1260" w:type="dxa"/>
            <w:tcBorders>
              <w:top w:val="single" w:sz="4" w:space="0" w:color="auto"/>
              <w:left w:val="single" w:sz="4" w:space="0" w:color="auto"/>
              <w:bottom w:val="single" w:sz="4" w:space="0" w:color="auto"/>
              <w:right w:val="single" w:sz="4" w:space="0" w:color="auto"/>
            </w:tcBorders>
            <w:shd w:val="clear" w:color="auto" w:fill="E6E6E6"/>
            <w:vAlign w:val="bottom"/>
          </w:tcPr>
          <w:p w:rsidR="00DC3BE1" w:rsidRPr="000B7D10" w:rsidRDefault="004B5386" w:rsidP="00711CD7">
            <w:pPr>
              <w:spacing w:before="100" w:beforeAutospacing="1" w:after="100" w:afterAutospacing="1"/>
              <w:jc w:val="right"/>
              <w:rPr>
                <w:bCs/>
              </w:rPr>
            </w:pPr>
            <w:r w:rsidRPr="000B7D10">
              <w:rPr>
                <w:bCs/>
              </w:rPr>
              <w:t>1</w:t>
            </w:r>
            <w:r w:rsidR="00711CD7">
              <w:rPr>
                <w:bCs/>
              </w:rPr>
              <w:t>7</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bottom"/>
          </w:tcPr>
          <w:p w:rsidR="00DC3BE1" w:rsidRPr="000B7D10" w:rsidRDefault="00021737" w:rsidP="00021737">
            <w:pPr>
              <w:spacing w:before="100" w:beforeAutospacing="1" w:after="100" w:afterAutospacing="1"/>
              <w:jc w:val="right"/>
              <w:rPr>
                <w:bCs/>
              </w:rPr>
            </w:pPr>
            <w:r>
              <w:rPr>
                <w:bCs/>
              </w:rPr>
              <w:t>9,503</w:t>
            </w:r>
          </w:p>
        </w:tc>
      </w:tr>
    </w:tbl>
    <w:p w:rsidR="00E21591" w:rsidRDefault="00E21591">
      <w:pPr>
        <w:spacing w:before="100" w:beforeAutospacing="1" w:after="100" w:afterAutospacing="1"/>
        <w:rPr>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1260"/>
        <w:gridCol w:w="1440"/>
      </w:tblGrid>
      <w:tr w:rsidR="00C147F4" w:rsidRPr="00DC4C9F" w:rsidTr="00C147F4">
        <w:tc>
          <w:tcPr>
            <w:tcW w:w="5220" w:type="dxa"/>
            <w:tcBorders>
              <w:top w:val="single" w:sz="4" w:space="0" w:color="auto"/>
              <w:left w:val="single" w:sz="4" w:space="0" w:color="auto"/>
              <w:bottom w:val="single" w:sz="4" w:space="0" w:color="auto"/>
              <w:right w:val="single" w:sz="4" w:space="0" w:color="auto"/>
            </w:tcBorders>
            <w:vAlign w:val="bottom"/>
          </w:tcPr>
          <w:p w:rsidR="00C147F4" w:rsidRPr="00A10B28" w:rsidRDefault="00C147F4" w:rsidP="00C147F4">
            <w:pPr>
              <w:spacing w:before="100" w:beforeAutospacing="1" w:after="100" w:afterAutospacing="1"/>
              <w:rPr>
                <w:b/>
                <w:color w:val="FF0000"/>
              </w:rPr>
            </w:pPr>
            <w:r>
              <w:rPr>
                <w:b/>
                <w:bCs/>
              </w:rPr>
              <w:t xml:space="preserve">INVESTIGATIVE  </w:t>
            </w:r>
            <w:r w:rsidR="00397503">
              <w:rPr>
                <w:b/>
                <w:bCs/>
              </w:rPr>
              <w:t xml:space="preserve">SUPPORT </w:t>
            </w:r>
            <w:r>
              <w:rPr>
                <w:b/>
                <w:bCs/>
              </w:rPr>
              <w:t>SERVICES</w:t>
            </w:r>
            <w:r w:rsidRPr="004D0552">
              <w:rPr>
                <w:b/>
                <w:color w:val="FF0000"/>
              </w:rPr>
              <w:t xml:space="preserve"> </w:t>
            </w:r>
            <w:r w:rsidR="00A10B28">
              <w:rPr>
                <w:b/>
              </w:rPr>
              <w:t xml:space="preserve">Information </w:t>
            </w:r>
            <w:r w:rsidRPr="00F473DC">
              <w:rPr>
                <w:b/>
              </w:rPr>
              <w:t>Technology Breakout</w:t>
            </w:r>
          </w:p>
        </w:tc>
        <w:tc>
          <w:tcPr>
            <w:tcW w:w="1440" w:type="dxa"/>
            <w:tcBorders>
              <w:top w:val="single" w:sz="4" w:space="0" w:color="auto"/>
              <w:left w:val="single" w:sz="4" w:space="0" w:color="auto"/>
              <w:bottom w:val="single" w:sz="4" w:space="0" w:color="auto"/>
              <w:right w:val="single" w:sz="4" w:space="0" w:color="auto"/>
            </w:tcBorders>
            <w:vAlign w:val="bottom"/>
          </w:tcPr>
          <w:p w:rsidR="00C147F4" w:rsidRPr="00DC3BE1" w:rsidRDefault="00C147F4" w:rsidP="00C147F4">
            <w:pPr>
              <w:spacing w:before="100" w:beforeAutospacing="1" w:after="100" w:afterAutospacing="1"/>
              <w:rPr>
                <w:b/>
                <w:bCs/>
              </w:rPr>
            </w:pPr>
            <w:r w:rsidRPr="00DC3BE1">
              <w:rPr>
                <w:b/>
                <w:bCs/>
              </w:rPr>
              <w:t>Perm. Pos.</w:t>
            </w:r>
          </w:p>
        </w:tc>
        <w:tc>
          <w:tcPr>
            <w:tcW w:w="1260" w:type="dxa"/>
            <w:tcBorders>
              <w:top w:val="single" w:sz="4" w:space="0" w:color="auto"/>
              <w:left w:val="single" w:sz="4" w:space="0" w:color="auto"/>
              <w:bottom w:val="single" w:sz="4" w:space="0" w:color="auto"/>
              <w:right w:val="single" w:sz="4" w:space="0" w:color="auto"/>
            </w:tcBorders>
            <w:vAlign w:val="bottom"/>
          </w:tcPr>
          <w:p w:rsidR="00C147F4" w:rsidRPr="00DC3BE1" w:rsidRDefault="00C147F4" w:rsidP="00C147F4">
            <w:pPr>
              <w:spacing w:before="100" w:beforeAutospacing="1" w:after="100" w:afterAutospacing="1"/>
              <w:rPr>
                <w:b/>
                <w:bCs/>
              </w:rPr>
            </w:pPr>
            <w:r w:rsidRPr="00DC3BE1">
              <w:rPr>
                <w:b/>
                <w:bCs/>
              </w:rPr>
              <w:t>FTE</w:t>
            </w:r>
          </w:p>
        </w:tc>
        <w:tc>
          <w:tcPr>
            <w:tcW w:w="1440" w:type="dxa"/>
            <w:tcBorders>
              <w:top w:val="single" w:sz="4" w:space="0" w:color="auto"/>
              <w:left w:val="single" w:sz="4" w:space="0" w:color="auto"/>
              <w:bottom w:val="single" w:sz="4" w:space="0" w:color="auto"/>
              <w:right w:val="single" w:sz="4" w:space="0" w:color="auto"/>
            </w:tcBorders>
            <w:vAlign w:val="bottom"/>
          </w:tcPr>
          <w:p w:rsidR="00C147F4" w:rsidRPr="00DC3BE1" w:rsidRDefault="00C147F4" w:rsidP="00C147F4">
            <w:pPr>
              <w:spacing w:before="100" w:beforeAutospacing="1" w:after="100" w:afterAutospacing="1"/>
              <w:rPr>
                <w:b/>
                <w:bCs/>
              </w:rPr>
            </w:pPr>
            <w:r w:rsidRPr="00DC3BE1">
              <w:rPr>
                <w:b/>
                <w:bCs/>
              </w:rPr>
              <w:t>Amount</w:t>
            </w:r>
          </w:p>
        </w:tc>
      </w:tr>
      <w:tr w:rsidR="00C147F4" w:rsidRPr="00DC4C9F" w:rsidTr="00C147F4">
        <w:tc>
          <w:tcPr>
            <w:tcW w:w="522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C147F4">
            <w:pPr>
              <w:spacing w:before="100" w:beforeAutospacing="1" w:after="100" w:afterAutospacing="1"/>
              <w:rPr>
                <w:bCs/>
              </w:rPr>
            </w:pPr>
            <w:r w:rsidRPr="000B7D10">
              <w:rPr>
                <w:bCs/>
              </w:rPr>
              <w:t xml:space="preserve">2012 Enacted </w:t>
            </w:r>
          </w:p>
        </w:tc>
        <w:tc>
          <w:tcPr>
            <w:tcW w:w="144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711CD7">
            <w:pPr>
              <w:spacing w:before="100" w:beforeAutospacing="1" w:after="100" w:afterAutospacing="1"/>
              <w:jc w:val="right"/>
              <w:rPr>
                <w:bCs/>
              </w:rPr>
            </w:pPr>
            <w:r w:rsidRPr="000B7D10">
              <w:rPr>
                <w:bCs/>
              </w:rPr>
              <w:t>1</w:t>
            </w:r>
            <w:r w:rsidR="00711CD7">
              <w:rPr>
                <w:bCs/>
              </w:rPr>
              <w:t>2</w:t>
            </w:r>
          </w:p>
        </w:tc>
        <w:tc>
          <w:tcPr>
            <w:tcW w:w="126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711CD7">
            <w:pPr>
              <w:spacing w:before="100" w:beforeAutospacing="1" w:after="100" w:afterAutospacing="1"/>
              <w:jc w:val="right"/>
              <w:rPr>
                <w:bCs/>
              </w:rPr>
            </w:pPr>
            <w:r w:rsidRPr="000B7D10">
              <w:rPr>
                <w:bCs/>
              </w:rPr>
              <w:t>1</w:t>
            </w:r>
            <w:r w:rsidR="00711CD7">
              <w:rPr>
                <w:bCs/>
              </w:rPr>
              <w:t>2</w:t>
            </w:r>
          </w:p>
        </w:tc>
        <w:tc>
          <w:tcPr>
            <w:tcW w:w="144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711CD7">
            <w:pPr>
              <w:spacing w:before="100" w:beforeAutospacing="1" w:after="100" w:afterAutospacing="1"/>
              <w:jc w:val="right"/>
              <w:rPr>
                <w:bCs/>
              </w:rPr>
            </w:pPr>
            <w:r w:rsidRPr="000B7D10">
              <w:rPr>
                <w:bCs/>
              </w:rPr>
              <w:t>$1</w:t>
            </w:r>
            <w:r w:rsidR="00711CD7">
              <w:rPr>
                <w:bCs/>
              </w:rPr>
              <w:t>6</w:t>
            </w:r>
            <w:r w:rsidRPr="000B7D10">
              <w:rPr>
                <w:bCs/>
              </w:rPr>
              <w:t>,</w:t>
            </w:r>
            <w:r w:rsidR="00711CD7">
              <w:rPr>
                <w:bCs/>
              </w:rPr>
              <w:t>664</w:t>
            </w:r>
          </w:p>
        </w:tc>
      </w:tr>
      <w:tr w:rsidR="00C147F4" w:rsidRPr="00DC4C9F" w:rsidTr="00C147F4">
        <w:tc>
          <w:tcPr>
            <w:tcW w:w="522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C147F4">
            <w:pPr>
              <w:spacing w:before="100" w:beforeAutospacing="1" w:after="100" w:afterAutospacing="1"/>
              <w:rPr>
                <w:bCs/>
              </w:rPr>
            </w:pPr>
            <w:r w:rsidRPr="000B7D10">
              <w:rPr>
                <w:bCs/>
              </w:rPr>
              <w:t xml:space="preserve">2012 Enacted w/Rescissions </w:t>
            </w:r>
          </w:p>
        </w:tc>
        <w:tc>
          <w:tcPr>
            <w:tcW w:w="144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711CD7">
            <w:pPr>
              <w:spacing w:before="100" w:beforeAutospacing="1" w:after="100" w:afterAutospacing="1"/>
              <w:jc w:val="right"/>
              <w:rPr>
                <w:bCs/>
              </w:rPr>
            </w:pPr>
            <w:r w:rsidRPr="000B7D10">
              <w:rPr>
                <w:bCs/>
              </w:rPr>
              <w:t>1</w:t>
            </w:r>
            <w:r w:rsidR="00711CD7">
              <w:rPr>
                <w:bCs/>
              </w:rPr>
              <w:t>2</w:t>
            </w:r>
          </w:p>
        </w:tc>
        <w:tc>
          <w:tcPr>
            <w:tcW w:w="126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711CD7">
            <w:pPr>
              <w:spacing w:before="100" w:beforeAutospacing="1" w:after="100" w:afterAutospacing="1"/>
              <w:jc w:val="right"/>
              <w:rPr>
                <w:bCs/>
              </w:rPr>
            </w:pPr>
            <w:r w:rsidRPr="000B7D10">
              <w:rPr>
                <w:bCs/>
              </w:rPr>
              <w:t>1</w:t>
            </w:r>
            <w:r w:rsidR="00711CD7">
              <w:rPr>
                <w:bCs/>
              </w:rPr>
              <w:t>2</w:t>
            </w:r>
          </w:p>
        </w:tc>
        <w:tc>
          <w:tcPr>
            <w:tcW w:w="144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711CD7">
            <w:pPr>
              <w:spacing w:before="100" w:beforeAutospacing="1" w:after="100" w:afterAutospacing="1"/>
              <w:jc w:val="right"/>
              <w:rPr>
                <w:bCs/>
              </w:rPr>
            </w:pPr>
            <w:r w:rsidRPr="000B7D10">
              <w:rPr>
                <w:bCs/>
              </w:rPr>
              <w:t>1</w:t>
            </w:r>
            <w:r w:rsidR="00711CD7">
              <w:rPr>
                <w:bCs/>
              </w:rPr>
              <w:t>6</w:t>
            </w:r>
            <w:r w:rsidRPr="000B7D10">
              <w:rPr>
                <w:bCs/>
              </w:rPr>
              <w:t>,</w:t>
            </w:r>
            <w:r w:rsidR="00711CD7">
              <w:rPr>
                <w:bCs/>
              </w:rPr>
              <w:t>664</w:t>
            </w:r>
          </w:p>
        </w:tc>
      </w:tr>
      <w:tr w:rsidR="00C147F4" w:rsidRPr="00DC4C9F" w:rsidTr="00C147F4">
        <w:tc>
          <w:tcPr>
            <w:tcW w:w="522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C147F4">
            <w:pPr>
              <w:spacing w:before="100" w:beforeAutospacing="1" w:after="100" w:afterAutospacing="1"/>
              <w:rPr>
                <w:bCs/>
              </w:rPr>
            </w:pPr>
            <w:r w:rsidRPr="000B7D10">
              <w:rPr>
                <w:bCs/>
              </w:rPr>
              <w:t xml:space="preserve">2013 </w:t>
            </w:r>
            <w:r w:rsidR="004573AC" w:rsidRPr="000B7D10">
              <w:rPr>
                <w:bCs/>
              </w:rPr>
              <w:t>Continuing Resolution</w:t>
            </w:r>
          </w:p>
        </w:tc>
        <w:tc>
          <w:tcPr>
            <w:tcW w:w="144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711CD7">
            <w:pPr>
              <w:spacing w:before="100" w:beforeAutospacing="1" w:after="100" w:afterAutospacing="1"/>
              <w:jc w:val="right"/>
              <w:rPr>
                <w:bCs/>
              </w:rPr>
            </w:pPr>
            <w:r w:rsidRPr="000B7D10">
              <w:rPr>
                <w:bCs/>
              </w:rPr>
              <w:t>1</w:t>
            </w:r>
            <w:r w:rsidR="00711CD7">
              <w:rPr>
                <w:bCs/>
              </w:rPr>
              <w:t>2</w:t>
            </w:r>
          </w:p>
        </w:tc>
        <w:tc>
          <w:tcPr>
            <w:tcW w:w="126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711CD7">
            <w:pPr>
              <w:spacing w:before="100" w:beforeAutospacing="1" w:after="100" w:afterAutospacing="1"/>
              <w:jc w:val="right"/>
              <w:rPr>
                <w:bCs/>
              </w:rPr>
            </w:pPr>
            <w:r w:rsidRPr="000B7D10">
              <w:rPr>
                <w:bCs/>
              </w:rPr>
              <w:t>1</w:t>
            </w:r>
            <w:r w:rsidR="00711CD7">
              <w:rPr>
                <w:bCs/>
              </w:rPr>
              <w:t>2</w:t>
            </w:r>
          </w:p>
        </w:tc>
        <w:tc>
          <w:tcPr>
            <w:tcW w:w="144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711CD7">
            <w:pPr>
              <w:spacing w:before="100" w:beforeAutospacing="1" w:after="100" w:afterAutospacing="1"/>
              <w:jc w:val="right"/>
              <w:rPr>
                <w:bCs/>
              </w:rPr>
            </w:pPr>
            <w:r w:rsidRPr="000B7D10">
              <w:rPr>
                <w:bCs/>
              </w:rPr>
              <w:t>1</w:t>
            </w:r>
            <w:r w:rsidR="00711CD7">
              <w:rPr>
                <w:bCs/>
              </w:rPr>
              <w:t>6</w:t>
            </w:r>
            <w:r w:rsidRPr="000B7D10">
              <w:rPr>
                <w:bCs/>
              </w:rPr>
              <w:t>,</w:t>
            </w:r>
            <w:r w:rsidR="00711CD7">
              <w:rPr>
                <w:bCs/>
              </w:rPr>
              <w:t>664</w:t>
            </w:r>
          </w:p>
        </w:tc>
      </w:tr>
      <w:tr w:rsidR="00C147F4" w:rsidRPr="00DC4C9F" w:rsidTr="00C147F4">
        <w:tc>
          <w:tcPr>
            <w:tcW w:w="522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C147F4">
            <w:pPr>
              <w:spacing w:before="100" w:beforeAutospacing="1" w:after="100" w:afterAutospacing="1"/>
              <w:rPr>
                <w:bCs/>
              </w:rPr>
            </w:pPr>
            <w:r w:rsidRPr="000B7D10">
              <w:rPr>
                <w:bCs/>
              </w:rPr>
              <w:t>Adjustments to Base and Technical Adjustments</w:t>
            </w:r>
          </w:p>
        </w:tc>
        <w:tc>
          <w:tcPr>
            <w:tcW w:w="144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C147F4">
            <w:pPr>
              <w:spacing w:before="100" w:beforeAutospacing="1" w:after="100" w:afterAutospacing="1"/>
              <w:jc w:val="right"/>
              <w:rPr>
                <w:bCs/>
              </w:rPr>
            </w:pPr>
            <w:r w:rsidRPr="000B7D10">
              <w:rPr>
                <w:bCs/>
              </w:rPr>
              <w:t>0</w:t>
            </w:r>
          </w:p>
        </w:tc>
        <w:tc>
          <w:tcPr>
            <w:tcW w:w="126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C147F4">
            <w:pPr>
              <w:spacing w:before="100" w:beforeAutospacing="1" w:after="100" w:afterAutospacing="1"/>
              <w:jc w:val="right"/>
              <w:rPr>
                <w:bCs/>
              </w:rPr>
            </w:pPr>
            <w:r w:rsidRPr="000B7D10">
              <w:rPr>
                <w:bCs/>
              </w:rPr>
              <w:t>0</w:t>
            </w:r>
          </w:p>
        </w:tc>
        <w:tc>
          <w:tcPr>
            <w:tcW w:w="1440" w:type="dxa"/>
            <w:tcBorders>
              <w:top w:val="single" w:sz="4" w:space="0" w:color="auto"/>
              <w:left w:val="single" w:sz="4" w:space="0" w:color="auto"/>
              <w:bottom w:val="single" w:sz="4" w:space="0" w:color="auto"/>
              <w:right w:val="single" w:sz="4" w:space="0" w:color="auto"/>
            </w:tcBorders>
            <w:vAlign w:val="bottom"/>
          </w:tcPr>
          <w:p w:rsidR="00C147F4" w:rsidRPr="000B7D10" w:rsidRDefault="00711CD7" w:rsidP="00711CD7">
            <w:pPr>
              <w:spacing w:before="100" w:beforeAutospacing="1" w:after="100" w:afterAutospacing="1"/>
              <w:jc w:val="right"/>
              <w:rPr>
                <w:bCs/>
              </w:rPr>
            </w:pPr>
            <w:r>
              <w:rPr>
                <w:bCs/>
              </w:rPr>
              <w:t>1,219</w:t>
            </w:r>
          </w:p>
        </w:tc>
      </w:tr>
      <w:tr w:rsidR="00C147F4" w:rsidRPr="00DC4C9F" w:rsidTr="00C147F4">
        <w:tc>
          <w:tcPr>
            <w:tcW w:w="522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C147F4">
            <w:pPr>
              <w:spacing w:before="100" w:beforeAutospacing="1" w:after="100" w:afterAutospacing="1"/>
              <w:rPr>
                <w:bCs/>
              </w:rPr>
            </w:pPr>
            <w:r w:rsidRPr="000B7D10">
              <w:rPr>
                <w:bCs/>
              </w:rPr>
              <w:t>2014 Current Services</w:t>
            </w:r>
          </w:p>
        </w:tc>
        <w:tc>
          <w:tcPr>
            <w:tcW w:w="144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711CD7">
            <w:pPr>
              <w:spacing w:before="100" w:beforeAutospacing="1" w:after="100" w:afterAutospacing="1"/>
              <w:jc w:val="right"/>
              <w:rPr>
                <w:bCs/>
              </w:rPr>
            </w:pPr>
            <w:r w:rsidRPr="000B7D10">
              <w:rPr>
                <w:bCs/>
              </w:rPr>
              <w:t>1</w:t>
            </w:r>
            <w:r w:rsidR="00711CD7">
              <w:rPr>
                <w:bCs/>
              </w:rPr>
              <w:t>2</w:t>
            </w:r>
          </w:p>
        </w:tc>
        <w:tc>
          <w:tcPr>
            <w:tcW w:w="126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711CD7">
            <w:pPr>
              <w:spacing w:before="100" w:beforeAutospacing="1" w:after="100" w:afterAutospacing="1"/>
              <w:jc w:val="right"/>
              <w:rPr>
                <w:bCs/>
              </w:rPr>
            </w:pPr>
            <w:r w:rsidRPr="000B7D10">
              <w:rPr>
                <w:bCs/>
              </w:rPr>
              <w:t>1</w:t>
            </w:r>
            <w:r w:rsidR="00711CD7">
              <w:rPr>
                <w:bCs/>
              </w:rPr>
              <w:t>2</w:t>
            </w:r>
          </w:p>
        </w:tc>
        <w:tc>
          <w:tcPr>
            <w:tcW w:w="1440" w:type="dxa"/>
            <w:tcBorders>
              <w:top w:val="single" w:sz="4" w:space="0" w:color="auto"/>
              <w:left w:val="single" w:sz="4" w:space="0" w:color="auto"/>
              <w:bottom w:val="single" w:sz="4" w:space="0" w:color="auto"/>
              <w:right w:val="single" w:sz="4" w:space="0" w:color="auto"/>
            </w:tcBorders>
            <w:vAlign w:val="bottom"/>
          </w:tcPr>
          <w:p w:rsidR="00C147F4" w:rsidRPr="000B7D10" w:rsidRDefault="008F2CCC" w:rsidP="00711CD7">
            <w:pPr>
              <w:spacing w:before="100" w:beforeAutospacing="1" w:after="100" w:afterAutospacing="1"/>
              <w:jc w:val="right"/>
              <w:rPr>
                <w:bCs/>
              </w:rPr>
            </w:pPr>
            <w:r w:rsidRPr="000B7D10">
              <w:rPr>
                <w:bCs/>
              </w:rPr>
              <w:t>1</w:t>
            </w:r>
            <w:r w:rsidR="00711CD7">
              <w:rPr>
                <w:bCs/>
              </w:rPr>
              <w:t>7</w:t>
            </w:r>
            <w:r w:rsidRPr="000B7D10">
              <w:rPr>
                <w:bCs/>
              </w:rPr>
              <w:t>,</w:t>
            </w:r>
            <w:r w:rsidR="00711CD7">
              <w:rPr>
                <w:bCs/>
              </w:rPr>
              <w:t>882</w:t>
            </w:r>
          </w:p>
        </w:tc>
      </w:tr>
      <w:tr w:rsidR="004573AC" w:rsidRPr="00DC4C9F" w:rsidTr="00C147F4">
        <w:tc>
          <w:tcPr>
            <w:tcW w:w="5220" w:type="dxa"/>
            <w:tcBorders>
              <w:top w:val="single" w:sz="4" w:space="0" w:color="auto"/>
              <w:left w:val="single" w:sz="4" w:space="0" w:color="auto"/>
              <w:bottom w:val="single" w:sz="4" w:space="0" w:color="auto"/>
              <w:right w:val="single" w:sz="4" w:space="0" w:color="auto"/>
            </w:tcBorders>
            <w:vAlign w:val="bottom"/>
          </w:tcPr>
          <w:p w:rsidR="004573AC" w:rsidRPr="000B7D10" w:rsidRDefault="004573AC" w:rsidP="004573AC">
            <w:pPr>
              <w:spacing w:before="100" w:beforeAutospacing="1" w:after="100" w:afterAutospacing="1"/>
              <w:rPr>
                <w:bCs/>
              </w:rPr>
            </w:pPr>
            <w:r w:rsidRPr="000B7D10">
              <w:rPr>
                <w:bCs/>
              </w:rPr>
              <w:t>2014 Program Increases</w:t>
            </w:r>
          </w:p>
        </w:tc>
        <w:tc>
          <w:tcPr>
            <w:tcW w:w="1440" w:type="dxa"/>
            <w:tcBorders>
              <w:top w:val="single" w:sz="4" w:space="0" w:color="auto"/>
              <w:left w:val="single" w:sz="4" w:space="0" w:color="auto"/>
              <w:bottom w:val="single" w:sz="4" w:space="0" w:color="auto"/>
              <w:right w:val="single" w:sz="4" w:space="0" w:color="auto"/>
            </w:tcBorders>
            <w:vAlign w:val="bottom"/>
          </w:tcPr>
          <w:p w:rsidR="004573AC" w:rsidRPr="000B7D10" w:rsidRDefault="004573AC" w:rsidP="00C147F4">
            <w:pPr>
              <w:spacing w:before="100" w:beforeAutospacing="1" w:after="100" w:afterAutospacing="1"/>
              <w:jc w:val="right"/>
              <w:rPr>
                <w:bCs/>
              </w:rPr>
            </w:pPr>
            <w:r w:rsidRPr="000B7D10">
              <w:rPr>
                <w:bCs/>
              </w:rPr>
              <w:t>0</w:t>
            </w:r>
          </w:p>
        </w:tc>
        <w:tc>
          <w:tcPr>
            <w:tcW w:w="1260" w:type="dxa"/>
            <w:tcBorders>
              <w:top w:val="single" w:sz="4" w:space="0" w:color="auto"/>
              <w:left w:val="single" w:sz="4" w:space="0" w:color="auto"/>
              <w:bottom w:val="single" w:sz="4" w:space="0" w:color="auto"/>
              <w:right w:val="single" w:sz="4" w:space="0" w:color="auto"/>
            </w:tcBorders>
            <w:vAlign w:val="bottom"/>
          </w:tcPr>
          <w:p w:rsidR="004573AC" w:rsidRPr="000B7D10" w:rsidRDefault="004573AC" w:rsidP="00C147F4">
            <w:pPr>
              <w:spacing w:before="100" w:beforeAutospacing="1" w:after="100" w:afterAutospacing="1"/>
              <w:jc w:val="right"/>
              <w:rPr>
                <w:bCs/>
              </w:rPr>
            </w:pPr>
            <w:r w:rsidRPr="000B7D10">
              <w:rPr>
                <w:bCs/>
              </w:rPr>
              <w:t>0</w:t>
            </w:r>
          </w:p>
        </w:tc>
        <w:tc>
          <w:tcPr>
            <w:tcW w:w="1440" w:type="dxa"/>
            <w:tcBorders>
              <w:top w:val="single" w:sz="4" w:space="0" w:color="auto"/>
              <w:left w:val="single" w:sz="4" w:space="0" w:color="auto"/>
              <w:bottom w:val="single" w:sz="4" w:space="0" w:color="auto"/>
              <w:right w:val="single" w:sz="4" w:space="0" w:color="auto"/>
            </w:tcBorders>
            <w:vAlign w:val="bottom"/>
          </w:tcPr>
          <w:p w:rsidR="004573AC" w:rsidRPr="000B7D10" w:rsidRDefault="00EB75DD" w:rsidP="005F7308">
            <w:pPr>
              <w:spacing w:before="100" w:beforeAutospacing="1" w:after="100" w:afterAutospacing="1"/>
              <w:jc w:val="right"/>
              <w:rPr>
                <w:bCs/>
              </w:rPr>
            </w:pPr>
            <w:r>
              <w:rPr>
                <w:bCs/>
              </w:rPr>
              <w:t>8</w:t>
            </w:r>
            <w:r w:rsidR="005F7308">
              <w:rPr>
                <w:bCs/>
              </w:rPr>
              <w:t>,000</w:t>
            </w:r>
          </w:p>
        </w:tc>
      </w:tr>
      <w:tr w:rsidR="004573AC" w:rsidRPr="00DC4C9F" w:rsidTr="00C147F4">
        <w:tc>
          <w:tcPr>
            <w:tcW w:w="5220" w:type="dxa"/>
            <w:tcBorders>
              <w:top w:val="single" w:sz="4" w:space="0" w:color="auto"/>
              <w:left w:val="single" w:sz="4" w:space="0" w:color="auto"/>
              <w:bottom w:val="single" w:sz="4" w:space="0" w:color="auto"/>
              <w:right w:val="single" w:sz="4" w:space="0" w:color="auto"/>
            </w:tcBorders>
            <w:vAlign w:val="bottom"/>
          </w:tcPr>
          <w:p w:rsidR="004573AC" w:rsidRPr="000B7D10" w:rsidRDefault="004573AC" w:rsidP="004573AC">
            <w:pPr>
              <w:spacing w:before="100" w:beforeAutospacing="1" w:after="100" w:afterAutospacing="1"/>
              <w:rPr>
                <w:bCs/>
              </w:rPr>
            </w:pPr>
            <w:r w:rsidRPr="000B7D10">
              <w:rPr>
                <w:bCs/>
              </w:rPr>
              <w:t>2014 Program Decreases</w:t>
            </w:r>
          </w:p>
        </w:tc>
        <w:tc>
          <w:tcPr>
            <w:tcW w:w="1440" w:type="dxa"/>
            <w:tcBorders>
              <w:top w:val="single" w:sz="4" w:space="0" w:color="auto"/>
              <w:left w:val="single" w:sz="4" w:space="0" w:color="auto"/>
              <w:bottom w:val="single" w:sz="4" w:space="0" w:color="auto"/>
              <w:right w:val="single" w:sz="4" w:space="0" w:color="auto"/>
            </w:tcBorders>
            <w:vAlign w:val="bottom"/>
          </w:tcPr>
          <w:p w:rsidR="004573AC" w:rsidRPr="000B7D10" w:rsidRDefault="004573AC" w:rsidP="00C147F4">
            <w:pPr>
              <w:spacing w:before="100" w:beforeAutospacing="1" w:after="100" w:afterAutospacing="1"/>
              <w:jc w:val="right"/>
              <w:rPr>
                <w:bCs/>
              </w:rPr>
            </w:pPr>
            <w:r w:rsidRPr="000B7D10">
              <w:rPr>
                <w:bCs/>
              </w:rPr>
              <w:t>0</w:t>
            </w:r>
          </w:p>
        </w:tc>
        <w:tc>
          <w:tcPr>
            <w:tcW w:w="1260" w:type="dxa"/>
            <w:tcBorders>
              <w:top w:val="single" w:sz="4" w:space="0" w:color="auto"/>
              <w:left w:val="single" w:sz="4" w:space="0" w:color="auto"/>
              <w:bottom w:val="single" w:sz="4" w:space="0" w:color="auto"/>
              <w:right w:val="single" w:sz="4" w:space="0" w:color="auto"/>
            </w:tcBorders>
            <w:vAlign w:val="bottom"/>
          </w:tcPr>
          <w:p w:rsidR="004573AC" w:rsidRPr="000B7D10" w:rsidRDefault="004573AC" w:rsidP="00C147F4">
            <w:pPr>
              <w:spacing w:before="100" w:beforeAutospacing="1" w:after="100" w:afterAutospacing="1"/>
              <w:jc w:val="right"/>
              <w:rPr>
                <w:bCs/>
              </w:rPr>
            </w:pPr>
            <w:r w:rsidRPr="000B7D10">
              <w:rPr>
                <w:bCs/>
              </w:rPr>
              <w:t>0</w:t>
            </w:r>
          </w:p>
        </w:tc>
        <w:tc>
          <w:tcPr>
            <w:tcW w:w="1440" w:type="dxa"/>
            <w:tcBorders>
              <w:top w:val="single" w:sz="4" w:space="0" w:color="auto"/>
              <w:left w:val="single" w:sz="4" w:space="0" w:color="auto"/>
              <w:bottom w:val="single" w:sz="4" w:space="0" w:color="auto"/>
              <w:right w:val="single" w:sz="4" w:space="0" w:color="auto"/>
            </w:tcBorders>
            <w:vAlign w:val="bottom"/>
          </w:tcPr>
          <w:p w:rsidR="004573AC" w:rsidRPr="000B7D10" w:rsidRDefault="00711CD7" w:rsidP="00342F8B">
            <w:pPr>
              <w:spacing w:before="100" w:beforeAutospacing="1" w:after="100" w:afterAutospacing="1"/>
              <w:jc w:val="right"/>
              <w:rPr>
                <w:bCs/>
              </w:rPr>
            </w:pPr>
            <w:r>
              <w:rPr>
                <w:bCs/>
              </w:rPr>
              <w:t>(372)</w:t>
            </w:r>
          </w:p>
        </w:tc>
      </w:tr>
      <w:tr w:rsidR="004573AC" w:rsidRPr="00DC4C9F" w:rsidTr="00C147F4">
        <w:tc>
          <w:tcPr>
            <w:tcW w:w="5220" w:type="dxa"/>
            <w:tcBorders>
              <w:top w:val="single" w:sz="4" w:space="0" w:color="auto"/>
              <w:left w:val="single" w:sz="4" w:space="0" w:color="auto"/>
              <w:bottom w:val="single" w:sz="4" w:space="0" w:color="auto"/>
              <w:right w:val="single" w:sz="4" w:space="0" w:color="auto"/>
            </w:tcBorders>
            <w:vAlign w:val="bottom"/>
          </w:tcPr>
          <w:p w:rsidR="004573AC" w:rsidRPr="000B7D10" w:rsidRDefault="008F2CCC" w:rsidP="00C147F4">
            <w:pPr>
              <w:spacing w:before="100" w:beforeAutospacing="1" w:after="100" w:afterAutospacing="1"/>
              <w:rPr>
                <w:bCs/>
              </w:rPr>
            </w:pPr>
            <w:r w:rsidRPr="000B7D10">
              <w:rPr>
                <w:bCs/>
              </w:rPr>
              <w:t>2014 Request</w:t>
            </w:r>
          </w:p>
        </w:tc>
        <w:tc>
          <w:tcPr>
            <w:tcW w:w="1440" w:type="dxa"/>
            <w:tcBorders>
              <w:top w:val="single" w:sz="4" w:space="0" w:color="auto"/>
              <w:left w:val="single" w:sz="4" w:space="0" w:color="auto"/>
              <w:bottom w:val="single" w:sz="4" w:space="0" w:color="auto"/>
              <w:right w:val="single" w:sz="4" w:space="0" w:color="auto"/>
            </w:tcBorders>
            <w:vAlign w:val="bottom"/>
          </w:tcPr>
          <w:p w:rsidR="004573AC" w:rsidRPr="000B7D10" w:rsidRDefault="008F2CCC" w:rsidP="00711CD7">
            <w:pPr>
              <w:spacing w:before="100" w:beforeAutospacing="1" w:after="100" w:afterAutospacing="1"/>
              <w:jc w:val="right"/>
              <w:rPr>
                <w:bCs/>
              </w:rPr>
            </w:pPr>
            <w:r w:rsidRPr="000B7D10">
              <w:rPr>
                <w:bCs/>
              </w:rPr>
              <w:t>1</w:t>
            </w:r>
            <w:r w:rsidR="00711CD7">
              <w:rPr>
                <w:bCs/>
              </w:rPr>
              <w:t>2</w:t>
            </w:r>
          </w:p>
        </w:tc>
        <w:tc>
          <w:tcPr>
            <w:tcW w:w="1260" w:type="dxa"/>
            <w:tcBorders>
              <w:top w:val="single" w:sz="4" w:space="0" w:color="auto"/>
              <w:left w:val="single" w:sz="4" w:space="0" w:color="auto"/>
              <w:bottom w:val="single" w:sz="4" w:space="0" w:color="auto"/>
              <w:right w:val="single" w:sz="4" w:space="0" w:color="auto"/>
            </w:tcBorders>
            <w:vAlign w:val="bottom"/>
          </w:tcPr>
          <w:p w:rsidR="004573AC" w:rsidRPr="000B7D10" w:rsidRDefault="008F2CCC" w:rsidP="00711CD7">
            <w:pPr>
              <w:spacing w:before="100" w:beforeAutospacing="1" w:after="100" w:afterAutospacing="1"/>
              <w:jc w:val="right"/>
              <w:rPr>
                <w:bCs/>
              </w:rPr>
            </w:pPr>
            <w:r w:rsidRPr="000B7D10">
              <w:rPr>
                <w:bCs/>
              </w:rPr>
              <w:t>1</w:t>
            </w:r>
            <w:r w:rsidR="00711CD7">
              <w:rPr>
                <w:bCs/>
              </w:rPr>
              <w:t>2</w:t>
            </w:r>
          </w:p>
        </w:tc>
        <w:tc>
          <w:tcPr>
            <w:tcW w:w="1440" w:type="dxa"/>
            <w:tcBorders>
              <w:top w:val="single" w:sz="4" w:space="0" w:color="auto"/>
              <w:left w:val="single" w:sz="4" w:space="0" w:color="auto"/>
              <w:bottom w:val="single" w:sz="4" w:space="0" w:color="auto"/>
              <w:right w:val="single" w:sz="4" w:space="0" w:color="auto"/>
            </w:tcBorders>
            <w:vAlign w:val="bottom"/>
          </w:tcPr>
          <w:p w:rsidR="004573AC" w:rsidRPr="000B7D10" w:rsidRDefault="00EB75DD" w:rsidP="005F7308">
            <w:pPr>
              <w:spacing w:before="100" w:beforeAutospacing="1" w:after="100" w:afterAutospacing="1"/>
              <w:jc w:val="right"/>
              <w:rPr>
                <w:bCs/>
              </w:rPr>
            </w:pPr>
            <w:r>
              <w:rPr>
                <w:bCs/>
              </w:rPr>
              <w:t>25</w:t>
            </w:r>
            <w:r w:rsidR="005F7308">
              <w:rPr>
                <w:bCs/>
              </w:rPr>
              <w:t>,511</w:t>
            </w:r>
          </w:p>
        </w:tc>
      </w:tr>
      <w:tr w:rsidR="004573AC" w:rsidRPr="00DC4C9F" w:rsidTr="00C147F4">
        <w:tc>
          <w:tcPr>
            <w:tcW w:w="5220" w:type="dxa"/>
            <w:tcBorders>
              <w:top w:val="single" w:sz="4" w:space="0" w:color="auto"/>
              <w:left w:val="single" w:sz="4" w:space="0" w:color="auto"/>
              <w:bottom w:val="single" w:sz="4" w:space="0" w:color="auto"/>
              <w:right w:val="single" w:sz="4" w:space="0" w:color="auto"/>
            </w:tcBorders>
            <w:shd w:val="clear" w:color="auto" w:fill="E6E6E6"/>
            <w:vAlign w:val="bottom"/>
          </w:tcPr>
          <w:p w:rsidR="004573AC" w:rsidRPr="000B7D10" w:rsidRDefault="008F2CCC" w:rsidP="00C147F4">
            <w:pPr>
              <w:spacing w:before="100" w:beforeAutospacing="1" w:after="100" w:afterAutospacing="1"/>
              <w:rPr>
                <w:b/>
                <w:bCs/>
              </w:rPr>
            </w:pPr>
            <w:r w:rsidRPr="000B7D10">
              <w:rPr>
                <w:b/>
                <w:bCs/>
              </w:rPr>
              <w:t>Total Change 2013-2014</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bottom"/>
          </w:tcPr>
          <w:p w:rsidR="004573AC" w:rsidRPr="000B7D10" w:rsidRDefault="008F2CCC" w:rsidP="00C147F4">
            <w:pPr>
              <w:spacing w:before="100" w:beforeAutospacing="1" w:after="100" w:afterAutospacing="1"/>
              <w:jc w:val="right"/>
              <w:rPr>
                <w:bCs/>
              </w:rPr>
            </w:pPr>
            <w:r w:rsidRPr="000B7D10">
              <w:rPr>
                <w:bCs/>
              </w:rPr>
              <w:t>0</w:t>
            </w:r>
          </w:p>
        </w:tc>
        <w:tc>
          <w:tcPr>
            <w:tcW w:w="1260" w:type="dxa"/>
            <w:tcBorders>
              <w:top w:val="single" w:sz="4" w:space="0" w:color="auto"/>
              <w:left w:val="single" w:sz="4" w:space="0" w:color="auto"/>
              <w:bottom w:val="single" w:sz="4" w:space="0" w:color="auto"/>
              <w:right w:val="single" w:sz="4" w:space="0" w:color="auto"/>
            </w:tcBorders>
            <w:shd w:val="clear" w:color="auto" w:fill="E6E6E6"/>
            <w:vAlign w:val="bottom"/>
          </w:tcPr>
          <w:p w:rsidR="004573AC" w:rsidRPr="000B7D10" w:rsidRDefault="008F2CCC" w:rsidP="00C147F4">
            <w:pPr>
              <w:spacing w:before="100" w:beforeAutospacing="1" w:after="100" w:afterAutospacing="1"/>
              <w:jc w:val="right"/>
              <w:rPr>
                <w:bCs/>
              </w:rPr>
            </w:pPr>
            <w:r w:rsidRPr="000B7D10">
              <w:rPr>
                <w:bCs/>
              </w:rPr>
              <w:t>0</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bottom"/>
          </w:tcPr>
          <w:p w:rsidR="004573AC" w:rsidRPr="000B7D10" w:rsidRDefault="008F2CCC" w:rsidP="00711CD7">
            <w:pPr>
              <w:spacing w:before="100" w:beforeAutospacing="1" w:after="100" w:afterAutospacing="1"/>
              <w:jc w:val="right"/>
              <w:rPr>
                <w:bCs/>
              </w:rPr>
            </w:pPr>
            <w:r w:rsidRPr="000B7D10">
              <w:rPr>
                <w:bCs/>
              </w:rPr>
              <w:t>$</w:t>
            </w:r>
            <w:r w:rsidR="00EB75DD">
              <w:rPr>
                <w:bCs/>
              </w:rPr>
              <w:t>8</w:t>
            </w:r>
            <w:r w:rsidR="005F7308">
              <w:rPr>
                <w:bCs/>
              </w:rPr>
              <w:t>,</w:t>
            </w:r>
            <w:r w:rsidR="00711CD7">
              <w:rPr>
                <w:bCs/>
              </w:rPr>
              <w:t>847</w:t>
            </w:r>
          </w:p>
        </w:tc>
      </w:tr>
    </w:tbl>
    <w:p w:rsidR="00E21591" w:rsidRDefault="00E21591">
      <w:pPr>
        <w:spacing w:before="100" w:beforeAutospacing="1" w:after="100" w:afterAutospacing="1"/>
        <w:rPr>
          <w:b/>
          <w:bCs/>
        </w:rPr>
      </w:pPr>
    </w:p>
    <w:p w:rsidR="00504A36" w:rsidRDefault="00FA2AAB" w:rsidP="00EB75DD">
      <w:pPr>
        <w:pStyle w:val="ListParagraph"/>
        <w:numPr>
          <w:ilvl w:val="0"/>
          <w:numId w:val="14"/>
        </w:numPr>
        <w:spacing w:before="100" w:beforeAutospacing="1" w:after="100" w:afterAutospacing="1"/>
        <w:rPr>
          <w:b/>
          <w:bCs/>
        </w:rPr>
      </w:pPr>
      <w:r w:rsidRPr="00C61E85">
        <w:rPr>
          <w:b/>
          <w:bCs/>
        </w:rPr>
        <w:t>Program Description</w:t>
      </w:r>
      <w:r w:rsidR="00FC3013" w:rsidRPr="00C61E85">
        <w:rPr>
          <w:b/>
          <w:bCs/>
        </w:rPr>
        <w:t xml:space="preserve"> – </w:t>
      </w:r>
      <w:r w:rsidR="00536DD1">
        <w:rPr>
          <w:b/>
          <w:bCs/>
        </w:rPr>
        <w:t xml:space="preserve">Delivery of </w:t>
      </w:r>
      <w:r w:rsidR="00FC3013" w:rsidRPr="00C61E85">
        <w:rPr>
          <w:b/>
          <w:bCs/>
        </w:rPr>
        <w:t xml:space="preserve"> ATF’s </w:t>
      </w:r>
      <w:r w:rsidR="00536DD1">
        <w:rPr>
          <w:b/>
          <w:bCs/>
        </w:rPr>
        <w:t xml:space="preserve">Forensic </w:t>
      </w:r>
      <w:r w:rsidR="00FC3013" w:rsidRPr="00C61E85">
        <w:rPr>
          <w:b/>
          <w:bCs/>
        </w:rPr>
        <w:t>Expertise</w:t>
      </w:r>
      <w:r w:rsidR="002E39D8">
        <w:rPr>
          <w:b/>
          <w:bCs/>
        </w:rPr>
        <w:t>,</w:t>
      </w:r>
      <w:r w:rsidR="00FC3013" w:rsidRPr="00C61E85">
        <w:rPr>
          <w:b/>
          <w:bCs/>
        </w:rPr>
        <w:t xml:space="preserve"> Assets</w:t>
      </w:r>
      <w:r w:rsidR="002E39D8">
        <w:rPr>
          <w:b/>
          <w:bCs/>
        </w:rPr>
        <w:t xml:space="preserve"> and Intelligence</w:t>
      </w:r>
      <w:r w:rsidR="00FC3013" w:rsidRPr="00C61E85">
        <w:rPr>
          <w:b/>
          <w:bCs/>
        </w:rPr>
        <w:t xml:space="preserve"> to Improve Public Safety</w:t>
      </w:r>
    </w:p>
    <w:p w:rsidR="002E1130" w:rsidRDefault="002E1130" w:rsidP="002E1130">
      <w:pPr>
        <w:pStyle w:val="ListParagraph"/>
        <w:ind w:left="360"/>
      </w:pPr>
    </w:p>
    <w:p w:rsidR="002E1130" w:rsidRPr="0054449F" w:rsidRDefault="002E1130" w:rsidP="002E1130">
      <w:pPr>
        <w:pStyle w:val="ListParagraph"/>
        <w:ind w:left="360"/>
      </w:pPr>
      <w:r w:rsidRPr="00517355">
        <w:t>ATF</w:t>
      </w:r>
      <w:r>
        <w:t xml:space="preserve"> partners with law enforcement, public safety agencies, communities</w:t>
      </w:r>
      <w:r w:rsidR="00970AE1">
        <w:t>,</w:t>
      </w:r>
      <w:r>
        <w:t xml:space="preserve"> and industries to safeguard the public </w:t>
      </w:r>
      <w:r w:rsidR="00FB3022">
        <w:t>through</w:t>
      </w:r>
      <w:r>
        <w:t xml:space="preserve"> information and intelligence sharing, training, research</w:t>
      </w:r>
      <w:r w:rsidR="00A810CA">
        <w:t>,</w:t>
      </w:r>
      <w:r>
        <w:t xml:space="preserve"> the use of technology</w:t>
      </w:r>
      <w:r w:rsidR="00A810CA">
        <w:t>, and by its leadership of ESF #13</w:t>
      </w:r>
      <w:r>
        <w:t xml:space="preserve">.  </w:t>
      </w:r>
      <w:r w:rsidR="00FB3022">
        <w:t>NIBIN</w:t>
      </w:r>
      <w:r>
        <w:t xml:space="preserve"> facilitates the sharing of crime gun evidence across </w:t>
      </w:r>
      <w:r w:rsidR="002E3EAB">
        <w:t>Federal</w:t>
      </w:r>
      <w:r>
        <w:t xml:space="preserve">, state, local, </w:t>
      </w:r>
      <w:r w:rsidR="00F53F86">
        <w:t>Tribal</w:t>
      </w:r>
      <w:r>
        <w:t xml:space="preserve"> and international law enforcement agencies.  ATF also operates the </w:t>
      </w:r>
      <w:r w:rsidR="00FB3022">
        <w:t>NTC</w:t>
      </w:r>
      <w:r>
        <w:t xml:space="preserve">, the center primarily responsible for tracing firearms recovered in the use of a crime.  In its public safety mission, ATF issues licenses to individuals and businesses through the </w:t>
      </w:r>
      <w:r w:rsidR="00FB3022">
        <w:t>FFLC</w:t>
      </w:r>
      <w:r>
        <w:t xml:space="preserve"> and the </w:t>
      </w:r>
      <w:r w:rsidR="00566A7E">
        <w:t>FELC</w:t>
      </w:r>
      <w:r>
        <w:t xml:space="preserve"> supporting legal commerce of these regulated commodities.  </w:t>
      </w:r>
      <w:r w:rsidR="007C5127">
        <w:t xml:space="preserve">Information sharing activities include </w:t>
      </w:r>
      <w:r w:rsidR="00B10AFE">
        <w:t>working with</w:t>
      </w:r>
      <w:r w:rsidR="00415AED">
        <w:t xml:space="preserve"> </w:t>
      </w:r>
      <w:r w:rsidR="00B10AFE">
        <w:t xml:space="preserve">the </w:t>
      </w:r>
      <w:r w:rsidR="007C5127">
        <w:t>Terrorist Explosives Device Analytical Center (TEDAC), the U.S. Bomb Data Center (USBDC)</w:t>
      </w:r>
      <w:r w:rsidR="00415AED">
        <w:t>,</w:t>
      </w:r>
      <w:r w:rsidR="007C5127">
        <w:t xml:space="preserve"> and the NCETR</w:t>
      </w:r>
      <w:r w:rsidR="00B10AFE">
        <w:t>.  ATF is</w:t>
      </w:r>
      <w:r>
        <w:t xml:space="preserve"> devoted to increasing U.S. capabilities at the </w:t>
      </w:r>
      <w:r w:rsidR="002E3EAB">
        <w:t>Federal</w:t>
      </w:r>
      <w:r>
        <w:t xml:space="preserve">, state and local level in detecting, deterring and responding to bombings and explosives incidents, which have a major impact on public safety.   ATF’s canine training program produces reliable, mobile and </w:t>
      </w:r>
      <w:r>
        <w:lastRenderedPageBreak/>
        <w:t>accurate explosives and accelerant detection canines that assist law enforcement, fire investigators and military personnel around the world.</w:t>
      </w:r>
    </w:p>
    <w:p w:rsidR="00B463C4" w:rsidRDefault="00D27175" w:rsidP="00B463C4">
      <w:pPr>
        <w:pStyle w:val="xl19"/>
        <w:tabs>
          <w:tab w:val="center" w:pos="360"/>
          <w:tab w:val="left" w:leader="dot" w:pos="7920"/>
          <w:tab w:val="left" w:pos="8280"/>
          <w:tab w:val="right" w:pos="8640"/>
        </w:tabs>
        <w:spacing w:before="100" w:beforeAutospacing="1" w:after="100" w:afterAutospacing="1"/>
        <w:ind w:left="720"/>
        <w:rPr>
          <w:b/>
          <w:bCs/>
          <w:i/>
          <w:sz w:val="28"/>
          <w:szCs w:val="28"/>
          <w:u w:val="single"/>
        </w:rPr>
      </w:pPr>
      <w:r>
        <w:rPr>
          <w:b/>
          <w:bCs/>
          <w:i/>
          <w:sz w:val="28"/>
          <w:szCs w:val="28"/>
          <w:u w:val="single"/>
        </w:rPr>
        <w:t xml:space="preserve">ATF </w:t>
      </w:r>
      <w:r w:rsidR="00B463C4" w:rsidRPr="00B463C4">
        <w:rPr>
          <w:b/>
          <w:bCs/>
          <w:i/>
          <w:sz w:val="28"/>
          <w:szCs w:val="28"/>
          <w:u w:val="single"/>
        </w:rPr>
        <w:t>Services</w:t>
      </w:r>
      <w:r>
        <w:rPr>
          <w:b/>
          <w:bCs/>
          <w:i/>
          <w:sz w:val="28"/>
          <w:szCs w:val="28"/>
          <w:u w:val="single"/>
        </w:rPr>
        <w:t xml:space="preserve"> At The Frontline Against Violent Crime</w:t>
      </w:r>
    </w:p>
    <w:p w:rsidR="00504A36" w:rsidRDefault="009452AA" w:rsidP="00EB75DD">
      <w:pPr>
        <w:pStyle w:val="xl19"/>
        <w:numPr>
          <w:ilvl w:val="0"/>
          <w:numId w:val="13"/>
        </w:numPr>
        <w:tabs>
          <w:tab w:val="center" w:pos="360"/>
          <w:tab w:val="left" w:leader="dot" w:pos="7920"/>
          <w:tab w:val="left" w:pos="8280"/>
          <w:tab w:val="right" w:pos="8640"/>
        </w:tabs>
        <w:spacing w:before="100" w:beforeAutospacing="1" w:after="100" w:afterAutospacing="1"/>
        <w:rPr>
          <w:b/>
          <w:bCs/>
          <w:i/>
          <w:sz w:val="28"/>
          <w:szCs w:val="28"/>
        </w:rPr>
      </w:pPr>
      <w:r w:rsidRPr="00674D2E">
        <w:rPr>
          <w:b/>
          <w:bCs/>
          <w:i/>
          <w:sz w:val="28"/>
          <w:szCs w:val="28"/>
        </w:rPr>
        <w:t>Firearms and Explosives Licensing and Other Industry Services</w:t>
      </w:r>
    </w:p>
    <w:p w:rsidR="009452AA" w:rsidRDefault="009452AA" w:rsidP="009452AA">
      <w:pPr>
        <w:ind w:left="720"/>
      </w:pPr>
      <w:r w:rsidRPr="00114140">
        <w:t xml:space="preserve">ATF’s </w:t>
      </w:r>
      <w:r>
        <w:t>FFLC</w:t>
      </w:r>
      <w:r w:rsidRPr="00114140">
        <w:t xml:space="preserve"> </w:t>
      </w:r>
      <w:r>
        <w:t>issues</w:t>
      </w:r>
      <w:r w:rsidRPr="00114140">
        <w:t xml:space="preserve"> licenses to legitimate firearms manufacturers, importers, and dealers.  ATF </w:t>
      </w:r>
      <w:r>
        <w:t>investigates</w:t>
      </w:r>
      <w:r w:rsidRPr="00114140">
        <w:t xml:space="preserve"> firearms license applicants for </w:t>
      </w:r>
      <w:r>
        <w:t>Federal</w:t>
      </w:r>
      <w:r w:rsidRPr="00114140">
        <w:t xml:space="preserve"> prohibitions such as felony convictions, illicit drug use, illegal alien status, mental illness, </w:t>
      </w:r>
      <w:r>
        <w:t xml:space="preserve">or </w:t>
      </w:r>
      <w:r w:rsidRPr="00114140">
        <w:t xml:space="preserve">minimum age requirement.  </w:t>
      </w:r>
    </w:p>
    <w:p w:rsidR="009452AA" w:rsidRDefault="009452AA" w:rsidP="009452AA">
      <w:pPr>
        <w:ind w:left="1080"/>
      </w:pPr>
    </w:p>
    <w:p w:rsidR="009452AA" w:rsidRPr="00C61E85" w:rsidRDefault="009452AA" w:rsidP="009452AA">
      <w:pPr>
        <w:ind w:left="720"/>
        <w:rPr>
          <w:b/>
        </w:rPr>
      </w:pPr>
      <w:r w:rsidRPr="002D1D76">
        <w:rPr>
          <w:b/>
        </w:rPr>
        <w:t>National Firearms Act (NFA) Enforcement</w:t>
      </w:r>
      <w:r>
        <w:rPr>
          <w:b/>
        </w:rPr>
        <w:t xml:space="preserve">.  </w:t>
      </w:r>
      <w:r w:rsidRPr="00114140">
        <w:t xml:space="preserve">The NFA requires registration and </w:t>
      </w:r>
      <w:r>
        <w:t xml:space="preserve">tax </w:t>
      </w:r>
      <w:r w:rsidRPr="00114140">
        <w:t>payment for making or transfer</w:t>
      </w:r>
      <w:r>
        <w:t>ring</w:t>
      </w:r>
      <w:r w:rsidRPr="00114140">
        <w:t xml:space="preserve"> machine guns, silencers, short-barreled rifles</w:t>
      </w:r>
      <w:r>
        <w:t>,</w:t>
      </w:r>
      <w:r w:rsidRPr="00114140">
        <w:t xml:space="preserve"> </w:t>
      </w:r>
      <w:r>
        <w:t xml:space="preserve">short-barreled </w:t>
      </w:r>
      <w:r w:rsidRPr="00114140">
        <w:t xml:space="preserve">shotguns, destructive devices, and certain concealable weapons classified as “any other weapons.”  </w:t>
      </w:r>
      <w:r>
        <w:t>The NFA mandates that individuals</w:t>
      </w:r>
      <w:r w:rsidR="005F01D7">
        <w:t>,</w:t>
      </w:r>
      <w:r>
        <w:t xml:space="preserve"> firearms manufacturers</w:t>
      </w:r>
      <w:r w:rsidR="005F01D7">
        <w:t>,</w:t>
      </w:r>
      <w:r>
        <w:t xml:space="preserve"> and importers register the NFA firearms that they make, manufacture, or import, and that </w:t>
      </w:r>
      <w:r w:rsidR="005F01D7">
        <w:t>all NFA firearms transfers are approved by ATF in advance.</w:t>
      </w:r>
      <w:r w:rsidRPr="00114140">
        <w:t xml:space="preserve"> </w:t>
      </w:r>
    </w:p>
    <w:p w:rsidR="009452AA" w:rsidRPr="0033516E" w:rsidRDefault="009452AA" w:rsidP="009452AA">
      <w:pPr>
        <w:pStyle w:val="ListParagraph"/>
        <w:rPr>
          <w:color w:val="7030A0"/>
        </w:rPr>
      </w:pPr>
    </w:p>
    <w:p w:rsidR="009452AA" w:rsidRDefault="001F39C4" w:rsidP="009452AA">
      <w:pPr>
        <w:pStyle w:val="ListParagraph"/>
        <w:rPr>
          <w:noProof/>
        </w:rPr>
      </w:pPr>
      <w:r>
        <w:rPr>
          <w:noProof/>
        </w:rPr>
        <w:drawing>
          <wp:anchor distT="0" distB="0" distL="114300" distR="114300" simplePos="0" relativeHeight="251710464" behindDoc="1" locked="0" layoutInCell="1" allowOverlap="1">
            <wp:simplePos x="0" y="0"/>
            <wp:positionH relativeFrom="column">
              <wp:posOffset>476250</wp:posOffset>
            </wp:positionH>
            <wp:positionV relativeFrom="paragraph">
              <wp:posOffset>633095</wp:posOffset>
            </wp:positionV>
            <wp:extent cx="3267075" cy="2371725"/>
            <wp:effectExtent l="19050" t="0" r="9525" b="0"/>
            <wp:wrapTight wrapText="bothSides">
              <wp:wrapPolygon edited="0">
                <wp:start x="-126" y="0"/>
                <wp:lineTo x="-126" y="21513"/>
                <wp:lineTo x="21663" y="21513"/>
                <wp:lineTo x="21663" y="0"/>
                <wp:lineTo x="-126" y="0"/>
              </wp:wrapPolygon>
            </wp:wrapTight>
            <wp:docPr id="15" name="Picture 15" descr="The graphic on page 32 shows the trend of National Firearms Act (NFA) registrations processed between FY 2008 and FY 2012.  NFA registrations have increased from over 981,000 in FY 2008 to over 1,100,000 by FY 2012.  ATF is responsible for processing all applications to register NFA fire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srcRect/>
                    <a:stretch>
                      <a:fillRect/>
                    </a:stretch>
                  </pic:blipFill>
                  <pic:spPr bwMode="auto">
                    <a:xfrm>
                      <a:off x="0" y="0"/>
                      <a:ext cx="3267075" cy="2371725"/>
                    </a:xfrm>
                    <a:prstGeom prst="rect">
                      <a:avLst/>
                    </a:prstGeom>
                    <a:noFill/>
                    <a:ln w="9525">
                      <a:noFill/>
                      <a:miter lim="800000"/>
                      <a:headEnd/>
                      <a:tailEnd/>
                    </a:ln>
                  </pic:spPr>
                </pic:pic>
              </a:graphicData>
            </a:graphic>
          </wp:anchor>
        </w:drawing>
      </w:r>
      <w:r w:rsidR="009452AA" w:rsidRPr="00114140">
        <w:t>ATF processes all applications to manufacture, transfer, and register NFA firearms</w:t>
      </w:r>
      <w:r w:rsidR="009452AA">
        <w:t>, as well as</w:t>
      </w:r>
      <w:r w:rsidR="009452AA" w:rsidRPr="00114140">
        <w:t xml:space="preserve"> notices of NFA firearms manufactured or imported. </w:t>
      </w:r>
      <w:r w:rsidR="009452AA">
        <w:t xml:space="preserve"> </w:t>
      </w:r>
      <w:r w:rsidR="009452AA" w:rsidRPr="0032011B">
        <w:t xml:space="preserve">During FY </w:t>
      </w:r>
      <w:r w:rsidR="00BA05C9" w:rsidRPr="0032011B">
        <w:t>201</w:t>
      </w:r>
      <w:r w:rsidR="00BA05C9">
        <w:t>2</w:t>
      </w:r>
      <w:r w:rsidR="00415AED">
        <w:t>,</w:t>
      </w:r>
      <w:r w:rsidR="009452AA" w:rsidRPr="0032011B">
        <w:t xml:space="preserve"> ATF processed </w:t>
      </w:r>
      <w:r w:rsidR="00BA05C9">
        <w:t>137,649</w:t>
      </w:r>
      <w:r w:rsidR="00BA05C9" w:rsidRPr="0032011B">
        <w:t xml:space="preserve"> NFA applications involving </w:t>
      </w:r>
      <w:r w:rsidR="00BA05C9">
        <w:t>1,112,041</w:t>
      </w:r>
      <w:r w:rsidR="00BA05C9" w:rsidRPr="0032011B">
        <w:t xml:space="preserve"> NFA weapons</w:t>
      </w:r>
      <w:r w:rsidR="009452AA" w:rsidRPr="0032011B">
        <w:t>.  The</w:t>
      </w:r>
      <w:r w:rsidR="009452AA" w:rsidRPr="00114140">
        <w:t xml:space="preserve"> registration information is recorded in the National Firearms Registration and Transfer Record (NFRTR). </w:t>
      </w:r>
      <w:r w:rsidR="009452AA">
        <w:t xml:space="preserve"> </w:t>
      </w:r>
      <w:r w:rsidR="009452AA" w:rsidRPr="00114140">
        <w:t xml:space="preserve">The NFRTR supports ATF’s efforts to inspect firearms licensees and conduct criminal investigations.  ATF has unique statutory authority to classify weapons under the NFA.  ATF continually provides technical information to the industry </w:t>
      </w:r>
      <w:r w:rsidR="009452AA">
        <w:t>a</w:t>
      </w:r>
      <w:r w:rsidR="009452AA" w:rsidRPr="00114140">
        <w:t>nd the public concerning compliance with the NFA.</w:t>
      </w:r>
      <w:r w:rsidR="009452AA" w:rsidRPr="0033046B">
        <w:rPr>
          <w:noProof/>
        </w:rPr>
        <w:t xml:space="preserve"> </w:t>
      </w:r>
    </w:p>
    <w:p w:rsidR="00A65D1F" w:rsidRDefault="00A65D1F" w:rsidP="003E502D">
      <w:pPr>
        <w:rPr>
          <w:noProof/>
        </w:rPr>
      </w:pPr>
    </w:p>
    <w:p w:rsidR="009452AA" w:rsidRDefault="009452AA" w:rsidP="003E502D">
      <w:pPr>
        <w:ind w:left="720"/>
      </w:pPr>
      <w:r>
        <w:t xml:space="preserve">The number of NFA applications and average processing time has risen every year since 2007, and in </w:t>
      </w:r>
      <w:r w:rsidR="00BA05C9">
        <w:t>2012 ATF received 152,079 applications and needed approximately 160 days to act on a tax paid application</w:t>
      </w:r>
      <w:r>
        <w:t>.  Tax</w:t>
      </w:r>
      <w:r w:rsidR="00C767B3">
        <w:t xml:space="preserve"> </w:t>
      </w:r>
      <w:r>
        <w:t xml:space="preserve">paid applications are the most complex and labor-intensive type of application, requiring background checks and financial processing, but are also those upon which firearms businesses must rely in order to make retail sales of their inventory.  NFA processing delays directly and negatively affect firearms businesses’ ability to deliver their product and remain viable.  While market demand for NFA services continues to set annual records, NFA staffing resources have not </w:t>
      </w:r>
      <w:r w:rsidR="00C555BF">
        <w:t>kept pace with the increased workload.</w:t>
      </w:r>
      <w:r>
        <w:t xml:space="preserve">  In fact, there are now fewer applications examiners than there were in 2007 to process a </w:t>
      </w:r>
      <w:r>
        <w:lastRenderedPageBreak/>
        <w:t>workload which</w:t>
      </w:r>
      <w:r w:rsidR="005F01D7">
        <w:t>,</w:t>
      </w:r>
      <w:r>
        <w:t xml:space="preserve"> by the end of FY 2012</w:t>
      </w:r>
      <w:r w:rsidR="005F01D7">
        <w:t>,</w:t>
      </w:r>
      <w:r>
        <w:t xml:space="preserve"> will have doubled in that same span.</w:t>
      </w:r>
      <w:r w:rsidR="00C555BF">
        <w:t xml:space="preserve"> With unprecedented market growth, The FY 2014 Budget provides ATF with additional resources to effectively perform its mission responsibilities as well as reduce processing times.</w:t>
      </w:r>
    </w:p>
    <w:p w:rsidR="009452AA" w:rsidRPr="00677410" w:rsidRDefault="009452AA" w:rsidP="009452AA">
      <w:pPr>
        <w:spacing w:before="100" w:beforeAutospacing="1" w:after="100" w:afterAutospacing="1"/>
        <w:ind w:left="720"/>
        <w:rPr>
          <w:b/>
          <w:i/>
        </w:rPr>
      </w:pPr>
      <w:r w:rsidRPr="00677410">
        <w:rPr>
          <w:b/>
          <w:i/>
        </w:rPr>
        <w:t xml:space="preserve">Importation of Firearms.  </w:t>
      </w:r>
      <w:r w:rsidRPr="00114140">
        <w:t xml:space="preserve">ATF regulates the importation of firearms, ammunition, and other defense articles </w:t>
      </w:r>
      <w:r>
        <w:t>by issuing</w:t>
      </w:r>
      <w:r w:rsidRPr="00114140">
        <w:t xml:space="preserve"> import permits.  ATF also regulates the </w:t>
      </w:r>
      <w:r>
        <w:t>i</w:t>
      </w:r>
      <w:r w:rsidRPr="00114140">
        <w:t xml:space="preserve">mportation </w:t>
      </w:r>
      <w:r>
        <w:t xml:space="preserve">and possession </w:t>
      </w:r>
      <w:r w:rsidRPr="00114140">
        <w:t>of firearms and ammunition by non</w:t>
      </w:r>
      <w:r>
        <w:t>-</w:t>
      </w:r>
      <w:r w:rsidRPr="00114140">
        <w:t xml:space="preserve">immigrant aliens.  ATF maintains close liaison with the </w:t>
      </w:r>
      <w:r>
        <w:t xml:space="preserve">DOS, </w:t>
      </w:r>
      <w:r w:rsidR="006E726A">
        <w:t>DOD</w:t>
      </w:r>
      <w:r>
        <w:t xml:space="preserve">, </w:t>
      </w:r>
      <w:r w:rsidRPr="00114140">
        <w:t>and U.S. Customs and Border Protection to ensure that the permits issued do not conflict with the foreign policy and national security interests of the U.S.</w:t>
      </w:r>
    </w:p>
    <w:p w:rsidR="009452AA" w:rsidRDefault="009452AA" w:rsidP="009452AA">
      <w:pPr>
        <w:ind w:left="720"/>
      </w:pPr>
      <w:r w:rsidRPr="00D1574D">
        <w:t xml:space="preserve">The Attorney General has delegated to ATF the authority to administer the permanent importation provisions of the </w:t>
      </w:r>
      <w:r>
        <w:t>AECA</w:t>
      </w:r>
      <w:r w:rsidRPr="00D1574D">
        <w:t xml:space="preserve">.  Under the AECA, ATF regulates the permanent importation of firearms, ammunition, and </w:t>
      </w:r>
      <w:r>
        <w:t>other defense articles</w:t>
      </w:r>
      <w:r w:rsidRPr="00D1574D">
        <w:t xml:space="preserve"> into the U.S.  ATF processes</w:t>
      </w:r>
      <w:r w:rsidRPr="00114140">
        <w:t xml:space="preserve"> applications to import items </w:t>
      </w:r>
      <w:r>
        <w:t>from</w:t>
      </w:r>
      <w:r w:rsidRPr="00114140">
        <w:t xml:space="preserve"> domestic businesses, members of the U.S. military returning from abroad with personal firearms, non-immigrant aliens temporarily hunting or attending legal sporting activities in the U.S., and U.S. citizens re-establishing residency after </w:t>
      </w:r>
      <w:r w:rsidR="00BC211E">
        <w:t>living</w:t>
      </w:r>
      <w:r w:rsidRPr="00114140">
        <w:t xml:space="preserve"> abroad.  Through industry outreach and regulation, ATF provides technical advice to the public regarding import requirements applicable to firearms, ammunition</w:t>
      </w:r>
      <w:r>
        <w:t>,</w:t>
      </w:r>
      <w:r w:rsidRPr="00114140">
        <w:t xml:space="preserve"> and implements of war.</w:t>
      </w:r>
    </w:p>
    <w:p w:rsidR="009452AA" w:rsidRDefault="009452AA" w:rsidP="009452AA">
      <w:pPr>
        <w:ind w:left="1080"/>
      </w:pPr>
    </w:p>
    <w:p w:rsidR="00EB5F5F" w:rsidRDefault="009452AA" w:rsidP="00807C5C">
      <w:pPr>
        <w:ind w:left="720"/>
      </w:pPr>
      <w:r w:rsidRPr="00114140">
        <w:t xml:space="preserve">To prevent individuals from buying firearms by falsely claiming to be an FFL, ATF provides licensees with access to </w:t>
      </w:r>
      <w:r>
        <w:t>the “FFL EZ Check</w:t>
      </w:r>
      <w:r w:rsidRPr="00114140">
        <w:t xml:space="preserve">” </w:t>
      </w:r>
      <w:r>
        <w:t xml:space="preserve">database, </w:t>
      </w:r>
      <w:r w:rsidRPr="00114140">
        <w:t>which allows FFLs to verify the legitimacy of the licensee before shipping or disposing of a firearm.</w:t>
      </w:r>
    </w:p>
    <w:p w:rsidR="00504A36" w:rsidRDefault="00327AF3" w:rsidP="00EB75DD">
      <w:pPr>
        <w:pStyle w:val="xl19"/>
        <w:numPr>
          <w:ilvl w:val="0"/>
          <w:numId w:val="13"/>
        </w:numPr>
        <w:tabs>
          <w:tab w:val="center" w:pos="360"/>
          <w:tab w:val="left" w:leader="dot" w:pos="7920"/>
          <w:tab w:val="left" w:pos="8280"/>
          <w:tab w:val="right" w:pos="8640"/>
        </w:tabs>
        <w:spacing w:before="100" w:beforeAutospacing="1" w:after="100" w:afterAutospacing="1"/>
        <w:rPr>
          <w:b/>
          <w:bCs/>
          <w:i/>
          <w:sz w:val="28"/>
          <w:szCs w:val="28"/>
        </w:rPr>
      </w:pPr>
      <w:r w:rsidRPr="00F512FE">
        <w:rPr>
          <w:b/>
          <w:bCs/>
          <w:i/>
          <w:sz w:val="28"/>
          <w:szCs w:val="28"/>
        </w:rPr>
        <w:t>Firearms Tracing</w:t>
      </w:r>
    </w:p>
    <w:p w:rsidR="00B73206" w:rsidRDefault="002A5AEB" w:rsidP="00953B6B">
      <w:pPr>
        <w:ind w:left="720"/>
      </w:pPr>
      <w:r>
        <w:rPr>
          <w:noProof/>
        </w:rPr>
        <w:drawing>
          <wp:anchor distT="0" distB="0" distL="114300" distR="114300" simplePos="0" relativeHeight="251709440" behindDoc="1" locked="0" layoutInCell="1" allowOverlap="1">
            <wp:simplePos x="0" y="0"/>
            <wp:positionH relativeFrom="column">
              <wp:posOffset>476250</wp:posOffset>
            </wp:positionH>
            <wp:positionV relativeFrom="paragraph">
              <wp:posOffset>698500</wp:posOffset>
            </wp:positionV>
            <wp:extent cx="3352800" cy="2038350"/>
            <wp:effectExtent l="19050" t="0" r="0" b="0"/>
            <wp:wrapTight wrapText="bothSides">
              <wp:wrapPolygon edited="0">
                <wp:start x="-123" y="0"/>
                <wp:lineTo x="-123" y="21398"/>
                <wp:lineTo x="21600" y="21398"/>
                <wp:lineTo x="21600" y="0"/>
                <wp:lineTo x="-123" y="0"/>
              </wp:wrapPolygon>
            </wp:wrapTight>
            <wp:docPr id="12" name="Picture 14" descr="The graphic on page 33 shows the trend of firearms tracing data at the ATF National Tracing Center (NTC) between between FY 2008 and FY 2012.  Tracing requests have increased from over 312,000 in FY 2008 to over 344,000 by FY 2012.  The NTC is the only respository of crime gun trace data in the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srcRect/>
                    <a:stretch>
                      <a:fillRect/>
                    </a:stretch>
                  </pic:blipFill>
                  <pic:spPr bwMode="auto">
                    <a:xfrm>
                      <a:off x="0" y="0"/>
                      <a:ext cx="3352800" cy="2038350"/>
                    </a:xfrm>
                    <a:prstGeom prst="rect">
                      <a:avLst/>
                    </a:prstGeom>
                    <a:noFill/>
                    <a:ln w="9525">
                      <a:noFill/>
                      <a:miter lim="800000"/>
                      <a:headEnd/>
                      <a:tailEnd/>
                    </a:ln>
                  </pic:spPr>
                </pic:pic>
              </a:graphicData>
            </a:graphic>
          </wp:anchor>
        </w:drawing>
      </w:r>
      <w:r w:rsidR="00C61E85" w:rsidRPr="005E2A4F">
        <w:t xml:space="preserve">The ATF </w:t>
      </w:r>
      <w:r w:rsidR="00DC5961">
        <w:t>N</w:t>
      </w:r>
      <w:r w:rsidR="00C555BF">
        <w:t>ational Tracing Center (N</w:t>
      </w:r>
      <w:r w:rsidR="00DC5961">
        <w:t>TC</w:t>
      </w:r>
      <w:r w:rsidR="00C555BF">
        <w:t>)</w:t>
      </w:r>
      <w:r w:rsidR="00C61E85" w:rsidRPr="005E2A4F">
        <w:t xml:space="preserve"> is the only </w:t>
      </w:r>
      <w:r w:rsidR="002E3EAB">
        <w:t>Federal</w:t>
      </w:r>
      <w:r w:rsidR="00C61E85" w:rsidRPr="005E2A4F">
        <w:t xml:space="preserve"> law enforcement entity that can trace firearms from their manufacture or importation through distribution to the point of initial retail sale.  Firearms trace data shows geographic market areas where crime guns are recovered and source areas that provide firearms to those markets.  </w:t>
      </w:r>
      <w:r w:rsidR="00C61E85">
        <w:br/>
      </w:r>
    </w:p>
    <w:p w:rsidR="00C61E85" w:rsidRPr="0032011B" w:rsidRDefault="00C61E85" w:rsidP="00953B6B">
      <w:pPr>
        <w:ind w:left="720"/>
      </w:pPr>
      <w:r w:rsidRPr="0032011B">
        <w:t xml:space="preserve">ATF’s </w:t>
      </w:r>
      <w:r w:rsidR="00DC5961">
        <w:t>NTC</w:t>
      </w:r>
      <w:r w:rsidRPr="0032011B">
        <w:t xml:space="preserve"> is another key component in fighting violent crime.  Each year, the NTC traces hundreds of thousands of recovered crime guns for law enforcement.  </w:t>
      </w:r>
      <w:r w:rsidR="00996E34" w:rsidRPr="0032011B">
        <w:t>In FY 201</w:t>
      </w:r>
      <w:r w:rsidR="00996E34">
        <w:t>2</w:t>
      </w:r>
      <w:r w:rsidR="00996E34" w:rsidRPr="0032011B">
        <w:t>, the NTC traced 3</w:t>
      </w:r>
      <w:r w:rsidR="00996E34">
        <w:t>44</w:t>
      </w:r>
      <w:r w:rsidR="00996E34" w:rsidRPr="0032011B">
        <w:t>,</w:t>
      </w:r>
      <w:r w:rsidR="00996E34">
        <w:t>477</w:t>
      </w:r>
      <w:r w:rsidR="00996E34" w:rsidRPr="0032011B">
        <w:t xml:space="preserve"> firearms recovered in crimes for law enforcement agencies in </w:t>
      </w:r>
      <w:r w:rsidR="00996E34">
        <w:t>nearly</w:t>
      </w:r>
      <w:r w:rsidR="00996E34" w:rsidRPr="0032011B">
        <w:t xml:space="preserve"> </w:t>
      </w:r>
      <w:r w:rsidR="00996E34">
        <w:t>7</w:t>
      </w:r>
      <w:r w:rsidR="00996E34" w:rsidRPr="0032011B">
        <w:t xml:space="preserve">0 different countries.  The NTC anticipates that it will receive about </w:t>
      </w:r>
      <w:r w:rsidR="00996E34">
        <w:t>340,000</w:t>
      </w:r>
      <w:r w:rsidR="00996E34" w:rsidRPr="0032011B">
        <w:t xml:space="preserve"> trace requests in FY 201</w:t>
      </w:r>
      <w:r w:rsidR="00996E34">
        <w:t>3</w:t>
      </w:r>
      <w:r w:rsidR="00996E34" w:rsidRPr="0032011B">
        <w:t xml:space="preserve"> and about </w:t>
      </w:r>
      <w:r w:rsidR="00996E34">
        <w:t>400,000</w:t>
      </w:r>
      <w:r w:rsidR="00996E34" w:rsidRPr="0032011B">
        <w:t xml:space="preserve"> trace requests in FY 201</w:t>
      </w:r>
      <w:r w:rsidR="00996E34">
        <w:t>4</w:t>
      </w:r>
      <w:r w:rsidR="00996E34" w:rsidRPr="0032011B">
        <w:t xml:space="preserve">.  </w:t>
      </w:r>
      <w:r w:rsidRPr="0032011B">
        <w:t xml:space="preserve"> The NTC is the only </w:t>
      </w:r>
      <w:r w:rsidRPr="0032011B">
        <w:lastRenderedPageBreak/>
        <w:t xml:space="preserve">repository of crime gun trace data, multiple handgun sales information, </w:t>
      </w:r>
      <w:r w:rsidR="00A256E5">
        <w:t xml:space="preserve">demand letter information, </w:t>
      </w:r>
      <w:r w:rsidR="00DC5961">
        <w:t>FFL theft information, interstate t</w:t>
      </w:r>
      <w:r w:rsidRPr="0032011B">
        <w:t xml:space="preserve">heft information, suspect gun information, and firearms transaction records from out-of-business FFLs. </w:t>
      </w:r>
    </w:p>
    <w:p w:rsidR="00C61E85" w:rsidRPr="0032011B" w:rsidRDefault="00C61E85" w:rsidP="00C61E85"/>
    <w:p w:rsidR="00C61E85" w:rsidRDefault="00C61E85" w:rsidP="00953B6B">
      <w:pPr>
        <w:ind w:left="720"/>
      </w:pPr>
      <w:r w:rsidRPr="0032011B">
        <w:t xml:space="preserve">The trace information allows ATF to link suspects to firearms in criminal investigations for </w:t>
      </w:r>
      <w:r w:rsidR="002E3EAB">
        <w:t>Federal</w:t>
      </w:r>
      <w:r w:rsidRPr="0032011B">
        <w:t xml:space="preserve">, state, and local law enforcement agencies making the trace requests; to identify illegal firearms traffickers through recurring patterns and trends indicative of illegal firearms trafficking; and provides ATF a means through analysis of the aggregate trace data to help communities develop focused strategies and programs that address specific factors that contribute to armed crime.  </w:t>
      </w:r>
    </w:p>
    <w:p w:rsidR="00B73206" w:rsidRDefault="00B73206" w:rsidP="00953B6B">
      <w:pPr>
        <w:ind w:left="720"/>
      </w:pPr>
    </w:p>
    <w:p w:rsidR="00B73206" w:rsidRPr="0032011B" w:rsidRDefault="00B73206" w:rsidP="002F2C94">
      <w:pPr>
        <w:ind w:left="720"/>
      </w:pPr>
      <w:r w:rsidRPr="00114140">
        <w:t xml:space="preserve">Proper and timely recordkeeping by FFLs is critical to the success of a crime gun trace and is required for all firearms </w:t>
      </w:r>
      <w:r>
        <w:t>transactions</w:t>
      </w:r>
      <w:r w:rsidRPr="00114140">
        <w:t xml:space="preserve"> by licensees.  </w:t>
      </w:r>
      <w:r w:rsidR="001B4455" w:rsidRPr="00114140">
        <w:t xml:space="preserve">Failing to </w:t>
      </w:r>
      <w:r w:rsidR="001B4455">
        <w:t>maintain accurate records of firearms transactions</w:t>
      </w:r>
      <w:r w:rsidR="001B4455" w:rsidRPr="00114140">
        <w:t xml:space="preserve"> is </w:t>
      </w:r>
      <w:r w:rsidR="001B4455">
        <w:t>a s</w:t>
      </w:r>
      <w:r w:rsidR="001B4455" w:rsidRPr="00114140">
        <w:t xml:space="preserve">erious public safety concern because </w:t>
      </w:r>
      <w:r w:rsidR="001B4455">
        <w:t xml:space="preserve">guns used in the commission of violent crimes </w:t>
      </w:r>
      <w:r w:rsidR="001B4455" w:rsidRPr="00114140">
        <w:t xml:space="preserve">cannot be </w:t>
      </w:r>
      <w:r w:rsidR="001B4455" w:rsidRPr="009813EA">
        <w:t>traced to the retail</w:t>
      </w:r>
      <w:r w:rsidR="001B4455" w:rsidRPr="008F20CC">
        <w:rPr>
          <w:color w:val="548DD4" w:themeColor="text2" w:themeTint="99"/>
        </w:rPr>
        <w:t xml:space="preserve"> </w:t>
      </w:r>
      <w:r w:rsidR="001B4455" w:rsidRPr="009813EA">
        <w:t>purchaser.</w:t>
      </w:r>
      <w:r w:rsidR="001B4455">
        <w:t xml:space="preserve">  </w:t>
      </w:r>
      <w:r>
        <w:t xml:space="preserve">This is </w:t>
      </w:r>
      <w:r w:rsidR="004564FF">
        <w:t xml:space="preserve">a </w:t>
      </w:r>
      <w:r>
        <w:t xml:space="preserve">critical nexus in law enforcement between </w:t>
      </w:r>
      <w:r w:rsidR="004564FF">
        <w:t xml:space="preserve">the </w:t>
      </w:r>
      <w:r>
        <w:t xml:space="preserve">industry and </w:t>
      </w:r>
      <w:r w:rsidR="004564FF">
        <w:t xml:space="preserve">the </w:t>
      </w:r>
      <w:r>
        <w:t xml:space="preserve">tracing that ATF </w:t>
      </w:r>
      <w:r w:rsidR="004564FF">
        <w:t>relies on</w:t>
      </w:r>
      <w:r>
        <w:t xml:space="preserve"> to </w:t>
      </w:r>
      <w:r w:rsidR="004564FF">
        <w:t xml:space="preserve">identify </w:t>
      </w:r>
      <w:r>
        <w:t xml:space="preserve">violent criminal activity.  </w:t>
      </w:r>
    </w:p>
    <w:p w:rsidR="00C61E85" w:rsidRPr="0032011B" w:rsidRDefault="00C61E85" w:rsidP="00C61E85"/>
    <w:p w:rsidR="00C61E85" w:rsidRPr="00114140" w:rsidRDefault="00C61E85" w:rsidP="00953B6B">
      <w:pPr>
        <w:ind w:left="720"/>
      </w:pPr>
      <w:r w:rsidRPr="0032011B">
        <w:t>Information gathered from tracing firearms recovered in crimes provides inves</w:t>
      </w:r>
      <w:r w:rsidR="004564FF">
        <w:t>tigative leads that</w:t>
      </w:r>
      <w:r w:rsidRPr="0032011B">
        <w:t xml:space="preserve"> identify illegal firearms traffickers,</w:t>
      </w:r>
      <w:r w:rsidR="004564FF">
        <w:t xml:space="preserve"> gang members,</w:t>
      </w:r>
      <w:r w:rsidRPr="0032011B">
        <w:t xml:space="preserve"> straw purchasers, and others inv</w:t>
      </w:r>
      <w:r w:rsidR="004564FF">
        <w:t>olved in violent firearms crime</w:t>
      </w:r>
      <w:r w:rsidRPr="0032011B">
        <w:t xml:space="preserve">.  Firearm trace data identifies “hot spots” of criminal activity and </w:t>
      </w:r>
      <w:r w:rsidR="004564FF">
        <w:t>identifies</w:t>
      </w:r>
      <w:r w:rsidRPr="0032011B">
        <w:t xml:space="preserve"> weapons sources even if t</w:t>
      </w:r>
      <w:r w:rsidR="004564FF">
        <w:t xml:space="preserve">hey are in other states </w:t>
      </w:r>
      <w:r w:rsidRPr="0032011B">
        <w:t>or in</w:t>
      </w:r>
      <w:r>
        <w:t xml:space="preserve"> another country</w:t>
      </w:r>
      <w:r w:rsidRPr="00114140">
        <w:t xml:space="preserve">.  ATF uses this data to target and perfect its own criminal investigations, and transmits information to </w:t>
      </w:r>
      <w:r>
        <w:t xml:space="preserve">Foreign, </w:t>
      </w:r>
      <w:r w:rsidR="002E3EAB">
        <w:t>Federal</w:t>
      </w:r>
      <w:r>
        <w:t>, state</w:t>
      </w:r>
      <w:r w:rsidRPr="00114140">
        <w:t xml:space="preserve"> and local law enforcement.</w:t>
      </w:r>
      <w:r w:rsidR="003D7F00">
        <w:t xml:space="preserve"> Firearms tracing is an integral part of ATF’s crime solving mission but </w:t>
      </w:r>
      <w:r w:rsidR="004564FF">
        <w:t>we provide this</w:t>
      </w:r>
      <w:r w:rsidR="003D7F00">
        <w:t xml:space="preserve"> service to ALL law enforcement entities, worldwide.</w:t>
      </w:r>
    </w:p>
    <w:p w:rsidR="00C61E85" w:rsidRDefault="00C61E85" w:rsidP="00C61E85"/>
    <w:p w:rsidR="00C61E85" w:rsidRPr="00114140" w:rsidRDefault="00C61E85" w:rsidP="00953B6B">
      <w:pPr>
        <w:ind w:left="720"/>
      </w:pPr>
      <w:r w:rsidRPr="00114140">
        <w:t xml:space="preserve">ATF’s </w:t>
      </w:r>
      <w:r w:rsidR="00DC5961">
        <w:t>NTC</w:t>
      </w:r>
      <w:r w:rsidRPr="00114140">
        <w:t xml:space="preserve"> performs a number of functions that play a critical role in </w:t>
      </w:r>
      <w:r>
        <w:t>disrupting</w:t>
      </w:r>
      <w:r w:rsidRPr="00114140">
        <w:t xml:space="preserve"> the flow of illegal guns and improving FFL compliance with </w:t>
      </w:r>
      <w:r w:rsidR="002E3EAB">
        <w:t>Federal</w:t>
      </w:r>
      <w:r w:rsidRPr="00114140">
        <w:t xml:space="preserve"> gun laws.  Below are some of the key functions of the NTC</w:t>
      </w:r>
      <w:r>
        <w:t>.</w:t>
      </w:r>
    </w:p>
    <w:p w:rsidR="00C61E85" w:rsidRDefault="00C61E85" w:rsidP="00C61E85"/>
    <w:p w:rsidR="00504A36" w:rsidRDefault="00C61E85">
      <w:pPr>
        <w:pStyle w:val="ListParagraph"/>
        <w:numPr>
          <w:ilvl w:val="0"/>
          <w:numId w:val="7"/>
        </w:numPr>
        <w:ind w:left="1080"/>
      </w:pPr>
      <w:r w:rsidRPr="0032011B">
        <w:rPr>
          <w:b/>
        </w:rPr>
        <w:t>Firearms Tracing Program:</w:t>
      </w:r>
      <w:r w:rsidRPr="0032011B">
        <w:t xml:space="preserve"> The NTC conducts firearms tracing for </w:t>
      </w:r>
      <w:r w:rsidR="002E3EAB">
        <w:t>Federal</w:t>
      </w:r>
      <w:r w:rsidRPr="0032011B">
        <w:t>, state, local and foreign law enforcement agencies in order to produce investig</w:t>
      </w:r>
      <w:r w:rsidR="001B4455">
        <w:t xml:space="preserve">ative leads. </w:t>
      </w:r>
      <w:r w:rsidRPr="0032011B">
        <w:t xml:space="preserve">The NTC traced </w:t>
      </w:r>
      <w:r w:rsidR="00996E34" w:rsidRPr="0032011B">
        <w:t>3</w:t>
      </w:r>
      <w:r w:rsidR="00996E34">
        <w:t>44</w:t>
      </w:r>
      <w:r w:rsidR="00996E34" w:rsidRPr="0032011B">
        <w:t>,4</w:t>
      </w:r>
      <w:r w:rsidR="00996E34">
        <w:t>77</w:t>
      </w:r>
      <w:r w:rsidR="00996E34" w:rsidRPr="0032011B">
        <w:t xml:space="preserve"> requests in FY 201</w:t>
      </w:r>
      <w:r w:rsidR="00996E34">
        <w:t>2</w:t>
      </w:r>
      <w:r w:rsidRPr="0032011B">
        <w:t>.</w:t>
      </w:r>
    </w:p>
    <w:p w:rsidR="00C61E85" w:rsidRPr="0032011B" w:rsidRDefault="00C61E85" w:rsidP="00953B6B">
      <w:pPr>
        <w:pStyle w:val="ListParagraph"/>
        <w:ind w:left="1080"/>
      </w:pPr>
    </w:p>
    <w:p w:rsidR="00504A36" w:rsidRDefault="00C61E85">
      <w:pPr>
        <w:pStyle w:val="ListParagraph"/>
        <w:numPr>
          <w:ilvl w:val="0"/>
          <w:numId w:val="6"/>
        </w:numPr>
        <w:ind w:left="1080"/>
      </w:pPr>
      <w:r w:rsidRPr="0032011B">
        <w:rPr>
          <w:b/>
        </w:rPr>
        <w:t>eTrace Program:</w:t>
      </w:r>
      <w:r w:rsidRPr="0032011B">
        <w:t xml:space="preserve"> This is a web-based firearms tracing system interface that ATF developed to allow law enforcement agencies to securely submit trace requests via the Internet, receive trace results, and perform analysis of the data.  eTrace is the primary means through which a law enforcement agency interacts with the NTC.  To date, more than </w:t>
      </w:r>
      <w:r w:rsidR="00FA2BEB">
        <w:t>4,</w:t>
      </w:r>
      <w:r w:rsidR="00996E34">
        <w:t>400</w:t>
      </w:r>
      <w:r w:rsidR="00996E34" w:rsidRPr="0032011B">
        <w:t xml:space="preserve"> </w:t>
      </w:r>
      <w:r w:rsidRPr="0032011B">
        <w:t xml:space="preserve">law enforcement agencies use eTrace to submit their trace requests to the NTC, including law enforcement agencies from </w:t>
      </w:r>
      <w:r w:rsidR="00996E34" w:rsidRPr="0032011B">
        <w:t>3</w:t>
      </w:r>
      <w:r w:rsidR="00996E34">
        <w:t>4</w:t>
      </w:r>
      <w:r w:rsidR="00996E34" w:rsidRPr="0032011B">
        <w:t xml:space="preserve"> </w:t>
      </w:r>
      <w:r w:rsidRPr="0032011B">
        <w:t>foreign countries.</w:t>
      </w:r>
    </w:p>
    <w:p w:rsidR="00C61E85" w:rsidRPr="0032011B" w:rsidRDefault="00C61E85" w:rsidP="00953B6B">
      <w:pPr>
        <w:ind w:left="360"/>
      </w:pPr>
    </w:p>
    <w:p w:rsidR="00504A36" w:rsidRDefault="00C61E85">
      <w:pPr>
        <w:pStyle w:val="ListParagraph"/>
        <w:numPr>
          <w:ilvl w:val="0"/>
          <w:numId w:val="6"/>
        </w:numPr>
        <w:ind w:left="1080"/>
      </w:pPr>
      <w:r w:rsidRPr="0032011B">
        <w:rPr>
          <w:b/>
        </w:rPr>
        <w:t>FFL Theft Program:</w:t>
      </w:r>
      <w:r w:rsidRPr="0032011B">
        <w:t xml:space="preserve"> FFLs are required to report the theft or loss of firearms in their inventory to ATF’s </w:t>
      </w:r>
      <w:r w:rsidR="00DC5961">
        <w:t>NTC</w:t>
      </w:r>
      <w:r w:rsidRPr="0032011B">
        <w:t xml:space="preserve"> within 48 hours so that when they are recovered and traced by a law enforcement agency, the criminal investigations can be coordinated.  There is an average of about 19,000 firearms reported stolen or lost each year.</w:t>
      </w:r>
    </w:p>
    <w:p w:rsidR="00C61E85" w:rsidRPr="0032011B" w:rsidRDefault="00C61E85" w:rsidP="00953B6B">
      <w:pPr>
        <w:ind w:left="360"/>
      </w:pPr>
    </w:p>
    <w:p w:rsidR="00504A36" w:rsidRDefault="00C61E85">
      <w:pPr>
        <w:pStyle w:val="ListParagraph"/>
        <w:numPr>
          <w:ilvl w:val="0"/>
          <w:numId w:val="6"/>
        </w:numPr>
        <w:ind w:left="1080"/>
      </w:pPr>
      <w:r w:rsidRPr="0032011B">
        <w:rPr>
          <w:b/>
        </w:rPr>
        <w:t>Interstate Theft Program:</w:t>
      </w:r>
      <w:r w:rsidRPr="0032011B">
        <w:t xml:space="preserve"> Interstate carriers can voluntarily report the theft or loss of firearms in transit to ATF’s </w:t>
      </w:r>
      <w:r w:rsidR="003A444B">
        <w:t>NTC</w:t>
      </w:r>
      <w:r w:rsidRPr="0032011B">
        <w:t xml:space="preserve"> so that if they are recovered and traced by a law enforcement agency, the criminal investigations can be coordinated.  There were about 1,</w:t>
      </w:r>
      <w:r w:rsidR="00996E34">
        <w:t>3</w:t>
      </w:r>
      <w:r w:rsidR="00996E34" w:rsidRPr="0032011B">
        <w:t xml:space="preserve">00 </w:t>
      </w:r>
      <w:r w:rsidRPr="0032011B">
        <w:t xml:space="preserve">firearms reported stolen by interstate carriers in FY </w:t>
      </w:r>
      <w:r w:rsidR="00996E34" w:rsidRPr="0032011B">
        <w:t>201</w:t>
      </w:r>
      <w:r w:rsidR="00996E34">
        <w:t>2</w:t>
      </w:r>
      <w:r w:rsidRPr="0032011B">
        <w:t xml:space="preserve">. </w:t>
      </w:r>
    </w:p>
    <w:p w:rsidR="00C61E85" w:rsidRPr="0032011B" w:rsidRDefault="00C61E85" w:rsidP="00953B6B">
      <w:pPr>
        <w:ind w:left="360"/>
      </w:pPr>
    </w:p>
    <w:p w:rsidR="00504A36" w:rsidRDefault="00C61E85">
      <w:pPr>
        <w:pStyle w:val="ListParagraph"/>
        <w:numPr>
          <w:ilvl w:val="0"/>
          <w:numId w:val="6"/>
        </w:numPr>
        <w:ind w:left="1080"/>
      </w:pPr>
      <w:r w:rsidRPr="0032011B">
        <w:rPr>
          <w:b/>
        </w:rPr>
        <w:t>Obliterated Serial Number Program:</w:t>
      </w:r>
      <w:r w:rsidRPr="0032011B">
        <w:t xml:space="preserve"> Allows law enforcement agencies to submit firearms trace requests to ATF’s </w:t>
      </w:r>
      <w:r w:rsidR="00DC5961">
        <w:t>NTC</w:t>
      </w:r>
      <w:r w:rsidRPr="0032011B">
        <w:t xml:space="preserve"> with partial </w:t>
      </w:r>
      <w:r w:rsidR="0030679F">
        <w:t xml:space="preserve">or obliterated </w:t>
      </w:r>
      <w:r w:rsidRPr="0032011B">
        <w:t xml:space="preserve">serial numbers to identify the crime gun and develop investigative leads.  The NTC received about </w:t>
      </w:r>
      <w:r w:rsidR="00996E34" w:rsidRPr="0032011B">
        <w:t>10,</w:t>
      </w:r>
      <w:r w:rsidR="00996E34">
        <w:t>7</w:t>
      </w:r>
      <w:r w:rsidR="00996E34" w:rsidRPr="0032011B">
        <w:t>00 firearm trace requests in FY 201</w:t>
      </w:r>
      <w:r w:rsidR="00996E34">
        <w:t>2</w:t>
      </w:r>
      <w:r w:rsidR="00996E34" w:rsidRPr="0032011B">
        <w:t xml:space="preserve"> </w:t>
      </w:r>
      <w:r w:rsidRPr="0032011B">
        <w:t xml:space="preserve">with only partial serial numbers. </w:t>
      </w:r>
    </w:p>
    <w:p w:rsidR="00C61E85" w:rsidRPr="0032011B" w:rsidRDefault="00C61E85" w:rsidP="00953B6B">
      <w:pPr>
        <w:ind w:left="360"/>
      </w:pPr>
    </w:p>
    <w:p w:rsidR="00504A36" w:rsidRDefault="00C61E85">
      <w:pPr>
        <w:pStyle w:val="ListParagraph"/>
        <w:numPr>
          <w:ilvl w:val="0"/>
          <w:numId w:val="6"/>
        </w:numPr>
        <w:ind w:left="1080"/>
      </w:pPr>
      <w:r w:rsidRPr="0032011B">
        <w:rPr>
          <w:b/>
        </w:rPr>
        <w:t>International Tracing:</w:t>
      </w:r>
      <w:r w:rsidRPr="0032011B">
        <w:t xml:space="preserve"> ATF traces firearms for foreign law enforcement agencies to provide investigative leads, </w:t>
      </w:r>
      <w:r w:rsidR="0030679F">
        <w:t>identify possible</w:t>
      </w:r>
      <w:r w:rsidRPr="0032011B">
        <w:t xml:space="preserve"> firearms traffickers and to determine international</w:t>
      </w:r>
      <w:r w:rsidRPr="00114140">
        <w:t xml:space="preserve"> </w:t>
      </w:r>
      <w:r>
        <w:t>fire</w:t>
      </w:r>
      <w:r w:rsidRPr="00114140">
        <w:t>arms trafficking routes.  More than 50 countries annually submit trace requests to the NTC.</w:t>
      </w:r>
    </w:p>
    <w:p w:rsidR="00C61E85" w:rsidRDefault="00C61E85" w:rsidP="00953B6B">
      <w:pPr>
        <w:ind w:left="360"/>
      </w:pPr>
    </w:p>
    <w:p w:rsidR="00504A36" w:rsidRDefault="00C61E85">
      <w:pPr>
        <w:pStyle w:val="ListParagraph"/>
        <w:numPr>
          <w:ilvl w:val="0"/>
          <w:numId w:val="7"/>
        </w:numPr>
        <w:ind w:left="1080"/>
      </w:pPr>
      <w:r w:rsidRPr="00AB2682">
        <w:rPr>
          <w:b/>
        </w:rPr>
        <w:t>Out-Of-Business Records:</w:t>
      </w:r>
      <w:r w:rsidRPr="00114140">
        <w:t xml:space="preserve"> When an FFL discontinues business, </w:t>
      </w:r>
      <w:r>
        <w:t xml:space="preserve">it must send its </w:t>
      </w:r>
      <w:r w:rsidRPr="00114140">
        <w:t xml:space="preserve">firearms transactions records to the NTC.  The NTC receives an average of </w:t>
      </w:r>
      <w:r w:rsidR="00996E34">
        <w:t xml:space="preserve">1 </w:t>
      </w:r>
      <w:r w:rsidR="00996E34" w:rsidRPr="00114140">
        <w:t>million out-of-business records per month and is the only repository for these records within the U.S.</w:t>
      </w:r>
      <w:r w:rsidR="00996E34">
        <w:t xml:space="preserve">  These records are used to complete trace requests.  On average nearly 32 percent</w:t>
      </w:r>
      <w:r>
        <w:t xml:space="preserve"> of all trace requests have at least one FFL in the chain of distribution that has gone out of business.</w:t>
      </w:r>
    </w:p>
    <w:p w:rsidR="00504A36" w:rsidRDefault="00265432" w:rsidP="00EB75DD">
      <w:pPr>
        <w:pStyle w:val="xl19"/>
        <w:numPr>
          <w:ilvl w:val="0"/>
          <w:numId w:val="13"/>
        </w:numPr>
        <w:tabs>
          <w:tab w:val="center" w:pos="360"/>
          <w:tab w:val="left" w:leader="dot" w:pos="7920"/>
          <w:tab w:val="left" w:pos="8280"/>
          <w:tab w:val="right" w:pos="8640"/>
        </w:tabs>
        <w:spacing w:before="100" w:beforeAutospacing="1" w:after="100" w:afterAutospacing="1"/>
        <w:rPr>
          <w:b/>
          <w:bCs/>
          <w:i/>
          <w:sz w:val="28"/>
          <w:szCs w:val="28"/>
        </w:rPr>
      </w:pPr>
      <w:r w:rsidRPr="00265432">
        <w:rPr>
          <w:b/>
          <w:bCs/>
          <w:i/>
          <w:sz w:val="28"/>
          <w:szCs w:val="28"/>
        </w:rPr>
        <w:t>National Integrated Ballistics Information Network (NIBIN)</w:t>
      </w:r>
    </w:p>
    <w:p w:rsidR="00A179F2" w:rsidRPr="00A179F2" w:rsidRDefault="0058452E" w:rsidP="00A179F2">
      <w:pPr>
        <w:ind w:left="720"/>
      </w:pPr>
      <w:r w:rsidRPr="00A179F2">
        <w:t xml:space="preserve">The NIBIN Program continues to prove its worth in helping ATF and its law enforcement partners in removing violent offenders from America’s streets.  </w:t>
      </w:r>
      <w:r w:rsidR="00A179F2" w:rsidRPr="00A179F2">
        <w:t xml:space="preserve">ATF collects, reports, and shares ballistic intelligence to identify, target, </w:t>
      </w:r>
      <w:r w:rsidR="00A65D1F">
        <w:t>disrupt</w:t>
      </w:r>
      <w:r w:rsidR="007035F4">
        <w:t>,</w:t>
      </w:r>
      <w:r w:rsidR="00A179F2" w:rsidRPr="00A179F2">
        <w:t xml:space="preserve"> and </w:t>
      </w:r>
      <w:r w:rsidR="00A65D1F">
        <w:t>dismantle</w:t>
      </w:r>
      <w:r w:rsidR="00A179F2" w:rsidRPr="00A179F2">
        <w:t xml:space="preserve"> violent gangs and criminal organizations engaged in firearms-related violent crimes.  </w:t>
      </w:r>
    </w:p>
    <w:p w:rsidR="00A179F2" w:rsidRPr="00A179F2" w:rsidRDefault="00A179F2" w:rsidP="00A179F2">
      <w:pPr>
        <w:ind w:left="720"/>
      </w:pPr>
    </w:p>
    <w:p w:rsidR="00A179F2" w:rsidRDefault="00A179F2" w:rsidP="00A179F2">
      <w:pPr>
        <w:ind w:left="720"/>
      </w:pPr>
      <w:r w:rsidRPr="00A179F2">
        <w:t>The NIBIN system is a collection of automated ballistic images of spent ammunition recovered from crime scenes and from crime gun test fires.  ATF administer</w:t>
      </w:r>
      <w:r w:rsidR="0030679F">
        <w:t xml:space="preserve">s NIBIN for </w:t>
      </w:r>
      <w:r w:rsidR="002E3EAB">
        <w:t>Federal</w:t>
      </w:r>
      <w:r w:rsidR="0030679F">
        <w:t>, s</w:t>
      </w:r>
      <w:r w:rsidRPr="00A179F2">
        <w:t xml:space="preserve">tate, local and </w:t>
      </w:r>
      <w:r w:rsidR="00F53F86">
        <w:t>Tribal</w:t>
      </w:r>
      <w:r w:rsidRPr="00A179F2">
        <w:t xml:space="preserve"> law enforcement agencies in the United States.  By searching in an automated environment for potential matches (locally, regionally, or nationally), NIBIN partners are able to discover links between crimes more quickly, including such cross-jurisdictional links that would never have been identified absent the technology.</w:t>
      </w:r>
    </w:p>
    <w:p w:rsidR="00002690" w:rsidRPr="00A179F2" w:rsidRDefault="00002690" w:rsidP="00A179F2">
      <w:pPr>
        <w:ind w:left="720"/>
        <w:rPr>
          <w:b/>
          <w:u w:val="single"/>
        </w:rPr>
      </w:pPr>
    </w:p>
    <w:p w:rsidR="00A179F2" w:rsidRPr="00A179F2" w:rsidRDefault="00A179F2" w:rsidP="00A179F2">
      <w:pPr>
        <w:pStyle w:val="NormalWeb"/>
        <w:ind w:left="720"/>
        <w:rPr>
          <w:rFonts w:ascii="Times New Roman" w:hAnsi="Times New Roman"/>
        </w:rPr>
      </w:pPr>
      <w:r w:rsidRPr="00A179F2">
        <w:rPr>
          <w:rFonts w:ascii="Times New Roman" w:hAnsi="Times New Roman"/>
        </w:rPr>
        <w:t>As with fingerprints, every firearm has unique identifying characteristics.  The barrel of a weapon leaves distinct markings on a bullet or projectile, and the breech and firing pin mechanisms also leave distinct markings on the cartridge case.  Using these markings, firearm examiners are able to examine bullets and cartridge casings to determine if they were expelled from the same firearm.  Historically, this has been a tedious, time-consuming, and in many cases, nearly impossible process</w:t>
      </w:r>
      <w:r w:rsidR="0030679F">
        <w:rPr>
          <w:rFonts w:ascii="Times New Roman" w:hAnsi="Times New Roman"/>
        </w:rPr>
        <w:t>.  F</w:t>
      </w:r>
      <w:r w:rsidRPr="00A179F2">
        <w:rPr>
          <w:rFonts w:ascii="Times New Roman" w:hAnsi="Times New Roman"/>
        </w:rPr>
        <w:t xml:space="preserve">irearm examiners </w:t>
      </w:r>
      <w:r w:rsidR="0030679F">
        <w:rPr>
          <w:rFonts w:ascii="Times New Roman" w:hAnsi="Times New Roman"/>
        </w:rPr>
        <w:t>must</w:t>
      </w:r>
      <w:r w:rsidRPr="00A179F2">
        <w:rPr>
          <w:rFonts w:ascii="Times New Roman" w:hAnsi="Times New Roman"/>
        </w:rPr>
        <w:t xml:space="preserve"> compare suspect bullets and cartridge casings recovered at disparate crime scenes or from a recovered firearm to the vast inventory of recovered or test-fired evidentiary projectiles </w:t>
      </w:r>
      <w:r w:rsidRPr="00A179F2">
        <w:rPr>
          <w:rFonts w:ascii="Times New Roman" w:hAnsi="Times New Roman"/>
        </w:rPr>
        <w:lastRenderedPageBreak/>
        <w:t xml:space="preserve">and casings </w:t>
      </w:r>
      <w:r w:rsidR="007035F4">
        <w:rPr>
          <w:rFonts w:ascii="Times New Roman" w:hAnsi="Times New Roman"/>
        </w:rPr>
        <w:t>stored in</w:t>
      </w:r>
      <w:r w:rsidRPr="00A179F2">
        <w:rPr>
          <w:rFonts w:ascii="Times New Roman" w:hAnsi="Times New Roman"/>
        </w:rPr>
        <w:t xml:space="preserve"> an evidence vault.  Through </w:t>
      </w:r>
      <w:r w:rsidR="007035F4">
        <w:rPr>
          <w:rFonts w:ascii="Times New Roman" w:hAnsi="Times New Roman"/>
        </w:rPr>
        <w:t>the</w:t>
      </w:r>
      <w:r w:rsidRPr="00A179F2">
        <w:rPr>
          <w:rFonts w:ascii="Times New Roman" w:hAnsi="Times New Roman"/>
        </w:rPr>
        <w:t xml:space="preserve"> NIBIN Program, ATF deploys Integrated Ballistic Identification Syste</w:t>
      </w:r>
      <w:r w:rsidR="0030679F">
        <w:rPr>
          <w:rFonts w:ascii="Times New Roman" w:hAnsi="Times New Roman"/>
        </w:rPr>
        <w:t xml:space="preserve">m (IBIS) equipment to </w:t>
      </w:r>
      <w:r w:rsidR="002E3EAB">
        <w:rPr>
          <w:rFonts w:ascii="Times New Roman" w:hAnsi="Times New Roman"/>
        </w:rPr>
        <w:t>Federal</w:t>
      </w:r>
      <w:r w:rsidR="0030679F">
        <w:rPr>
          <w:rFonts w:ascii="Times New Roman" w:hAnsi="Times New Roman"/>
        </w:rPr>
        <w:t>, s</w:t>
      </w:r>
      <w:r w:rsidRPr="00A179F2">
        <w:rPr>
          <w:rFonts w:ascii="Times New Roman" w:hAnsi="Times New Roman"/>
        </w:rPr>
        <w:t xml:space="preserve">tate and local law enforcement agencies for their use in imaging and comparing crime gun evidence.  This investment is also utilized as a national database that is real-time </w:t>
      </w:r>
      <w:r w:rsidR="0030679F">
        <w:rPr>
          <w:rFonts w:ascii="Times New Roman" w:hAnsi="Times New Roman"/>
        </w:rPr>
        <w:t xml:space="preserve">and </w:t>
      </w:r>
      <w:r w:rsidRPr="00A179F2">
        <w:rPr>
          <w:rFonts w:ascii="Times New Roman" w:hAnsi="Times New Roman"/>
        </w:rPr>
        <w:t>searchable</w:t>
      </w:r>
      <w:r w:rsidR="007035F4">
        <w:rPr>
          <w:rFonts w:ascii="Times New Roman" w:hAnsi="Times New Roman"/>
        </w:rPr>
        <w:t xml:space="preserve"> by ATF and over 162</w:t>
      </w:r>
      <w:r w:rsidR="007035F4" w:rsidRPr="00A179F2">
        <w:rPr>
          <w:rFonts w:ascii="Times New Roman" w:hAnsi="Times New Roman"/>
        </w:rPr>
        <w:t xml:space="preserve"> law enforcement locations nationwide</w:t>
      </w:r>
      <w:r w:rsidRPr="00A179F2">
        <w:rPr>
          <w:rFonts w:ascii="Times New Roman" w:hAnsi="Times New Roman"/>
        </w:rPr>
        <w:t xml:space="preserve"> for </w:t>
      </w:r>
      <w:r w:rsidR="0030679F">
        <w:rPr>
          <w:rFonts w:ascii="Times New Roman" w:hAnsi="Times New Roman"/>
        </w:rPr>
        <w:t xml:space="preserve">assistance in </w:t>
      </w:r>
      <w:r w:rsidRPr="00A179F2">
        <w:rPr>
          <w:rFonts w:ascii="Times New Roman" w:hAnsi="Times New Roman"/>
        </w:rPr>
        <w:t>firearms-related vi</w:t>
      </w:r>
      <w:r w:rsidR="00DC5961">
        <w:rPr>
          <w:rFonts w:ascii="Times New Roman" w:hAnsi="Times New Roman"/>
        </w:rPr>
        <w:t>olent crimes</w:t>
      </w:r>
      <w:r w:rsidRPr="00A179F2">
        <w:rPr>
          <w:rFonts w:ascii="Times New Roman" w:hAnsi="Times New Roman"/>
        </w:rPr>
        <w:t>.  Additionally</w:t>
      </w:r>
      <w:r w:rsidR="009365D9">
        <w:rPr>
          <w:rFonts w:ascii="Times New Roman" w:hAnsi="Times New Roman"/>
        </w:rPr>
        <w:t>, IBIS is now</w:t>
      </w:r>
      <w:r w:rsidRPr="00A179F2">
        <w:rPr>
          <w:rFonts w:ascii="Times New Roman" w:hAnsi="Times New Roman"/>
        </w:rPr>
        <w:t xml:space="preserve"> available to all law enforcement </w:t>
      </w:r>
      <w:r w:rsidR="009365D9">
        <w:rPr>
          <w:rFonts w:ascii="Times New Roman" w:hAnsi="Times New Roman"/>
        </w:rPr>
        <w:t>including those that do</w:t>
      </w:r>
      <w:r w:rsidRPr="00A179F2">
        <w:rPr>
          <w:rFonts w:ascii="Times New Roman" w:hAnsi="Times New Roman"/>
        </w:rPr>
        <w:t xml:space="preserve"> not have access to NIBIN through direct s</w:t>
      </w:r>
      <w:r w:rsidR="0030679F">
        <w:rPr>
          <w:rFonts w:ascii="Times New Roman" w:hAnsi="Times New Roman"/>
        </w:rPr>
        <w:t xml:space="preserve">ubmission </w:t>
      </w:r>
      <w:r w:rsidRPr="00A179F2">
        <w:rPr>
          <w:rFonts w:ascii="Times New Roman" w:hAnsi="Times New Roman"/>
        </w:rPr>
        <w:t xml:space="preserve">to one of </w:t>
      </w:r>
      <w:r w:rsidR="00DC5961">
        <w:rPr>
          <w:rFonts w:ascii="Times New Roman" w:hAnsi="Times New Roman"/>
        </w:rPr>
        <w:t>ATF’s</w:t>
      </w:r>
      <w:r w:rsidRPr="00A179F2">
        <w:rPr>
          <w:rFonts w:ascii="Times New Roman" w:hAnsi="Times New Roman"/>
        </w:rPr>
        <w:t xml:space="preserve"> three laboratories.</w:t>
      </w:r>
    </w:p>
    <w:p w:rsidR="0058452E" w:rsidRPr="00A179F2" w:rsidRDefault="0058452E" w:rsidP="0058452E">
      <w:pPr>
        <w:ind w:left="720"/>
      </w:pPr>
    </w:p>
    <w:p w:rsidR="0058452E" w:rsidRPr="00A179F2" w:rsidRDefault="0058452E" w:rsidP="0058452E">
      <w:pPr>
        <w:ind w:left="720"/>
        <w:rPr>
          <w:i/>
        </w:rPr>
      </w:pPr>
      <w:r w:rsidRPr="00A179F2">
        <w:t xml:space="preserve">NIBIN partners acquire (enter) ballistic information from spent ammunition </w:t>
      </w:r>
      <w:r w:rsidR="0030679F">
        <w:t>at</w:t>
      </w:r>
      <w:r w:rsidRPr="00A179F2">
        <w:t xml:space="preserve"> crime scenes and crime gun test fires, then search for possible ba</w:t>
      </w:r>
      <w:r w:rsidR="0030679F">
        <w:t xml:space="preserve">llistic matches by correlating </w:t>
      </w:r>
      <w:r w:rsidRPr="00A179F2">
        <w:t>against thousands of existing images via electronic image comparison.  If a high confidence candidate for a match emerges, NIBIN partners assign a firearms examiner to view the original evidence by microscope in order to confirm a match or a “hit.”  A hit, technically speaking, is a linking of two separate criminal investigations where no known connection may have previously existed.   (</w:t>
      </w:r>
      <w:r w:rsidRPr="00A179F2">
        <w:rPr>
          <w:i/>
        </w:rPr>
        <w:t xml:space="preserve">NIBIN cannot be used to capture or store ballistic information acquired at the point of manufacture, importation, or sale; nor can it be used to capture purchaser or date of manufacture or sale information.) </w:t>
      </w:r>
    </w:p>
    <w:p w:rsidR="0058452E" w:rsidRPr="00A179F2" w:rsidRDefault="0058452E" w:rsidP="0058452E">
      <w:pPr>
        <w:ind w:left="720"/>
        <w:rPr>
          <w:i/>
        </w:rPr>
      </w:pPr>
    </w:p>
    <w:p w:rsidR="0058452E" w:rsidRPr="00A179F2" w:rsidRDefault="0058452E" w:rsidP="0058452E">
      <w:pPr>
        <w:ind w:left="720"/>
      </w:pPr>
      <w:r w:rsidRPr="00A179F2">
        <w:t xml:space="preserve">NIBIN is the only interstate automated ballistic imaging network in operation in the United States and is available to every major population center in the United States.   </w:t>
      </w:r>
      <w:r w:rsidR="009407BB">
        <w:t>Additional facts related to NIBIN are as follows:</w:t>
      </w:r>
    </w:p>
    <w:p w:rsidR="0058452E" w:rsidRPr="00A179F2" w:rsidRDefault="0058452E" w:rsidP="0058452E">
      <w:pPr>
        <w:ind w:left="1080"/>
        <w:rPr>
          <w:i/>
        </w:rPr>
      </w:pPr>
    </w:p>
    <w:p w:rsidR="00504A36" w:rsidRDefault="000145E8">
      <w:pPr>
        <w:numPr>
          <w:ilvl w:val="0"/>
          <w:numId w:val="18"/>
        </w:numPr>
      </w:pPr>
      <w:r>
        <w:t xml:space="preserve">148 </w:t>
      </w:r>
      <w:r w:rsidR="0058452E" w:rsidRPr="00A179F2">
        <w:t xml:space="preserve">NIBIN partners have IBIS systems deployed at 199 locations (nearly all crime labs). </w:t>
      </w:r>
    </w:p>
    <w:p w:rsidR="00504A36" w:rsidRDefault="0058452E">
      <w:pPr>
        <w:numPr>
          <w:ilvl w:val="0"/>
          <w:numId w:val="17"/>
        </w:numPr>
      </w:pPr>
      <w:r w:rsidRPr="00A179F2">
        <w:t>NIBIN contains over 2.1 million ballistic images.</w:t>
      </w:r>
    </w:p>
    <w:p w:rsidR="00504A36" w:rsidRDefault="0058452E">
      <w:pPr>
        <w:numPr>
          <w:ilvl w:val="0"/>
          <w:numId w:val="17"/>
        </w:numPr>
      </w:pPr>
      <w:r w:rsidRPr="00A179F2">
        <w:t xml:space="preserve">NIBIN has been used to identify more than </w:t>
      </w:r>
      <w:r w:rsidR="000145E8">
        <w:t xml:space="preserve">52,100 </w:t>
      </w:r>
      <w:r w:rsidRPr="00A179F2">
        <w:t xml:space="preserve">confirmed hits (linking over </w:t>
      </w:r>
      <w:r w:rsidR="000145E8">
        <w:t xml:space="preserve">104,200 </w:t>
      </w:r>
      <w:r w:rsidRPr="00A179F2">
        <w:t xml:space="preserve">crimes).                      </w:t>
      </w:r>
    </w:p>
    <w:p w:rsidR="00504A36" w:rsidRDefault="0058452E">
      <w:pPr>
        <w:pStyle w:val="ListParagraph"/>
        <w:numPr>
          <w:ilvl w:val="0"/>
          <w:numId w:val="18"/>
        </w:numPr>
        <w:autoSpaceDE w:val="0"/>
        <w:autoSpaceDN w:val="0"/>
        <w:adjustRightInd w:val="0"/>
      </w:pPr>
      <w:r w:rsidRPr="00A179F2">
        <w:t xml:space="preserve">Over 7,600 law enforcement agencies have participated in NIBIN.  </w:t>
      </w:r>
    </w:p>
    <w:p w:rsidR="0058452E" w:rsidRPr="00A179F2" w:rsidRDefault="0058452E" w:rsidP="0058452E">
      <w:pPr>
        <w:autoSpaceDE w:val="0"/>
        <w:autoSpaceDN w:val="0"/>
        <w:adjustRightInd w:val="0"/>
      </w:pPr>
    </w:p>
    <w:p w:rsidR="002F130F" w:rsidRDefault="00CE23B4" w:rsidP="00EB5F5F">
      <w:pPr>
        <w:ind w:left="720"/>
      </w:pPr>
      <w:r>
        <w:rPr>
          <w:noProof/>
        </w:rPr>
        <w:drawing>
          <wp:anchor distT="0" distB="0" distL="114300" distR="114300" simplePos="0" relativeHeight="251711488" behindDoc="1" locked="0" layoutInCell="1" allowOverlap="1">
            <wp:simplePos x="0" y="0"/>
            <wp:positionH relativeFrom="column">
              <wp:posOffset>476250</wp:posOffset>
            </wp:positionH>
            <wp:positionV relativeFrom="paragraph">
              <wp:posOffset>538480</wp:posOffset>
            </wp:positionV>
            <wp:extent cx="3060700" cy="2219325"/>
            <wp:effectExtent l="19050" t="0" r="6350" b="0"/>
            <wp:wrapTight wrapText="bothSides">
              <wp:wrapPolygon edited="0">
                <wp:start x="-134" y="0"/>
                <wp:lineTo x="-134" y="21507"/>
                <wp:lineTo x="21645" y="21507"/>
                <wp:lineTo x="21645" y="0"/>
                <wp:lineTo x="-134" y="0"/>
              </wp:wrapPolygon>
            </wp:wrapTight>
            <wp:docPr id="19" name="Picture 19" descr="The graphic on page 36 illustrates the number of National Integrated Ballistics Information Network (NIBIN) &quot;hits&quot; that have occurred between FY 2008 and FY 2012.  The number of &quot;hits&quot; has increased between FY 2008, where there were slightly over 5,000, to over 5,700 in FY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srcRect/>
                    <a:stretch>
                      <a:fillRect/>
                    </a:stretch>
                  </pic:blipFill>
                  <pic:spPr bwMode="auto">
                    <a:xfrm>
                      <a:off x="0" y="0"/>
                      <a:ext cx="3060700" cy="2219325"/>
                    </a:xfrm>
                    <a:prstGeom prst="rect">
                      <a:avLst/>
                    </a:prstGeom>
                    <a:noFill/>
                    <a:ln w="9525">
                      <a:noFill/>
                      <a:miter lim="800000"/>
                      <a:headEnd/>
                      <a:tailEnd/>
                    </a:ln>
                  </pic:spPr>
                </pic:pic>
              </a:graphicData>
            </a:graphic>
          </wp:anchor>
        </w:drawing>
      </w:r>
      <w:r w:rsidR="0058452E" w:rsidRPr="00A179F2">
        <w:t>NIBIN linked over 5,</w:t>
      </w:r>
      <w:r w:rsidR="000145E8">
        <w:t>7</w:t>
      </w:r>
      <w:r w:rsidR="0058452E" w:rsidRPr="00A179F2">
        <w:t>00 violent incidents last year alone.  The use of this technology</w:t>
      </w:r>
      <w:r w:rsidR="00A179F2">
        <w:t>,</w:t>
      </w:r>
      <w:r w:rsidR="0058452E" w:rsidRPr="00A179F2">
        <w:t xml:space="preserve"> in conjunction with great investigative efforts solves crimes, takes violent offenders off the streets, and reduces violent crime</w:t>
      </w:r>
      <w:r w:rsidR="00A179F2">
        <w:t xml:space="preserve"> in every community</w:t>
      </w:r>
      <w:r w:rsidR="0058452E" w:rsidRPr="00A179F2">
        <w:t>.</w:t>
      </w:r>
      <w:r w:rsidR="00EB5F5F">
        <w:t xml:space="preserve"> </w:t>
      </w:r>
    </w:p>
    <w:p w:rsidR="00EB5F5F" w:rsidRDefault="00EB5F5F" w:rsidP="00EB5F5F">
      <w:pPr>
        <w:ind w:left="720"/>
      </w:pPr>
    </w:p>
    <w:p w:rsidR="002F130F" w:rsidRPr="00AB2B69" w:rsidRDefault="002F130F" w:rsidP="00AB2B69">
      <w:pPr>
        <w:ind w:left="720"/>
      </w:pPr>
      <w:r w:rsidRPr="00A179F2">
        <w:t>In an effort to regionalize the NIBIN program, ATF has decreased the number of systems depl</w:t>
      </w:r>
      <w:r w:rsidR="00A179F2" w:rsidRPr="00A179F2">
        <w:t xml:space="preserve">oyed throughout the country.  The program has started an </w:t>
      </w:r>
      <w:r w:rsidRPr="00A179F2">
        <w:t xml:space="preserve">initiative to set up regional hubs, </w:t>
      </w:r>
      <w:r w:rsidR="00A179F2" w:rsidRPr="00A179F2">
        <w:t xml:space="preserve">or </w:t>
      </w:r>
      <w:r w:rsidRPr="00A179F2">
        <w:t xml:space="preserve">entry locations, at state and local agencies where other departments in their area could use the NIBIN equipment to enter the ballistic evidence into the database.  Every major metropolitan area has access to ballistic imaging </w:t>
      </w:r>
      <w:r w:rsidRPr="00A179F2">
        <w:lastRenderedPageBreak/>
        <w:t>technology either at a state</w:t>
      </w:r>
      <w:r w:rsidR="009407BB">
        <w:t xml:space="preserve"> or </w:t>
      </w:r>
      <w:r w:rsidRPr="00A179F2">
        <w:t xml:space="preserve">local agency or by sending their evidence and test fires to one of the ATF laboratories for entry into the system.  </w:t>
      </w:r>
      <w:r w:rsidR="009365D9">
        <w:t>ATF supports NIBIN partner agencies</w:t>
      </w:r>
      <w:r w:rsidR="00DC2BC6">
        <w:t>, and their combined efforts against violent crime,</w:t>
      </w:r>
      <w:r w:rsidR="009365D9">
        <w:t xml:space="preserve"> by purchasing</w:t>
      </w:r>
      <w:r w:rsidR="00A65D1F">
        <w:t xml:space="preserve"> </w:t>
      </w:r>
      <w:r w:rsidRPr="00A179F2">
        <w:t>IBIS equipm</w:t>
      </w:r>
      <w:r w:rsidR="009407BB">
        <w:t>ent for deployment</w:t>
      </w:r>
      <w:r w:rsidR="009365D9">
        <w:t>,</w:t>
      </w:r>
      <w:r w:rsidR="009407BB">
        <w:t xml:space="preserve"> provid</w:t>
      </w:r>
      <w:r w:rsidR="009365D9">
        <w:t>ing</w:t>
      </w:r>
      <w:r w:rsidRPr="00A179F2">
        <w:t xml:space="preserve"> regular upgrades and service, </w:t>
      </w:r>
      <w:r w:rsidR="009365D9">
        <w:t>and</w:t>
      </w:r>
      <w:r w:rsidRPr="00A179F2">
        <w:t xml:space="preserve"> administering the network over which it communicates.  NIBIN partners agree to support the program with adequate staffing and resources, to enter as much crime gun evidence as possible into their IBIS systems, to share evidence and intelligence information with other law enforcement agencies, and to abide by ATF regulations for use of the NIBIN system.</w:t>
      </w:r>
    </w:p>
    <w:p w:rsidR="00504A36" w:rsidRDefault="00327AF3" w:rsidP="00EB75DD">
      <w:pPr>
        <w:pStyle w:val="xl19"/>
        <w:numPr>
          <w:ilvl w:val="0"/>
          <w:numId w:val="13"/>
        </w:numPr>
        <w:tabs>
          <w:tab w:val="center" w:pos="360"/>
          <w:tab w:val="left" w:leader="dot" w:pos="7920"/>
          <w:tab w:val="left" w:pos="8280"/>
          <w:tab w:val="right" w:pos="8640"/>
        </w:tabs>
        <w:spacing w:before="100" w:beforeAutospacing="1" w:after="100" w:afterAutospacing="1"/>
        <w:rPr>
          <w:b/>
          <w:bCs/>
          <w:i/>
          <w:sz w:val="28"/>
          <w:szCs w:val="28"/>
        </w:rPr>
      </w:pPr>
      <w:r w:rsidRPr="00953B6B">
        <w:rPr>
          <w:b/>
          <w:bCs/>
          <w:i/>
          <w:sz w:val="28"/>
          <w:szCs w:val="28"/>
        </w:rPr>
        <w:t>National Center for Explosives Training and Research</w:t>
      </w:r>
      <w:r w:rsidR="00B463C4">
        <w:rPr>
          <w:b/>
          <w:bCs/>
          <w:i/>
          <w:sz w:val="28"/>
          <w:szCs w:val="28"/>
        </w:rPr>
        <w:t xml:space="preserve"> (NCETR)</w:t>
      </w:r>
    </w:p>
    <w:p w:rsidR="00DC2BC6" w:rsidRDefault="0058452E">
      <w:pPr>
        <w:pStyle w:val="BodyText"/>
        <w:spacing w:before="100" w:beforeAutospacing="1" w:after="100" w:afterAutospacing="1"/>
        <w:ind w:left="720"/>
      </w:pPr>
      <w:r w:rsidRPr="004358BA">
        <w:rPr>
          <w:rFonts w:ascii="NewCenturySchlbk-Roman" w:hAnsi="NewCenturySchlbk-Roman" w:cs="NewCenturySchlbk-Roman"/>
        </w:rPr>
        <w:t>Preventing the criminal use of explosives is one of the</w:t>
      </w:r>
      <w:r w:rsidRPr="004358BA">
        <w:rPr>
          <w:rFonts w:ascii="NewCenturySchlbk-Italic" w:hAnsi="NewCenturySchlbk-Italic" w:cs="NewCenturySchlbk-Italic"/>
          <w:i/>
          <w:iCs/>
        </w:rPr>
        <w:t xml:space="preserve"> </w:t>
      </w:r>
      <w:r w:rsidRPr="004358BA">
        <w:rPr>
          <w:rFonts w:ascii="NewCenturySchlbk-Roman" w:hAnsi="NewCenturySchlbk-Roman" w:cs="NewCenturySchlbk-Roman"/>
        </w:rPr>
        <w:t xml:space="preserve">core missions of the ATF, and NCETR serves as the Bureau’s </w:t>
      </w:r>
      <w:r w:rsidR="00DC5961">
        <w:rPr>
          <w:rFonts w:ascii="NewCenturySchlbk-Roman" w:hAnsi="NewCenturySchlbk-Roman" w:cs="NewCenturySchlbk-Roman"/>
        </w:rPr>
        <w:t>primary source</w:t>
      </w:r>
      <w:r w:rsidRPr="004358BA">
        <w:rPr>
          <w:rFonts w:ascii="NewCenturySchlbk-Roman" w:hAnsi="NewCenturySchlbk-Roman" w:cs="NewCenturySchlbk-Roman"/>
        </w:rPr>
        <w:t xml:space="preserve"> for explosives research, training</w:t>
      </w:r>
      <w:r>
        <w:rPr>
          <w:rFonts w:ascii="NewCenturySchlbk-Roman" w:hAnsi="NewCenturySchlbk-Roman" w:cs="NewCenturySchlbk-Roman"/>
        </w:rPr>
        <w:t>,</w:t>
      </w:r>
      <w:r w:rsidRPr="004358BA">
        <w:rPr>
          <w:rFonts w:ascii="NewCenturySchlbk-Roman" w:hAnsi="NewCenturySchlbk-Roman" w:cs="NewCenturySchlbk-Roman"/>
        </w:rPr>
        <w:t xml:space="preserve"> and intelligence.</w:t>
      </w:r>
      <w:r>
        <w:rPr>
          <w:rFonts w:ascii="NewCenturySchlbk-Roman" w:hAnsi="NewCenturySchlbk-Roman" w:cs="NewCenturySchlbk-Roman"/>
        </w:rPr>
        <w:t xml:space="preserve">  </w:t>
      </w:r>
      <w:r w:rsidRPr="00762F09">
        <w:t xml:space="preserve">ATF is the primary agency responsible for administering and enforcing the regulatory and criminal provisions of </w:t>
      </w:r>
      <w:r>
        <w:t xml:space="preserve">the </w:t>
      </w:r>
      <w:r w:rsidR="002E3EAB">
        <w:t>Federal</w:t>
      </w:r>
      <w:r w:rsidRPr="00762F09">
        <w:t xml:space="preserve"> laws pertaining to </w:t>
      </w:r>
      <w:r>
        <w:t>destructive devices, explosives, and</w:t>
      </w:r>
      <w:r w:rsidRPr="00762F09">
        <w:t xml:space="preserve"> bombs.  </w:t>
      </w:r>
      <w:r w:rsidRPr="00762F09">
        <w:rPr>
          <w:u w:color="FF6600"/>
        </w:rPr>
        <w:t>ATF has</w:t>
      </w:r>
      <w:r>
        <w:rPr>
          <w:u w:color="FF6600"/>
        </w:rPr>
        <w:t xml:space="preserve"> unrivaled </w:t>
      </w:r>
      <w:r w:rsidRPr="00762F09">
        <w:rPr>
          <w:u w:color="FF6600"/>
        </w:rPr>
        <w:t>expertise in the investi</w:t>
      </w:r>
      <w:r>
        <w:rPr>
          <w:u w:color="FF6600"/>
        </w:rPr>
        <w:t>gation and forensic analysis of</w:t>
      </w:r>
      <w:r w:rsidRPr="00762F09">
        <w:rPr>
          <w:u w:color="FF6600"/>
        </w:rPr>
        <w:t xml:space="preserve"> explosives incidents arising from criminal or terrorists acts</w:t>
      </w:r>
      <w:r>
        <w:rPr>
          <w:u w:color="FF6600"/>
        </w:rPr>
        <w:t>.  ATF</w:t>
      </w:r>
      <w:r w:rsidRPr="00762F09">
        <w:rPr>
          <w:u w:color="FF6600"/>
        </w:rPr>
        <w:t xml:space="preserve"> </w:t>
      </w:r>
      <w:r>
        <w:rPr>
          <w:u w:color="FF6600"/>
        </w:rPr>
        <w:t xml:space="preserve">regularly </w:t>
      </w:r>
      <w:r w:rsidRPr="00762F09">
        <w:rPr>
          <w:u w:color="FF6600"/>
        </w:rPr>
        <w:t xml:space="preserve">shares its technical and scientific expertise with </w:t>
      </w:r>
      <w:r w:rsidR="002E3EAB">
        <w:rPr>
          <w:u w:color="FF6600"/>
        </w:rPr>
        <w:t>Federal</w:t>
      </w:r>
      <w:r w:rsidRPr="00762F09">
        <w:rPr>
          <w:u w:color="FF6600"/>
        </w:rPr>
        <w:t xml:space="preserve">, </w:t>
      </w:r>
      <w:r>
        <w:rPr>
          <w:u w:color="FF6600"/>
        </w:rPr>
        <w:t>state, local</w:t>
      </w:r>
      <w:r w:rsidRPr="00762F09">
        <w:rPr>
          <w:u w:color="FF6600"/>
        </w:rPr>
        <w:t xml:space="preserve"> and international law enforcement partners and fire service agencies.</w:t>
      </w:r>
      <w:r>
        <w:rPr>
          <w:u w:color="FF6600"/>
        </w:rPr>
        <w:t xml:space="preserve">  </w:t>
      </w:r>
      <w:r>
        <w:t>ATF further provides one of the most highly proficient and respected explosive incident and arson response capabilities in the world</w:t>
      </w:r>
      <w:r w:rsidR="00DC2BC6">
        <w:t xml:space="preserve"> </w:t>
      </w:r>
    </w:p>
    <w:p w:rsidR="008A5A8A" w:rsidRDefault="0058452E">
      <w:pPr>
        <w:pStyle w:val="BodyText"/>
        <w:spacing w:before="100" w:beforeAutospacing="1" w:after="100" w:afterAutospacing="1"/>
        <w:ind w:left="720"/>
      </w:pPr>
      <w:r w:rsidRPr="00762F09">
        <w:t xml:space="preserve">Established </w:t>
      </w:r>
      <w:r>
        <w:t>by</w:t>
      </w:r>
      <w:r w:rsidRPr="00762F09">
        <w:t xml:space="preserve"> the Homeland Security Act</w:t>
      </w:r>
      <w:r>
        <w:t xml:space="preserve"> of 2002</w:t>
      </w:r>
      <w:r w:rsidRPr="00762F09">
        <w:t>, NCETR deliver</w:t>
      </w:r>
      <w:r>
        <w:t>s</w:t>
      </w:r>
      <w:r w:rsidRPr="00762F09">
        <w:t xml:space="preserve"> basic and advanced courses on </w:t>
      </w:r>
      <w:r>
        <w:t>various</w:t>
      </w:r>
      <w:r w:rsidRPr="00762F09">
        <w:t xml:space="preserve"> explosives topics to ATF personnel, law enforcement partners, the U.S. military, and other </w:t>
      </w:r>
      <w:r w:rsidR="002E3EAB">
        <w:t>Federal</w:t>
      </w:r>
      <w:r w:rsidRPr="00762F09">
        <w:t xml:space="preserve"> agencies.  </w:t>
      </w:r>
      <w:r>
        <w:t>In 2010, NCETR moved from its original site at Fort A.P. Hill in Bowling Green, Virginia, to a permanent location at the Redstone Arsenal in Huntsville, Alabama.</w:t>
      </w:r>
      <w:r w:rsidRPr="00762F09">
        <w:t xml:space="preserve"> </w:t>
      </w:r>
      <w:r>
        <w:t xml:space="preserve"> This move allowed ATF to </w:t>
      </w:r>
      <w:r w:rsidRPr="00762F09">
        <w:t>consolidat</w:t>
      </w:r>
      <w:r>
        <w:t>e its explosives training</w:t>
      </w:r>
      <w:r w:rsidRPr="00762F09">
        <w:t xml:space="preserve"> and research</w:t>
      </w:r>
      <w:r>
        <w:t xml:space="preserve"> capabilities into one facility</w:t>
      </w:r>
      <w:r w:rsidRPr="00762F09">
        <w:t xml:space="preserve">, </w:t>
      </w:r>
      <w:r>
        <w:t xml:space="preserve">thereby </w:t>
      </w:r>
      <w:r w:rsidRPr="00762F09">
        <w:t xml:space="preserve">developing and enhancing </w:t>
      </w:r>
      <w:r>
        <w:t xml:space="preserve">our </w:t>
      </w:r>
      <w:r w:rsidRPr="00762F09">
        <w:t>technical</w:t>
      </w:r>
      <w:r>
        <w:t xml:space="preserve">, research and training infrastructure. </w:t>
      </w:r>
      <w:r w:rsidRPr="00762F09">
        <w:t xml:space="preserve"> </w:t>
      </w:r>
    </w:p>
    <w:p w:rsidR="008A5A8A" w:rsidRDefault="0058452E">
      <w:pPr>
        <w:ind w:left="720"/>
      </w:pPr>
      <w:r>
        <w:rPr>
          <w:rFonts w:eastAsia="Batang"/>
          <w:color w:val="000000"/>
        </w:rPr>
        <w:t xml:space="preserve">In total, the property is comprised of the main NCETR building, other supplemental facilities, to include storage for over 100,000 lbs. of explosives, and in excess of 1,000 acres of explosives ranges, with a 50 </w:t>
      </w:r>
      <w:r w:rsidR="00DC5961">
        <w:rPr>
          <w:rFonts w:eastAsia="Batang"/>
          <w:color w:val="000000"/>
        </w:rPr>
        <w:t>pound</w:t>
      </w:r>
      <w:r>
        <w:rPr>
          <w:rFonts w:eastAsia="Batang"/>
          <w:color w:val="000000"/>
        </w:rPr>
        <w:t xml:space="preserve"> net explosives weight shot limit.  </w:t>
      </w:r>
      <w:r w:rsidR="001B4455">
        <w:rPr>
          <w:rFonts w:eastAsia="Batang"/>
          <w:color w:val="000000"/>
        </w:rPr>
        <w:t xml:space="preserve">This makes NCETR a diverse and versatile </w:t>
      </w:r>
      <w:r>
        <w:rPr>
          <w:rFonts w:eastAsia="Batang"/>
          <w:color w:val="000000"/>
        </w:rPr>
        <w:t xml:space="preserve">resource in the fight against explosives-related violent crime and the </w:t>
      </w:r>
      <w:r w:rsidR="00E81031">
        <w:rPr>
          <w:rFonts w:eastAsia="Batang"/>
          <w:color w:val="000000"/>
        </w:rPr>
        <w:t>government-wide</w:t>
      </w:r>
      <w:r>
        <w:rPr>
          <w:rFonts w:eastAsia="Batang"/>
          <w:color w:val="000000"/>
        </w:rPr>
        <w:t xml:space="preserve"> counter-</w:t>
      </w:r>
      <w:r w:rsidR="00DC5961">
        <w:rPr>
          <w:rFonts w:eastAsia="Batang"/>
          <w:color w:val="000000"/>
        </w:rPr>
        <w:t>IED</w:t>
      </w:r>
      <w:r>
        <w:rPr>
          <w:rFonts w:eastAsia="Batang"/>
          <w:color w:val="000000"/>
        </w:rPr>
        <w:t xml:space="preserve"> effort.  </w:t>
      </w:r>
      <w:r>
        <w:t xml:space="preserve">This facility brings together ATF’s </w:t>
      </w:r>
      <w:r w:rsidRPr="003A7199">
        <w:t xml:space="preserve">explosives </w:t>
      </w:r>
      <w:r>
        <w:t xml:space="preserve">programs, </w:t>
      </w:r>
      <w:r w:rsidRPr="003A7199">
        <w:t>training,</w:t>
      </w:r>
      <w:r>
        <w:t xml:space="preserve"> and </w:t>
      </w:r>
      <w:r w:rsidRPr="003A7199">
        <w:t xml:space="preserve">research activities, </w:t>
      </w:r>
      <w:r>
        <w:t xml:space="preserve">allowing for maximum coordination </w:t>
      </w:r>
      <w:r w:rsidRPr="003A7199">
        <w:t xml:space="preserve">across these inter-related disciplines.  </w:t>
      </w:r>
      <w:r w:rsidR="009407BB">
        <w:t xml:space="preserve">Additionally, several other </w:t>
      </w:r>
      <w:r w:rsidR="002E3EAB">
        <w:t>Federal</w:t>
      </w:r>
      <w:r>
        <w:t xml:space="preserve"> government agencies are partnering with ATF to conduct explosives training and </w:t>
      </w:r>
      <w:r w:rsidR="00FF5A9E">
        <w:t>r</w:t>
      </w:r>
      <w:r>
        <w:t>esearch at NCETR.</w:t>
      </w:r>
    </w:p>
    <w:p w:rsidR="008A5A8A" w:rsidRDefault="0058452E" w:rsidP="00DC5961">
      <w:pPr>
        <w:spacing w:before="100" w:beforeAutospacing="1" w:after="100" w:afterAutospacing="1"/>
        <w:ind w:left="720"/>
      </w:pPr>
      <w:r w:rsidRPr="004B698D">
        <w:t>ATF</w:t>
      </w:r>
      <w:r>
        <w:t>’s</w:t>
      </w:r>
      <w:r w:rsidR="00C465A9">
        <w:t xml:space="preserve"> plan</w:t>
      </w:r>
      <w:r w:rsidRPr="004B698D">
        <w:t xml:space="preserve"> for NCETR encompasses the </w:t>
      </w:r>
      <w:r w:rsidR="00C465A9">
        <w:t>government-wide</w:t>
      </w:r>
      <w:r w:rsidRPr="004B698D">
        <w:t xml:space="preserve"> effort to safeguard the public from acts of violence utilizing explosives.</w:t>
      </w:r>
      <w:r>
        <w:t xml:space="preserve">  </w:t>
      </w:r>
      <w:r w:rsidRPr="004B698D">
        <w:t xml:space="preserve">NCETR provides basic and advanced explosives training and research that leverages lessons learned and best practices to </w:t>
      </w:r>
      <w:r>
        <w:t xml:space="preserve">safeguard the public and </w:t>
      </w:r>
      <w:r w:rsidRPr="004B698D">
        <w:t>reduce deaths and injuries</w:t>
      </w:r>
      <w:r>
        <w:t xml:space="preserve"> from explosives crimes and accidents</w:t>
      </w:r>
      <w:r w:rsidRPr="004B698D">
        <w:t xml:space="preserve"> and align</w:t>
      </w:r>
      <w:r>
        <w:t>s</w:t>
      </w:r>
      <w:r w:rsidRPr="004B698D">
        <w:t xml:space="preserve"> </w:t>
      </w:r>
      <w:r w:rsidR="00C465A9">
        <w:t>this support with the</w:t>
      </w:r>
      <w:r w:rsidRPr="004B698D">
        <w:t xml:space="preserve"> counter-IED effort.</w:t>
      </w:r>
      <w:r w:rsidRPr="004B16F3">
        <w:t xml:space="preserve"> </w:t>
      </w:r>
      <w:r>
        <w:t>A</w:t>
      </w:r>
      <w:r w:rsidRPr="003A7199">
        <w:t>TF</w:t>
      </w:r>
      <w:r>
        <w:t xml:space="preserve"> equips its explosive personnel at </w:t>
      </w:r>
      <w:r>
        <w:lastRenderedPageBreak/>
        <w:t xml:space="preserve">the NCETR with the tools to respond to criminal activity </w:t>
      </w:r>
      <w:r w:rsidRPr="003A7199">
        <w:t>with layers of specialized personnel</w:t>
      </w:r>
      <w:r>
        <w:t xml:space="preserve"> training</w:t>
      </w:r>
      <w:r w:rsidRPr="003A7199">
        <w:t xml:space="preserve">, techniques, technology, and forensic support. </w:t>
      </w:r>
      <w:r>
        <w:t xml:space="preserve"> </w:t>
      </w:r>
    </w:p>
    <w:p w:rsidR="008A5A8A" w:rsidRDefault="0058452E">
      <w:pPr>
        <w:ind w:left="720"/>
        <w:rPr>
          <w:b/>
          <w:i/>
          <w:sz w:val="28"/>
          <w:szCs w:val="28"/>
        </w:rPr>
      </w:pPr>
      <w:r w:rsidRPr="005B40BE">
        <w:rPr>
          <w:b/>
          <w:i/>
          <w:sz w:val="28"/>
          <w:szCs w:val="28"/>
        </w:rPr>
        <w:t>NCETR Core Capabilities</w:t>
      </w:r>
    </w:p>
    <w:p w:rsidR="008A5A8A" w:rsidRDefault="008A5A8A">
      <w:pPr>
        <w:ind w:left="720"/>
        <w:rPr>
          <w:color w:val="FF0000"/>
        </w:rPr>
      </w:pPr>
    </w:p>
    <w:p w:rsidR="00504A36" w:rsidRDefault="0058452E">
      <w:pPr>
        <w:pStyle w:val="ListParagraph"/>
        <w:numPr>
          <w:ilvl w:val="0"/>
          <w:numId w:val="19"/>
        </w:numPr>
        <w:ind w:left="1440"/>
      </w:pPr>
      <w:r w:rsidRPr="00E23D0F">
        <w:t>Basic and Advanced Explosives and IED Training</w:t>
      </w:r>
      <w:r w:rsidR="009407BB">
        <w:t>;</w:t>
      </w:r>
    </w:p>
    <w:p w:rsidR="00504A36" w:rsidRDefault="0058452E">
      <w:pPr>
        <w:pStyle w:val="ListParagraph"/>
        <w:numPr>
          <w:ilvl w:val="0"/>
          <w:numId w:val="19"/>
        </w:numPr>
        <w:ind w:left="1440"/>
      </w:pPr>
      <w:r w:rsidRPr="00E23D0F">
        <w:t>Explosives Scene Processing</w:t>
      </w:r>
      <w:r>
        <w:t xml:space="preserve"> Training</w:t>
      </w:r>
      <w:r w:rsidR="009407BB">
        <w:t>;</w:t>
      </w:r>
    </w:p>
    <w:p w:rsidR="00504A36" w:rsidRDefault="0058452E">
      <w:pPr>
        <w:pStyle w:val="ListParagraph"/>
        <w:numPr>
          <w:ilvl w:val="0"/>
          <w:numId w:val="19"/>
        </w:numPr>
        <w:ind w:left="1440"/>
      </w:pPr>
      <w:r w:rsidRPr="00E23D0F">
        <w:t>Advanced Explosives Disposal Techniques</w:t>
      </w:r>
      <w:r>
        <w:t xml:space="preserve"> Training</w:t>
      </w:r>
      <w:r w:rsidR="009407BB">
        <w:t>;</w:t>
      </w:r>
    </w:p>
    <w:p w:rsidR="00504A36" w:rsidRDefault="0058452E">
      <w:pPr>
        <w:pStyle w:val="ListParagraph"/>
        <w:numPr>
          <w:ilvl w:val="0"/>
          <w:numId w:val="19"/>
        </w:numPr>
        <w:ind w:left="1440"/>
      </w:pPr>
      <w:r w:rsidRPr="00E23D0F">
        <w:t>Identification, Process</w:t>
      </w:r>
      <w:r>
        <w:t>ing</w:t>
      </w:r>
      <w:r w:rsidRPr="00E23D0F">
        <w:t xml:space="preserve"> and Disposal of Homemade Explosives</w:t>
      </w:r>
      <w:r w:rsidR="00DC5961">
        <w:t xml:space="preserve"> (HME)</w:t>
      </w:r>
      <w:r>
        <w:t xml:space="preserve"> Training</w:t>
      </w:r>
      <w:r w:rsidR="009407BB">
        <w:t>;</w:t>
      </w:r>
    </w:p>
    <w:p w:rsidR="00504A36" w:rsidRDefault="0058452E">
      <w:pPr>
        <w:pStyle w:val="ListParagraph"/>
        <w:numPr>
          <w:ilvl w:val="0"/>
          <w:numId w:val="19"/>
        </w:numPr>
        <w:ind w:left="1440"/>
      </w:pPr>
      <w:r>
        <w:t xml:space="preserve">Processing of Complex </w:t>
      </w:r>
      <w:r w:rsidR="00DC5961">
        <w:t>HMEs</w:t>
      </w:r>
      <w:r w:rsidR="009407BB">
        <w:t>;</w:t>
      </w:r>
    </w:p>
    <w:p w:rsidR="00504A36" w:rsidRDefault="0058452E">
      <w:pPr>
        <w:pStyle w:val="ListParagraph"/>
        <w:numPr>
          <w:ilvl w:val="0"/>
          <w:numId w:val="19"/>
        </w:numPr>
        <w:ind w:left="1440"/>
      </w:pPr>
      <w:r w:rsidRPr="00E23D0F">
        <w:t>Post Blast Scenes</w:t>
      </w:r>
      <w:r>
        <w:t xml:space="preserve"> Training</w:t>
      </w:r>
      <w:r w:rsidR="009407BB">
        <w:t>;</w:t>
      </w:r>
    </w:p>
    <w:p w:rsidR="00504A36" w:rsidRDefault="0058452E">
      <w:pPr>
        <w:pStyle w:val="ListParagraph"/>
        <w:numPr>
          <w:ilvl w:val="0"/>
          <w:numId w:val="19"/>
        </w:numPr>
        <w:ind w:left="1440"/>
      </w:pPr>
      <w:r>
        <w:t xml:space="preserve">Conducting </w:t>
      </w:r>
      <w:r w:rsidRPr="00E23D0F">
        <w:t>Explosives</w:t>
      </w:r>
      <w:r>
        <w:t xml:space="preserve"> and </w:t>
      </w:r>
      <w:r w:rsidRPr="00E23D0F">
        <w:t>IED Research</w:t>
      </w:r>
      <w:r w:rsidR="009407BB">
        <w:t>;</w:t>
      </w:r>
    </w:p>
    <w:p w:rsidR="00504A36" w:rsidRDefault="0058452E">
      <w:pPr>
        <w:pStyle w:val="ListParagraph"/>
        <w:numPr>
          <w:ilvl w:val="0"/>
          <w:numId w:val="19"/>
        </w:numPr>
        <w:ind w:left="1440"/>
      </w:pPr>
      <w:r w:rsidRPr="00E23D0F">
        <w:t>Explosives Detection Canine Imprinting</w:t>
      </w:r>
      <w:r>
        <w:t xml:space="preserve"> and Training</w:t>
      </w:r>
      <w:r w:rsidR="009407BB">
        <w:t>;</w:t>
      </w:r>
    </w:p>
    <w:p w:rsidR="00504A36" w:rsidRDefault="0058452E">
      <w:pPr>
        <w:pStyle w:val="ListParagraph"/>
        <w:numPr>
          <w:ilvl w:val="0"/>
          <w:numId w:val="19"/>
        </w:numPr>
        <w:ind w:left="1440"/>
      </w:pPr>
      <w:r w:rsidRPr="00E23D0F">
        <w:t>Explosives Detection Canine Operation</w:t>
      </w:r>
      <w:r>
        <w:t>al Support</w:t>
      </w:r>
      <w:r w:rsidR="009407BB">
        <w:t>;</w:t>
      </w:r>
    </w:p>
    <w:p w:rsidR="00504A36" w:rsidRDefault="0058452E">
      <w:pPr>
        <w:pStyle w:val="ListParagraph"/>
        <w:numPr>
          <w:ilvl w:val="0"/>
          <w:numId w:val="19"/>
        </w:numPr>
        <w:ind w:left="1440"/>
      </w:pPr>
      <w:r>
        <w:t xml:space="preserve">IED Render-Safe Operational Support to ATF through our </w:t>
      </w:r>
      <w:r w:rsidR="00DC5961">
        <w:t>EEOs</w:t>
      </w:r>
      <w:r w:rsidR="009407BB">
        <w:t>;</w:t>
      </w:r>
    </w:p>
    <w:p w:rsidR="00504A36" w:rsidRDefault="0058452E">
      <w:pPr>
        <w:pStyle w:val="ListParagraph"/>
        <w:numPr>
          <w:ilvl w:val="0"/>
          <w:numId w:val="19"/>
        </w:numPr>
        <w:ind w:left="1440"/>
      </w:pPr>
      <w:r>
        <w:t xml:space="preserve">Explosives-Related </w:t>
      </w:r>
      <w:r w:rsidRPr="00E23D0F">
        <w:t>Subject Matter Expert</w:t>
      </w:r>
      <w:r>
        <w:t xml:space="preserve"> </w:t>
      </w:r>
      <w:r w:rsidRPr="00E23D0F">
        <w:t>Support</w:t>
      </w:r>
      <w:r w:rsidR="009407BB">
        <w:t>; an</w:t>
      </w:r>
      <w:r w:rsidR="00072366">
        <w:t>d</w:t>
      </w:r>
    </w:p>
    <w:p w:rsidR="00504A36" w:rsidRDefault="0058452E">
      <w:pPr>
        <w:pStyle w:val="ListParagraph"/>
        <w:numPr>
          <w:ilvl w:val="0"/>
          <w:numId w:val="19"/>
        </w:numPr>
        <w:ind w:left="1440"/>
      </w:pPr>
      <w:r w:rsidRPr="00E23D0F">
        <w:t xml:space="preserve">Explosives </w:t>
      </w:r>
      <w:r>
        <w:t xml:space="preserve">Training </w:t>
      </w:r>
      <w:r w:rsidRPr="00E23D0F">
        <w:t>Facilities and Ranges</w:t>
      </w:r>
      <w:r w:rsidR="009407BB">
        <w:t>.</w:t>
      </w:r>
    </w:p>
    <w:p w:rsidR="008A5A8A" w:rsidRDefault="008A5A8A">
      <w:pPr>
        <w:ind w:left="720"/>
        <w:rPr>
          <w:rFonts w:eastAsia="Batang"/>
          <w:bCs/>
          <w:color w:val="000000"/>
        </w:rPr>
      </w:pPr>
    </w:p>
    <w:p w:rsidR="008A5A8A" w:rsidRDefault="0058452E">
      <w:pPr>
        <w:ind w:left="720"/>
      </w:pPr>
      <w:r>
        <w:t>NCETR</w:t>
      </w:r>
      <w:r w:rsidRPr="004B698D">
        <w:t xml:space="preserve"> currently provides and will continue to provide all basic and advanced explosives and IED training for ATF personnel.</w:t>
      </w:r>
      <w:r>
        <w:t xml:space="preserve">  Additionally, </w:t>
      </w:r>
      <w:r w:rsidRPr="004B698D">
        <w:t>ATF currently provides</w:t>
      </w:r>
      <w:r>
        <w:t xml:space="preserve"> training in</w:t>
      </w:r>
      <w:r w:rsidR="00675FB4">
        <w:t xml:space="preserve"> identification, processing and d</w:t>
      </w:r>
      <w:r w:rsidRPr="004B698D">
        <w:t>isposal of Homemade Explosives (HME) and Advanced Explosives Disposal Techniques for:</w:t>
      </w:r>
    </w:p>
    <w:p w:rsidR="008A5A8A" w:rsidRDefault="008A5A8A">
      <w:pPr>
        <w:ind w:left="720"/>
      </w:pPr>
    </w:p>
    <w:p w:rsidR="00504A36" w:rsidRDefault="006E726A">
      <w:pPr>
        <w:pStyle w:val="ListParagraph"/>
        <w:numPr>
          <w:ilvl w:val="0"/>
          <w:numId w:val="20"/>
        </w:numPr>
        <w:spacing w:line="276" w:lineRule="auto"/>
        <w:ind w:left="1440"/>
      </w:pPr>
      <w:r>
        <w:t>DOD</w:t>
      </w:r>
      <w:r w:rsidR="00675FB4">
        <w:t>;</w:t>
      </w:r>
    </w:p>
    <w:p w:rsidR="00504A36" w:rsidRDefault="0058452E">
      <w:pPr>
        <w:pStyle w:val="ListParagraph"/>
        <w:numPr>
          <w:ilvl w:val="0"/>
          <w:numId w:val="20"/>
        </w:numPr>
        <w:spacing w:line="276" w:lineRule="auto"/>
        <w:ind w:left="1440"/>
      </w:pPr>
      <w:r w:rsidRPr="004B698D">
        <w:t>S</w:t>
      </w:r>
      <w:r>
        <w:t>tate and local bomb technicians</w:t>
      </w:r>
      <w:r w:rsidR="00675FB4">
        <w:t>;</w:t>
      </w:r>
    </w:p>
    <w:p w:rsidR="00504A36" w:rsidRDefault="0058452E">
      <w:pPr>
        <w:pStyle w:val="ListParagraph"/>
        <w:numPr>
          <w:ilvl w:val="0"/>
          <w:numId w:val="20"/>
        </w:numPr>
        <w:spacing w:line="276" w:lineRule="auto"/>
        <w:ind w:left="1440"/>
      </w:pPr>
      <w:r w:rsidRPr="004B698D">
        <w:t xml:space="preserve">ATF </w:t>
      </w:r>
      <w:r w:rsidR="00DC5961">
        <w:t>CESs</w:t>
      </w:r>
      <w:r w:rsidR="00675FB4">
        <w:t>;</w:t>
      </w:r>
    </w:p>
    <w:p w:rsidR="00504A36" w:rsidRDefault="0058452E">
      <w:pPr>
        <w:pStyle w:val="ListParagraph"/>
        <w:numPr>
          <w:ilvl w:val="0"/>
          <w:numId w:val="20"/>
        </w:numPr>
        <w:spacing w:line="276" w:lineRule="auto"/>
        <w:ind w:left="1440"/>
      </w:pPr>
      <w:r>
        <w:t>Special agent bomb technicians</w:t>
      </w:r>
      <w:r w:rsidR="00675FB4">
        <w:t>;</w:t>
      </w:r>
    </w:p>
    <w:p w:rsidR="00504A36" w:rsidRDefault="0058452E">
      <w:pPr>
        <w:pStyle w:val="ListParagraph"/>
        <w:numPr>
          <w:ilvl w:val="0"/>
          <w:numId w:val="20"/>
        </w:numPr>
        <w:spacing w:line="276" w:lineRule="auto"/>
        <w:ind w:left="1440"/>
      </w:pPr>
      <w:r>
        <w:t>Forensic chemists</w:t>
      </w:r>
      <w:r w:rsidR="00675FB4">
        <w:t>;</w:t>
      </w:r>
    </w:p>
    <w:p w:rsidR="00504A36" w:rsidRDefault="00CD44F2">
      <w:pPr>
        <w:pStyle w:val="ListParagraph"/>
        <w:numPr>
          <w:ilvl w:val="0"/>
          <w:numId w:val="20"/>
        </w:numPr>
        <w:spacing w:line="276" w:lineRule="auto"/>
        <w:ind w:left="1440"/>
      </w:pPr>
      <w:r>
        <w:t>EEOs</w:t>
      </w:r>
      <w:r w:rsidR="00675FB4">
        <w:t>;</w:t>
      </w:r>
      <w:r w:rsidR="0058452E">
        <w:t xml:space="preserve"> and</w:t>
      </w:r>
    </w:p>
    <w:p w:rsidR="00504A36" w:rsidRDefault="00CD44F2">
      <w:pPr>
        <w:pStyle w:val="ListParagraph"/>
        <w:numPr>
          <w:ilvl w:val="0"/>
          <w:numId w:val="20"/>
        </w:numPr>
        <w:spacing w:line="276" w:lineRule="auto"/>
        <w:ind w:left="1440"/>
      </w:pPr>
      <w:r>
        <w:t>FBI</w:t>
      </w:r>
      <w:r w:rsidR="0058452E" w:rsidRPr="004B698D">
        <w:t xml:space="preserve"> </w:t>
      </w:r>
      <w:r>
        <w:t>bomb t</w:t>
      </w:r>
      <w:r w:rsidR="0058452E">
        <w:t>echnicians</w:t>
      </w:r>
      <w:r w:rsidR="00675FB4">
        <w:t>.</w:t>
      </w:r>
    </w:p>
    <w:p w:rsidR="008A5A8A" w:rsidRDefault="008A5A8A">
      <w:pPr>
        <w:ind w:left="720"/>
      </w:pPr>
    </w:p>
    <w:p w:rsidR="008A5A8A" w:rsidRDefault="0058452E">
      <w:pPr>
        <w:ind w:left="720"/>
      </w:pPr>
      <w:r>
        <w:t>B</w:t>
      </w:r>
      <w:r w:rsidRPr="004B698D">
        <w:t xml:space="preserve">eginning in </w:t>
      </w:r>
      <w:r w:rsidR="00C465A9">
        <w:t>FY</w:t>
      </w:r>
      <w:r w:rsidRPr="004B698D">
        <w:t xml:space="preserve"> 2013</w:t>
      </w:r>
      <w:r>
        <w:t xml:space="preserve">, </w:t>
      </w:r>
      <w:r w:rsidRPr="004B698D">
        <w:t xml:space="preserve">ATF </w:t>
      </w:r>
      <w:r w:rsidR="00A65D1F">
        <w:t>will be partnering</w:t>
      </w:r>
      <w:r w:rsidRPr="004B698D">
        <w:t xml:space="preserve"> with the </w:t>
      </w:r>
      <w:r w:rsidR="00CD44F2">
        <w:t>Department of Defense (</w:t>
      </w:r>
      <w:r w:rsidR="006E726A">
        <w:t>DOD</w:t>
      </w:r>
      <w:r w:rsidR="00CD44F2">
        <w:t>)</w:t>
      </w:r>
      <w:r w:rsidRPr="004B698D">
        <w:t xml:space="preserve"> to increase t</w:t>
      </w:r>
      <w:r w:rsidR="00CD44F2">
        <w:t>raining by 100 percent</w:t>
      </w:r>
      <w:r w:rsidRPr="004B698D">
        <w:t xml:space="preserve"> in future years</w:t>
      </w:r>
      <w:r>
        <w:t>.</w:t>
      </w:r>
      <w:r w:rsidRPr="004B698D">
        <w:t xml:space="preserve">  </w:t>
      </w:r>
    </w:p>
    <w:p w:rsidR="008A5A8A" w:rsidRDefault="008A5A8A">
      <w:pPr>
        <w:ind w:left="720"/>
      </w:pPr>
    </w:p>
    <w:p w:rsidR="008A5A8A" w:rsidRDefault="0058452E">
      <w:pPr>
        <w:ind w:left="720"/>
      </w:pPr>
      <w:r w:rsidRPr="004B698D">
        <w:t xml:space="preserve">ATF </w:t>
      </w:r>
      <w:r>
        <w:t xml:space="preserve">will </w:t>
      </w:r>
      <w:r w:rsidRPr="004B698D">
        <w:t xml:space="preserve">continue to provide Post Blast Investigation Techniques to ATF </w:t>
      </w:r>
      <w:r w:rsidR="00675FB4">
        <w:t>s</w:t>
      </w:r>
      <w:r w:rsidRPr="004B698D">
        <w:t xml:space="preserve">pecial </w:t>
      </w:r>
      <w:r w:rsidR="00675FB4">
        <w:t>a</w:t>
      </w:r>
      <w:r w:rsidRPr="004B698D">
        <w:t xml:space="preserve">gents, </w:t>
      </w:r>
      <w:r w:rsidR="00CD44F2">
        <w:t>CESs</w:t>
      </w:r>
      <w:r w:rsidRPr="004B698D">
        <w:t xml:space="preserve"> and special agent bomb technicians.  ATF has expanded this training to other </w:t>
      </w:r>
      <w:r w:rsidR="002E3EAB">
        <w:t>Federal</w:t>
      </w:r>
      <w:r>
        <w:t xml:space="preserve"> partners,</w:t>
      </w:r>
      <w:r w:rsidRPr="004B698D">
        <w:t xml:space="preserve"> including </w:t>
      </w:r>
      <w:r w:rsidR="00B83B8F">
        <w:t>DOS</w:t>
      </w:r>
      <w:r w:rsidRPr="004B698D">
        <w:t xml:space="preserve">, </w:t>
      </w:r>
      <w:r w:rsidR="006E726A">
        <w:t>DOD</w:t>
      </w:r>
      <w:r w:rsidRPr="004B698D">
        <w:t xml:space="preserve">, and </w:t>
      </w:r>
      <w:r>
        <w:t>to s</w:t>
      </w:r>
      <w:r w:rsidRPr="004B698D">
        <w:t xml:space="preserve">tate and local criminal investigators and bomb technicians on a reimbursable basis.  ATF </w:t>
      </w:r>
      <w:r>
        <w:t>will continue to provide this specialized</w:t>
      </w:r>
      <w:r w:rsidRPr="004B698D">
        <w:t xml:space="preserve"> training to personnel from Mexico and other foreign </w:t>
      </w:r>
      <w:r>
        <w:t>counterparts.</w:t>
      </w:r>
    </w:p>
    <w:p w:rsidR="0058452E" w:rsidRPr="007673FF" w:rsidRDefault="0058452E" w:rsidP="007673FF">
      <w:pPr>
        <w:pStyle w:val="BodyText"/>
        <w:spacing w:before="100" w:beforeAutospacing="1" w:after="100" w:afterAutospacing="1"/>
        <w:ind w:left="720"/>
        <w:rPr>
          <w:rFonts w:eastAsia="Calibri"/>
        </w:rPr>
      </w:pPr>
      <w:r>
        <w:t xml:space="preserve">NCETR also has </w:t>
      </w:r>
      <w:r w:rsidR="0062527B">
        <w:t>oversight</w:t>
      </w:r>
      <w:r>
        <w:t xml:space="preserve"> of </w:t>
      </w:r>
      <w:r w:rsidRPr="0032011B">
        <w:t>ATF</w:t>
      </w:r>
      <w:r>
        <w:t>’s National Canine Training &amp; Operations Center (NCTOC) located in Front Royal, Virginia. ATF’s</w:t>
      </w:r>
      <w:r w:rsidRPr="0032011B">
        <w:t xml:space="preserve"> Canine Program is the only canine program in the United States supported by a laborator</w:t>
      </w:r>
      <w:r w:rsidR="00CD44F2">
        <w:t xml:space="preserve">y and has the first, and only, </w:t>
      </w:r>
      <w:r w:rsidR="002E3EAB">
        <w:lastRenderedPageBreak/>
        <w:t>Federal</w:t>
      </w:r>
      <w:r w:rsidRPr="0032011B">
        <w:t>ly accredited explosive detection canine program.  T</w:t>
      </w:r>
      <w:r w:rsidRPr="0048503C">
        <w:rPr>
          <w:rFonts w:eastAsia="Calibri"/>
        </w:rPr>
        <w:t>he ATF National Forensic Laboratory supports the ATF Canine Program in the research and development of explosive and accelerant compounds and compositions for canine training, third party testing and certification on the mandated odors, instruction into the properties and chemical breakdown of accelerant and explosives and support in all forensic related issues.</w:t>
      </w:r>
      <w:r w:rsidR="005F08DA">
        <w:rPr>
          <w:rFonts w:eastAsia="Calibri"/>
        </w:rPr>
        <w:t xml:space="preserve"> </w:t>
      </w:r>
      <w:r w:rsidR="005F08DA" w:rsidRPr="0032011B">
        <w:rPr>
          <w:szCs w:val="24"/>
        </w:rPr>
        <w:t xml:space="preserve">In 2009, ATF began working with the </w:t>
      </w:r>
      <w:r w:rsidR="006E726A">
        <w:rPr>
          <w:szCs w:val="24"/>
        </w:rPr>
        <w:t>DOD</w:t>
      </w:r>
      <w:r w:rsidR="005F08DA" w:rsidRPr="0032011B">
        <w:rPr>
          <w:szCs w:val="24"/>
        </w:rPr>
        <w:t xml:space="preserve"> to provide </w:t>
      </w:r>
      <w:r w:rsidR="005F08DA">
        <w:rPr>
          <w:szCs w:val="24"/>
        </w:rPr>
        <w:t>HME</w:t>
      </w:r>
      <w:r w:rsidR="005F08DA" w:rsidRPr="0032011B">
        <w:rPr>
          <w:szCs w:val="24"/>
        </w:rPr>
        <w:t xml:space="preserve"> imprint training for Military Working Dogs (MWD) before deployment to Afghanistan, Iraq and other undisclosed locations.  To date, ATF has trained over </w:t>
      </w:r>
      <w:r w:rsidR="0059793B">
        <w:rPr>
          <w:szCs w:val="24"/>
        </w:rPr>
        <w:t xml:space="preserve">2,927 </w:t>
      </w:r>
      <w:r w:rsidR="005F08DA" w:rsidRPr="0032011B">
        <w:rPr>
          <w:szCs w:val="24"/>
        </w:rPr>
        <w:t>MWDs.</w:t>
      </w:r>
      <w:r w:rsidR="005F08DA" w:rsidRPr="0032011B">
        <w:t xml:space="preserve">  This effort is of critical importance to combating the IED threat in Afghanistan.  </w:t>
      </w:r>
    </w:p>
    <w:p w:rsidR="008A5A8A" w:rsidRDefault="0058452E">
      <w:pPr>
        <w:pStyle w:val="BodyText"/>
        <w:spacing w:before="100" w:beforeAutospacing="1" w:after="100" w:afterAutospacing="1"/>
        <w:ind w:left="720"/>
      </w:pPr>
      <w:r w:rsidRPr="0048503C">
        <w:rPr>
          <w:rFonts w:eastAsia="Calibri"/>
        </w:rPr>
        <w:t>The ATF Canine Program conducts evaluation and analysis of all new and emerging facets within the explosives detection canine arena. In turn</w:t>
      </w:r>
      <w:r w:rsidR="00817B59">
        <w:rPr>
          <w:rFonts w:eastAsia="Calibri"/>
        </w:rPr>
        <w:t>,</w:t>
      </w:r>
      <w:r w:rsidRPr="0048503C">
        <w:rPr>
          <w:rFonts w:eastAsia="Calibri"/>
        </w:rPr>
        <w:t xml:space="preserve"> the ATF Canine Program shares this vital information with other handlers and programs in the related fields in a concerted effort to provide the best tools possible for safety and security in the fight against violent crime and terrorism.  The ATF Canine Program</w:t>
      </w:r>
      <w:r w:rsidRPr="0032011B">
        <w:t xml:space="preserve"> </w:t>
      </w:r>
      <w:r>
        <w:t xml:space="preserve">works in concert with and </w:t>
      </w:r>
      <w:r w:rsidRPr="0032011B">
        <w:t>is</w:t>
      </w:r>
      <w:r w:rsidR="00C34B7D">
        <w:rPr>
          <w:rFonts w:eastAsia="Calibri"/>
        </w:rPr>
        <w:t xml:space="preserve"> </w:t>
      </w:r>
      <w:r w:rsidRPr="0048503C">
        <w:rPr>
          <w:rFonts w:eastAsia="Calibri"/>
        </w:rPr>
        <w:t>supported by, the ATF Explosives Technology Branch, the ATF NCETR</w:t>
      </w:r>
      <w:r w:rsidR="005F08DA">
        <w:rPr>
          <w:rFonts w:eastAsia="Calibri"/>
        </w:rPr>
        <w:t>,</w:t>
      </w:r>
      <w:r w:rsidRPr="0048503C">
        <w:rPr>
          <w:rFonts w:eastAsia="Calibri"/>
        </w:rPr>
        <w:t xml:space="preserve"> and the </w:t>
      </w:r>
      <w:r w:rsidR="00CD44F2">
        <w:rPr>
          <w:rFonts w:eastAsia="Calibri"/>
        </w:rPr>
        <w:t>USBDC</w:t>
      </w:r>
      <w:r w:rsidRPr="0048503C">
        <w:rPr>
          <w:rFonts w:eastAsia="Calibri"/>
        </w:rPr>
        <w:t xml:space="preserve">. </w:t>
      </w:r>
      <w:r w:rsidRPr="0032011B">
        <w:t xml:space="preserve">There are </w:t>
      </w:r>
      <w:r w:rsidR="0059793B">
        <w:t>26</w:t>
      </w:r>
      <w:r w:rsidRPr="0032011B">
        <w:t xml:space="preserve"> ATF-trained explosives detection canine teams and </w:t>
      </w:r>
      <w:r w:rsidR="0059793B">
        <w:t>58</w:t>
      </w:r>
      <w:r>
        <w:t xml:space="preserve"> </w:t>
      </w:r>
      <w:r w:rsidRPr="0032011B">
        <w:t xml:space="preserve">ATF-trained accelerant detection canine teams currently active in the U.S.  There are </w:t>
      </w:r>
      <w:r w:rsidR="0059793B">
        <w:t>127</w:t>
      </w:r>
      <w:r>
        <w:t xml:space="preserve"> </w:t>
      </w:r>
      <w:r w:rsidRPr="0032011B">
        <w:t xml:space="preserve">ATF-trained explosives detection canine teams deployed throughout the U.S. with other </w:t>
      </w:r>
      <w:r w:rsidR="002E3EAB">
        <w:t>Federal</w:t>
      </w:r>
      <w:r w:rsidRPr="0032011B">
        <w:t xml:space="preserve">, state and local agencies. </w:t>
      </w:r>
      <w:r>
        <w:t xml:space="preserve"> </w:t>
      </w:r>
      <w:r w:rsidRPr="0032011B">
        <w:t xml:space="preserve">ATF has trained </w:t>
      </w:r>
      <w:r w:rsidR="0059793B">
        <w:t>381</w:t>
      </w:r>
      <w:r>
        <w:t xml:space="preserve"> </w:t>
      </w:r>
      <w:r w:rsidRPr="0032011B">
        <w:t xml:space="preserve">international canine teams in 21 foreign countries in partnership with the </w:t>
      </w:r>
      <w:r w:rsidR="00CD44F2">
        <w:t>DOS</w:t>
      </w:r>
      <w:r w:rsidRPr="0032011B">
        <w:t xml:space="preserve">.  ATF remains at the forefront of combating violent crime through such innovative programs as training other </w:t>
      </w:r>
      <w:r w:rsidR="002E3EAB">
        <w:t>Federal</w:t>
      </w:r>
      <w:r w:rsidRPr="0032011B">
        <w:t>, state, local, and international law enforcement explosives detection canines in peroxide explosives and standardized national odor recognition testing.</w:t>
      </w:r>
    </w:p>
    <w:p w:rsidR="00504A36" w:rsidRDefault="00327AF3" w:rsidP="00EB75DD">
      <w:pPr>
        <w:pStyle w:val="xl19"/>
        <w:numPr>
          <w:ilvl w:val="0"/>
          <w:numId w:val="13"/>
        </w:numPr>
        <w:tabs>
          <w:tab w:val="center" w:pos="360"/>
          <w:tab w:val="left" w:leader="dot" w:pos="7920"/>
          <w:tab w:val="left" w:pos="8280"/>
          <w:tab w:val="right" w:pos="8640"/>
        </w:tabs>
        <w:spacing w:before="100" w:beforeAutospacing="1" w:after="100" w:afterAutospacing="1"/>
        <w:rPr>
          <w:b/>
          <w:bCs/>
          <w:i/>
          <w:sz w:val="28"/>
          <w:szCs w:val="28"/>
        </w:rPr>
      </w:pPr>
      <w:r w:rsidRPr="00674D2E">
        <w:rPr>
          <w:b/>
          <w:bCs/>
          <w:i/>
          <w:sz w:val="28"/>
          <w:szCs w:val="28"/>
        </w:rPr>
        <w:t>United States Bomb Data Center</w:t>
      </w:r>
      <w:r w:rsidR="00B463C4">
        <w:rPr>
          <w:b/>
          <w:bCs/>
          <w:i/>
          <w:sz w:val="28"/>
          <w:szCs w:val="28"/>
        </w:rPr>
        <w:t xml:space="preserve"> (USBDC)</w:t>
      </w:r>
    </w:p>
    <w:p w:rsidR="00C8715B" w:rsidRDefault="00C8715B" w:rsidP="00C8715B">
      <w:pPr>
        <w:pStyle w:val="Heading2"/>
        <w:keepNext w:val="0"/>
        <w:spacing w:before="100" w:beforeAutospacing="1" w:after="100" w:afterAutospacing="1"/>
        <w:ind w:left="720"/>
      </w:pPr>
      <w:r w:rsidRPr="001B1BB0">
        <w:rPr>
          <w:rFonts w:ascii="Times New Roman" w:hAnsi="Times New Roman" w:cs="Times New Roman"/>
          <w:b w:val="0"/>
          <w:i w:val="0"/>
          <w:sz w:val="24"/>
          <w:szCs w:val="24"/>
        </w:rPr>
        <w:t xml:space="preserve">ATF has been collecting, storing, and analyzing data on explosives and arson incidents since 1976.  ATF, </w:t>
      </w:r>
      <w:r w:rsidR="001B4455">
        <w:rPr>
          <w:rFonts w:ascii="Times New Roman" w:hAnsi="Times New Roman" w:cs="Times New Roman"/>
          <w:b w:val="0"/>
          <w:i w:val="0"/>
          <w:sz w:val="24"/>
          <w:szCs w:val="24"/>
        </w:rPr>
        <w:t>while at</w:t>
      </w:r>
      <w:r w:rsidRPr="001B1BB0">
        <w:rPr>
          <w:rFonts w:ascii="Times New Roman" w:hAnsi="Times New Roman" w:cs="Times New Roman"/>
          <w:b w:val="0"/>
          <w:i w:val="0"/>
          <w:sz w:val="24"/>
          <w:szCs w:val="24"/>
        </w:rPr>
        <w:t xml:space="preserve"> the U.S. Department of the Treasury, was mandated by Congress pursuant to Public Law 104-208, the 1997 Omnibus Consolidated Appropriations Act, to establish a national repository for incidents involving arson and the criminal misuse of explosives.  This authority, as contained in 18 U.S.C. § 846(b) and delegated to ATF by the Secretary of the Treasury, was moved with ATF to the authority of the Attorney General by the Homeland Security Act of 2002.</w:t>
      </w:r>
    </w:p>
    <w:p w:rsidR="00C8715B" w:rsidRDefault="00C8715B" w:rsidP="00C34B7D">
      <w:pPr>
        <w:pStyle w:val="BodyText"/>
        <w:ind w:left="720"/>
      </w:pPr>
      <w:r w:rsidRPr="00762F09">
        <w:t>The USBDC collect</w:t>
      </w:r>
      <w:r>
        <w:t>s</w:t>
      </w:r>
      <w:r w:rsidRPr="00762F09">
        <w:t>, analyze</w:t>
      </w:r>
      <w:r>
        <w:t>s</w:t>
      </w:r>
      <w:r w:rsidRPr="00762F09">
        <w:t>, and disseminate</w:t>
      </w:r>
      <w:r>
        <w:t>s</w:t>
      </w:r>
      <w:r w:rsidRPr="00762F09">
        <w:t xml:space="preserve"> timely information and relevant tactical and statistical intelligence within ATF</w:t>
      </w:r>
      <w:r>
        <w:t xml:space="preserve">, and </w:t>
      </w:r>
      <w:r w:rsidRPr="00762F09">
        <w:t xml:space="preserve">to external </w:t>
      </w:r>
      <w:r w:rsidR="002E3EAB">
        <w:t>Federal</w:t>
      </w:r>
      <w:r>
        <w:t>, state</w:t>
      </w:r>
      <w:r w:rsidRPr="00762F09">
        <w:t xml:space="preserve">, local, </w:t>
      </w:r>
      <w:r w:rsidR="00F53F86">
        <w:t>Tribal</w:t>
      </w:r>
      <w:r w:rsidRPr="00762F09">
        <w:t>, military</w:t>
      </w:r>
      <w:r>
        <w:t>,</w:t>
      </w:r>
      <w:r w:rsidRPr="00762F09">
        <w:t xml:space="preserve"> and international partners.  The USBDC provides statistical analyses of current trends and patterns to </w:t>
      </w:r>
      <w:r>
        <w:t>help</w:t>
      </w:r>
      <w:r w:rsidRPr="00762F09">
        <w:t xml:space="preserve"> prevent criminal misuse of explosives.</w:t>
      </w:r>
      <w:r>
        <w:t xml:space="preserve">  </w:t>
      </w:r>
      <w:r w:rsidRPr="001C0FEC">
        <w:t xml:space="preserve">The U.S. </w:t>
      </w:r>
      <w:r>
        <w:t>uses</w:t>
      </w:r>
      <w:r w:rsidRPr="001C0FEC">
        <w:t xml:space="preserve"> approximately </w:t>
      </w:r>
      <w:r w:rsidRPr="00D338D3">
        <w:t xml:space="preserve">six </w:t>
      </w:r>
      <w:r w:rsidRPr="001C0FEC">
        <w:t>billion pounds of explosive materials annually.</w:t>
      </w:r>
      <w:r>
        <w:t xml:space="preserve">  </w:t>
      </w:r>
      <w:r w:rsidRPr="001C0FEC">
        <w:t>Each year, eight billion pounds of ammonium nitrate are produced, of which half is used for explosives.</w:t>
      </w:r>
    </w:p>
    <w:p w:rsidR="00C8715B" w:rsidRPr="00762F09" w:rsidRDefault="00C8715B" w:rsidP="00C8715B">
      <w:pPr>
        <w:pStyle w:val="BodyText"/>
        <w:ind w:left="720"/>
      </w:pPr>
      <w:r>
        <w:t xml:space="preserve">The USBDC is the sole </w:t>
      </w:r>
      <w:r w:rsidR="00C21FD4">
        <w:t xml:space="preserve">national </w:t>
      </w:r>
      <w:r>
        <w:t xml:space="preserve">repository for </w:t>
      </w:r>
      <w:r w:rsidR="00C21FD4">
        <w:t>incident data in connection with suspicious fires/</w:t>
      </w:r>
      <w:r>
        <w:t>arson</w:t>
      </w:r>
      <w:r w:rsidR="00C21FD4">
        <w:t>s</w:t>
      </w:r>
      <w:r>
        <w:t xml:space="preserve"> and </w:t>
      </w:r>
      <w:r w:rsidR="00C21FD4">
        <w:t xml:space="preserve">the criminal use </w:t>
      </w:r>
      <w:r>
        <w:t>explosives incident</w:t>
      </w:r>
      <w:r w:rsidR="00C21FD4">
        <w:t>s</w:t>
      </w:r>
      <w:r>
        <w:t>, and</w:t>
      </w:r>
      <w:r w:rsidRPr="00762F09">
        <w:t xml:space="preserve"> contains information on more than </w:t>
      </w:r>
      <w:r w:rsidR="00C21FD4">
        <w:t xml:space="preserve">283,600 such </w:t>
      </w:r>
      <w:r w:rsidRPr="00762F09">
        <w:t xml:space="preserve">incidents investigated by ATF and other </w:t>
      </w:r>
      <w:r w:rsidR="002E3EAB">
        <w:t>Federal</w:t>
      </w:r>
      <w:r w:rsidRPr="00762F09">
        <w:t xml:space="preserve">, </w:t>
      </w:r>
      <w:r>
        <w:t>state</w:t>
      </w:r>
      <w:r w:rsidRPr="00762F09">
        <w:t xml:space="preserve">, and local law enforcement and fire investigation agencies.  The USBDC’s Bomb Arson Tracking System (BATS) is the explosives and arson investigator’s link to the </w:t>
      </w:r>
      <w:r w:rsidRPr="00762F09">
        <w:lastRenderedPageBreak/>
        <w:t>USBDC.  Investigators use BATS to perform trend</w:t>
      </w:r>
      <w:r w:rsidR="00ED55DA">
        <w:t xml:space="preserve"> analysis and compare incidents, </w:t>
      </w:r>
      <w:r w:rsidRPr="00762F09">
        <w:t>motives, de</w:t>
      </w:r>
      <w:r w:rsidR="00ED55DA">
        <w:t>vice components, suspects, and</w:t>
      </w:r>
      <w:r w:rsidRPr="00762F09">
        <w:t xml:space="preserve"> methodologies for possible investigative leads nationwide.  Images of arson scenes, </w:t>
      </w:r>
      <w:r w:rsidR="00CD44F2">
        <w:t>IEDs</w:t>
      </w:r>
      <w:r>
        <w:t>,</w:t>
      </w:r>
      <w:r w:rsidRPr="00762F09">
        <w:t xml:space="preserve"> and crime scenes can be shared through the BATS secure web connection.</w:t>
      </w:r>
    </w:p>
    <w:p w:rsidR="00C8715B" w:rsidRPr="00762F09" w:rsidRDefault="00C8715B" w:rsidP="00C8715B">
      <w:pPr>
        <w:pStyle w:val="BodyText"/>
        <w:spacing w:before="100" w:beforeAutospacing="1" w:after="100" w:afterAutospacing="1"/>
        <w:ind w:left="720"/>
      </w:pPr>
      <w:r w:rsidRPr="00762F09">
        <w:t>Investigators capture details of bomb and arson cases, including the area of origin or device plac</w:t>
      </w:r>
      <w:r w:rsidR="00ED55DA">
        <w:t>ement, casualties, financial loss</w:t>
      </w:r>
      <w:r w:rsidRPr="00762F09">
        <w:t>, fire descriptors, collateral crimes, device components</w:t>
      </w:r>
      <w:r>
        <w:t>,</w:t>
      </w:r>
      <w:r w:rsidRPr="00762F09">
        <w:t xml:space="preserve"> and descriptions of how the device was delivered.  BATS also </w:t>
      </w:r>
      <w:r>
        <w:t xml:space="preserve">functions </w:t>
      </w:r>
      <w:r w:rsidRPr="00762F09">
        <w:t xml:space="preserve">as a case management system, allowing </w:t>
      </w:r>
      <w:r>
        <w:t>investigators</w:t>
      </w:r>
      <w:r w:rsidRPr="00762F09">
        <w:t xml:space="preserve"> to build </w:t>
      </w:r>
      <w:r>
        <w:t>cases</w:t>
      </w:r>
      <w:r w:rsidRPr="00762F09">
        <w:t xml:space="preserve"> in</w:t>
      </w:r>
      <w:r>
        <w:t xml:space="preserve"> the</w:t>
      </w:r>
      <w:r w:rsidRPr="00762F09">
        <w:t xml:space="preserve"> BATS</w:t>
      </w:r>
      <w:r>
        <w:t xml:space="preserve"> application</w:t>
      </w:r>
      <w:r w:rsidRPr="00762F09">
        <w:t xml:space="preserve"> while maintaining critical operational security.</w:t>
      </w:r>
    </w:p>
    <w:p w:rsidR="00C8715B" w:rsidRDefault="00C8715B" w:rsidP="00C8715B">
      <w:pPr>
        <w:pStyle w:val="BodyText"/>
        <w:spacing w:before="100" w:beforeAutospacing="1" w:after="100" w:afterAutospacing="1"/>
        <w:ind w:left="720"/>
      </w:pPr>
      <w:r w:rsidRPr="00762F09">
        <w:t xml:space="preserve">The USBDC provides explosives </w:t>
      </w:r>
      <w:r w:rsidRPr="00496EAC">
        <w:t>tracing</w:t>
      </w:r>
      <w:r w:rsidRPr="00762F09">
        <w:t xml:space="preserve"> services to authorized law enforcement agencies in the </w:t>
      </w:r>
      <w:r>
        <w:t>U.S.</w:t>
      </w:r>
      <w:r w:rsidRPr="00762F09">
        <w:t xml:space="preserve"> and </w:t>
      </w:r>
      <w:r w:rsidR="00C33C65">
        <w:t>other</w:t>
      </w:r>
      <w:r w:rsidRPr="00762F09">
        <w:t xml:space="preserve"> countries.  Tracing is the systematic tracking of explosives from manufacturer to purchaser (or possessor) to aid law enforcement officials in identifying suspects involved in criminal violations, establishing stolen status, and proving ownership.  Explosives manufacturers, importers, wholesalers, and retail dealers in the </w:t>
      </w:r>
      <w:r>
        <w:t>U.S.</w:t>
      </w:r>
      <w:r w:rsidRPr="00762F09">
        <w:t xml:space="preserve"> and </w:t>
      </w:r>
      <w:r w:rsidR="00C33C65">
        <w:t>other</w:t>
      </w:r>
      <w:r w:rsidRPr="00762F09">
        <w:t xml:space="preserve"> countries cooperate by providing, on request, specific information from their records of manufacture, importation, or sale.  Because of its licensing authority, ATF is the only </w:t>
      </w:r>
      <w:r w:rsidR="002E3EAB">
        <w:t>Federal</w:t>
      </w:r>
      <w:r w:rsidRPr="00762F09">
        <w:t xml:space="preserve"> agency authorized access to these records.</w:t>
      </w:r>
    </w:p>
    <w:p w:rsidR="00C8715B" w:rsidRDefault="00C8715B" w:rsidP="00C8715B">
      <w:pPr>
        <w:pStyle w:val="BodyText"/>
        <w:spacing w:before="100" w:beforeAutospacing="1" w:after="100" w:afterAutospacing="1"/>
        <w:ind w:left="720"/>
      </w:pPr>
      <w:r>
        <w:t xml:space="preserve">ATF serves as </w:t>
      </w:r>
      <w:r w:rsidR="00C21FD4">
        <w:t>an elected</w:t>
      </w:r>
      <w:r>
        <w:t xml:space="preserve"> Secretary for the International Bomb Data Center Working Group (IBDCWG) and the co-representative for the Americas.   ATF also serves as the Administrator for the IBDCWG Portal (developed and maintained by the USBDC).  Significant ATF partners at the USBDC include the U.S. Secret Service, the U.S. Capitol Police and the </w:t>
      </w:r>
      <w:r w:rsidR="006E726A">
        <w:t>DOD</w:t>
      </w:r>
      <w:r>
        <w:t>.</w:t>
      </w:r>
    </w:p>
    <w:p w:rsidR="00504A36" w:rsidRDefault="00327AF3" w:rsidP="00EB75DD">
      <w:pPr>
        <w:pStyle w:val="xl19"/>
        <w:numPr>
          <w:ilvl w:val="0"/>
          <w:numId w:val="13"/>
        </w:numPr>
        <w:tabs>
          <w:tab w:val="center" w:pos="360"/>
          <w:tab w:val="left" w:leader="dot" w:pos="7920"/>
          <w:tab w:val="left" w:pos="8280"/>
          <w:tab w:val="right" w:pos="8640"/>
        </w:tabs>
        <w:spacing w:before="100" w:beforeAutospacing="1" w:after="100" w:afterAutospacing="1"/>
        <w:rPr>
          <w:b/>
          <w:bCs/>
          <w:i/>
          <w:sz w:val="28"/>
          <w:szCs w:val="28"/>
        </w:rPr>
      </w:pPr>
      <w:r w:rsidRPr="006530F4">
        <w:rPr>
          <w:b/>
          <w:bCs/>
          <w:i/>
          <w:sz w:val="28"/>
          <w:szCs w:val="28"/>
        </w:rPr>
        <w:t xml:space="preserve">Terrorist Explosives Device </w:t>
      </w:r>
      <w:r w:rsidR="00B463C4" w:rsidRPr="006530F4">
        <w:rPr>
          <w:b/>
          <w:bCs/>
          <w:i/>
          <w:sz w:val="28"/>
          <w:szCs w:val="28"/>
        </w:rPr>
        <w:t>A</w:t>
      </w:r>
      <w:r w:rsidRPr="006530F4">
        <w:rPr>
          <w:b/>
          <w:bCs/>
          <w:i/>
          <w:sz w:val="28"/>
          <w:szCs w:val="28"/>
        </w:rPr>
        <w:t>nalytical Center</w:t>
      </w:r>
      <w:r w:rsidR="00B463C4" w:rsidRPr="006530F4">
        <w:rPr>
          <w:b/>
          <w:bCs/>
          <w:i/>
          <w:sz w:val="28"/>
          <w:szCs w:val="28"/>
        </w:rPr>
        <w:t xml:space="preserve"> (TEDAC)</w:t>
      </w:r>
    </w:p>
    <w:p w:rsidR="006530F4" w:rsidRDefault="006530F4" w:rsidP="006530F4">
      <w:pPr>
        <w:pStyle w:val="BodyText"/>
        <w:spacing w:before="100" w:beforeAutospacing="1" w:after="100" w:afterAutospacing="1"/>
        <w:ind w:left="720"/>
      </w:pPr>
      <w:r w:rsidDel="005F08DA">
        <w:rPr>
          <w:rStyle w:val="Strong"/>
          <w:b w:val="0"/>
        </w:rPr>
        <w:t xml:space="preserve">Jointly, ATF and the FBI </w:t>
      </w:r>
      <w:r w:rsidRPr="00762F09" w:rsidDel="005F08DA">
        <w:t>coordinate and manage TEDAC</w:t>
      </w:r>
      <w:r w:rsidDel="005F08DA">
        <w:t>.</w:t>
      </w:r>
      <w:r>
        <w:t xml:space="preserve"> </w:t>
      </w:r>
      <w:r w:rsidR="007673FF">
        <w:t xml:space="preserve"> </w:t>
      </w:r>
      <w:r>
        <w:t>The mission of TEDAC is to directly contribute to the eradication of the IED threat. TEDAC informs its partners who</w:t>
      </w:r>
      <w:r w:rsidR="00356D5F">
        <w:t>,</w:t>
      </w:r>
      <w:r>
        <w:t xml:space="preserve"> in turn</w:t>
      </w:r>
      <w:r w:rsidR="00356D5F">
        <w:t>,</w:t>
      </w:r>
      <w:r>
        <w:t xml:space="preserve"> attempt to disrupt those individuals and networks responsible for the design, development, purchase, assembly, and deployment of IEDs.  This is accomplished through scientific and forensic exploitation of IEDs; dev</w:t>
      </w:r>
      <w:r w:rsidR="00C33C65">
        <w:t>eloping actionable intelligence;</w:t>
      </w:r>
      <w:r>
        <w:t xml:space="preserve"> forecasting IED threats; and maintaining a repository of IED material obtained from </w:t>
      </w:r>
      <w:r w:rsidR="00C33C65">
        <w:t xml:space="preserve">incidents </w:t>
      </w:r>
      <w:r>
        <w:t xml:space="preserve">around the world. </w:t>
      </w:r>
      <w:r w:rsidRPr="00762F09">
        <w:t xml:space="preserve">The TEDAC combines law enforcement, military, and intelligence assets to classify the operation, </w:t>
      </w:r>
      <w:r>
        <w:t>bomb components</w:t>
      </w:r>
      <w:r w:rsidRPr="00762F09">
        <w:t xml:space="preserve">, and deployment of IEDs.  These efforts help prevent IED </w:t>
      </w:r>
      <w:r>
        <w:t>attacks</w:t>
      </w:r>
      <w:r w:rsidRPr="00762F09">
        <w:t xml:space="preserve">, protect </w:t>
      </w:r>
      <w:r w:rsidR="00CD44F2">
        <w:t xml:space="preserve">U.S. </w:t>
      </w:r>
      <w:r w:rsidRPr="00762F09">
        <w:t xml:space="preserve">armed forces, and identify those who manufacture and </w:t>
      </w:r>
      <w:r w:rsidR="00C33C65">
        <w:t>deploy</w:t>
      </w:r>
      <w:r w:rsidRPr="00762F09">
        <w:t xml:space="preserve"> these devices</w:t>
      </w:r>
      <w:r w:rsidRPr="008C2518">
        <w:t xml:space="preserve">. </w:t>
      </w:r>
    </w:p>
    <w:p w:rsidR="002243EF" w:rsidRDefault="002243EF" w:rsidP="006530F4">
      <w:pPr>
        <w:ind w:left="720"/>
      </w:pPr>
      <w:r w:rsidRPr="006530F4">
        <w:t>TEDAC’s forensic exploitation at the intersection of law enforcement, intelligence, and the military, provides a key perspective from which to research the science and technology of</w:t>
      </w:r>
      <w:r w:rsidR="00C83DAD">
        <w:t xml:space="preserve"> IEDs</w:t>
      </w:r>
      <w:r w:rsidRPr="006530F4">
        <w:t xml:space="preserve">.  </w:t>
      </w:r>
      <w:r w:rsidR="00C33C65">
        <w:t xml:space="preserve">The </w:t>
      </w:r>
      <w:r w:rsidRPr="006530F4">
        <w:t xml:space="preserve">TEDAC research and testing program supports IED detection, countermeasures and post-blast analysis.  </w:t>
      </w:r>
      <w:r w:rsidR="00C33C65">
        <w:t xml:space="preserve">The </w:t>
      </w:r>
      <w:r w:rsidR="006530F4">
        <w:t>TEDAC continues to build depth and breadth within its device collection and develop technical, forensic, and intelligence methods to proactively anticipate new devices and techniques envisioned by our adversaries</w:t>
      </w:r>
      <w:r w:rsidR="00C33C65">
        <w:t xml:space="preserve"> and to better collaborate with </w:t>
      </w:r>
      <w:r w:rsidR="00EE452C">
        <w:t>its</w:t>
      </w:r>
      <w:r w:rsidR="00C33C65">
        <w:t xml:space="preserve"> partners</w:t>
      </w:r>
      <w:r w:rsidR="006530F4">
        <w:t>.</w:t>
      </w:r>
    </w:p>
    <w:p w:rsidR="00504A36" w:rsidRDefault="00F905DD" w:rsidP="00EB75DD">
      <w:pPr>
        <w:pStyle w:val="BodyText"/>
        <w:keepNext/>
        <w:numPr>
          <w:ilvl w:val="0"/>
          <w:numId w:val="13"/>
        </w:numPr>
        <w:spacing w:before="100" w:beforeAutospacing="1" w:after="100" w:afterAutospacing="1"/>
        <w:rPr>
          <w:b/>
          <w:i/>
          <w:sz w:val="28"/>
          <w:szCs w:val="28"/>
        </w:rPr>
      </w:pPr>
      <w:r w:rsidRPr="00674D2E">
        <w:rPr>
          <w:b/>
          <w:i/>
          <w:sz w:val="28"/>
          <w:szCs w:val="28"/>
        </w:rPr>
        <w:lastRenderedPageBreak/>
        <w:t>ATF Laboratories</w:t>
      </w:r>
    </w:p>
    <w:p w:rsidR="002F130F" w:rsidRPr="002F130F" w:rsidRDefault="002F130F" w:rsidP="002F130F">
      <w:pPr>
        <w:pStyle w:val="ListParagraph"/>
        <w:rPr>
          <w:iCs/>
        </w:rPr>
      </w:pPr>
      <w:r w:rsidRPr="002F130F">
        <w:rPr>
          <w:iCs/>
        </w:rPr>
        <w:t xml:space="preserve">The ATF laboratory system is comprised of three regional forensic laboratories and a fire research laboratory that provide direct support to ATF </w:t>
      </w:r>
      <w:r w:rsidR="00D775E7">
        <w:rPr>
          <w:iCs/>
        </w:rPr>
        <w:t xml:space="preserve">special </w:t>
      </w:r>
      <w:r w:rsidRPr="002F130F">
        <w:rPr>
          <w:iCs/>
        </w:rPr>
        <w:t xml:space="preserve">agents and other </w:t>
      </w:r>
      <w:r w:rsidR="002E3EAB">
        <w:rPr>
          <w:iCs/>
        </w:rPr>
        <w:t>Federal</w:t>
      </w:r>
      <w:r w:rsidRPr="002F130F">
        <w:rPr>
          <w:iCs/>
        </w:rPr>
        <w:t xml:space="preserve"> and state law enforcement agencies in the investigation of violent crimes and other potential threats to public safety.  </w:t>
      </w:r>
      <w:r w:rsidR="00CD44F2">
        <w:t>ATF</w:t>
      </w:r>
      <w:r w:rsidRPr="00762F09">
        <w:t xml:space="preserve"> examiners </w:t>
      </w:r>
      <w:r>
        <w:t xml:space="preserve">play an integral role </w:t>
      </w:r>
      <w:r w:rsidRPr="00762F09">
        <w:t>support</w:t>
      </w:r>
      <w:r>
        <w:t xml:space="preserve">ing violent crime investigations, often times providing the critical link between the crime and the suspect.  Laboratory personnel are members of the </w:t>
      </w:r>
      <w:r w:rsidRPr="00762F09">
        <w:t>NRT</w:t>
      </w:r>
      <w:r w:rsidR="00C33C65">
        <w:t xml:space="preserve"> and</w:t>
      </w:r>
      <w:r w:rsidRPr="00762F09">
        <w:t xml:space="preserve"> </w:t>
      </w:r>
      <w:r>
        <w:t xml:space="preserve">provide support to all </w:t>
      </w:r>
      <w:r w:rsidR="00D775E7">
        <w:t xml:space="preserve">special </w:t>
      </w:r>
      <w:r>
        <w:t>agents in the field who are fighting and solving criminal cases</w:t>
      </w:r>
      <w:r w:rsidR="00C33C65">
        <w:t>.  They</w:t>
      </w:r>
      <w:r>
        <w:t xml:space="preserve"> provide the scientific backbone to the canine program, and </w:t>
      </w:r>
      <w:r w:rsidR="00CD44F2">
        <w:t>HME</w:t>
      </w:r>
      <w:r>
        <w:t xml:space="preserve"> training, the National Firearms and Toolmark Firearm Examiners Training Academy and other technical </w:t>
      </w:r>
      <w:r w:rsidRPr="00762F09">
        <w:t>training exercises in all mission related functions</w:t>
      </w:r>
      <w:r>
        <w:t>.</w:t>
      </w:r>
      <w:r w:rsidRPr="00762F09">
        <w:t xml:space="preserve"> </w:t>
      </w:r>
      <w:r>
        <w:t xml:space="preserve"> </w:t>
      </w:r>
      <w:r w:rsidR="00CD44F2">
        <w:t>All of the ATF l</w:t>
      </w:r>
      <w:r w:rsidRPr="00762F09">
        <w:t>aboratories are accredited by the American Society of Crime Laboratory Directors – Laboratory Accreditation Board (ASCLD-LAB)</w:t>
      </w:r>
      <w:r>
        <w:t xml:space="preserve"> - International,</w:t>
      </w:r>
      <w:r w:rsidRPr="00762F09">
        <w:t> </w:t>
      </w:r>
      <w:r>
        <w:t>an ISO 17025 standard.</w:t>
      </w:r>
    </w:p>
    <w:p w:rsidR="002F130F" w:rsidRPr="002F130F" w:rsidRDefault="002F130F" w:rsidP="002F130F">
      <w:pPr>
        <w:pStyle w:val="ListParagraph"/>
        <w:rPr>
          <w:iCs/>
        </w:rPr>
      </w:pPr>
    </w:p>
    <w:p w:rsidR="002F130F" w:rsidRDefault="002F130F" w:rsidP="00C33C65">
      <w:pPr>
        <w:pStyle w:val="ListParagraph"/>
      </w:pPr>
      <w:r w:rsidRPr="00C83DAD">
        <w:rPr>
          <w:iCs/>
        </w:rPr>
        <w:t>The Forensic Science Laboratories (FSL)</w:t>
      </w:r>
      <w:r w:rsidRPr="002F130F">
        <w:rPr>
          <w:iCs/>
        </w:rPr>
        <w:t xml:space="preserve"> supports these investigations through the</w:t>
      </w:r>
      <w:r w:rsidR="00C33C65">
        <w:rPr>
          <w:iCs/>
        </w:rPr>
        <w:t xml:space="preserve"> scientific analysis of</w:t>
      </w:r>
      <w:r w:rsidRPr="002F130F">
        <w:rPr>
          <w:iCs/>
        </w:rPr>
        <w:t xml:space="preserve"> evidence.</w:t>
      </w:r>
      <w:r w:rsidRPr="00030A9A">
        <w:t xml:space="preserve"> </w:t>
      </w:r>
      <w:r>
        <w:t xml:space="preserve"> The FSL’s </w:t>
      </w:r>
      <w:r w:rsidRPr="008769FB">
        <w:t xml:space="preserve">evaluate evidence obtained in criminal investigations involving tobacco, firearms, explosives and suspected arson. </w:t>
      </w:r>
      <w:r>
        <w:t xml:space="preserve">Without exception, complex criminal investigations are multi-faceted and require the combined technical expertise of explosives chemists, DNA analysts, document examiners, latent prints examiners, fire scientists and firearms and toolmark examiners, and trace evidence examiners.  </w:t>
      </w:r>
    </w:p>
    <w:p w:rsidR="00C33C65" w:rsidRDefault="00C33C65" w:rsidP="00C33C65">
      <w:pPr>
        <w:pStyle w:val="ListParagraph"/>
      </w:pPr>
    </w:p>
    <w:p w:rsidR="000B7D10" w:rsidRDefault="00C83DAD" w:rsidP="00EB75DD">
      <w:pPr>
        <w:ind w:left="720"/>
      </w:pPr>
      <w:r w:rsidRPr="00C83DAD">
        <w:t xml:space="preserve">The </w:t>
      </w:r>
      <w:r w:rsidR="00CD44F2">
        <w:t>FRL</w:t>
      </w:r>
      <w:r w:rsidR="002F130F" w:rsidRPr="00D81722">
        <w:t xml:space="preserve"> </w:t>
      </w:r>
      <w:r w:rsidR="002F130F">
        <w:t xml:space="preserve">houses </w:t>
      </w:r>
      <w:r>
        <w:t>fire protection engineers, mechanical engineers, e</w:t>
      </w:r>
      <w:r w:rsidR="002F130F">
        <w:t xml:space="preserve">lectrical </w:t>
      </w:r>
      <w:r>
        <w:t>engineers and t</w:t>
      </w:r>
      <w:r w:rsidR="002F130F">
        <w:t xml:space="preserve">echnicians, </w:t>
      </w:r>
      <w:r>
        <w:t xml:space="preserve">and </w:t>
      </w:r>
      <w:r w:rsidR="002F130F">
        <w:t>is the only laboratory of its kind in the world</w:t>
      </w:r>
      <w:r w:rsidR="00C33C65">
        <w:t xml:space="preserve">.  It </w:t>
      </w:r>
      <w:r w:rsidR="002F130F">
        <w:t>provide</w:t>
      </w:r>
      <w:r w:rsidR="00C33C65">
        <w:t>s</w:t>
      </w:r>
      <w:r w:rsidR="002F130F">
        <w:t xml:space="preserve"> the necessary facilities, equipment, and staff to work on important criminal fire investigation issues such as fire scene reconstructions, flashover studies, validation of fire pattern analysis indicators, impact of accelerants on fire growth and spread, ignition studies and electrical fire cause analysis.  The FRL can conduct controlled, scientifically instrumented burns ranging in size from a few inches to a fully equipped two story structure inside the laboratory.  Without the FRL, there would be no fire measurement facilities of its kind in the United States, or elsewhere, dedicated to the specific needs of the criminal fire investigation community.  The facility was built</w:t>
      </w:r>
      <w:r w:rsidR="00AB4587">
        <w:t xml:space="preserve">, </w:t>
      </w:r>
      <w:r w:rsidR="002F130F">
        <w:t>equipped</w:t>
      </w:r>
      <w:r w:rsidR="00AB4587">
        <w:t>,</w:t>
      </w:r>
      <w:r w:rsidR="002F130F">
        <w:t xml:space="preserve"> and is wholly owned by ATF</w:t>
      </w:r>
      <w:r w:rsidR="00CD44F2">
        <w:t xml:space="preserve">.  This laboratory is the only </w:t>
      </w:r>
      <w:r w:rsidR="002E3EAB">
        <w:t>Federal</w:t>
      </w:r>
      <w:r w:rsidR="002F130F">
        <w:t xml:space="preserve"> laboratory staffed and equipped to conduct the fire research needs cited in the congressionally funded National Academy of Science report “Strengthening Forensic Science in the United States.”</w:t>
      </w:r>
    </w:p>
    <w:p w:rsidR="00504A36" w:rsidRDefault="00327AF3" w:rsidP="00EB75DD">
      <w:pPr>
        <w:pStyle w:val="xl19"/>
        <w:numPr>
          <w:ilvl w:val="0"/>
          <w:numId w:val="13"/>
        </w:numPr>
        <w:tabs>
          <w:tab w:val="center" w:pos="360"/>
          <w:tab w:val="left" w:leader="dot" w:pos="7920"/>
          <w:tab w:val="left" w:pos="8280"/>
          <w:tab w:val="right" w:pos="8640"/>
        </w:tabs>
        <w:spacing w:before="100" w:beforeAutospacing="1" w:after="100" w:afterAutospacing="1"/>
        <w:rPr>
          <w:b/>
          <w:bCs/>
          <w:i/>
          <w:sz w:val="28"/>
          <w:szCs w:val="28"/>
        </w:rPr>
      </w:pPr>
      <w:r w:rsidRPr="000B7D10">
        <w:rPr>
          <w:b/>
          <w:bCs/>
          <w:i/>
          <w:sz w:val="28"/>
          <w:szCs w:val="28"/>
        </w:rPr>
        <w:t>Financial Investigations</w:t>
      </w:r>
    </w:p>
    <w:p w:rsidR="007478EB" w:rsidRDefault="007478EB" w:rsidP="007478EB">
      <w:pPr>
        <w:pStyle w:val="xl19"/>
        <w:tabs>
          <w:tab w:val="center" w:pos="360"/>
          <w:tab w:val="left" w:leader="dot" w:pos="7920"/>
          <w:tab w:val="left" w:pos="8280"/>
          <w:tab w:val="right" w:pos="8640"/>
        </w:tabs>
        <w:spacing w:before="100" w:beforeAutospacing="1" w:after="100" w:afterAutospacing="1"/>
        <w:ind w:left="720"/>
      </w:pPr>
      <w:r w:rsidRPr="00D36121">
        <w:t>ATF’s forensic auditors are professionals</w:t>
      </w:r>
      <w:r w:rsidR="00DC2BC6">
        <w:t xml:space="preserve">, </w:t>
      </w:r>
      <w:r w:rsidRPr="00D36121">
        <w:t xml:space="preserve">expert in the field of forensic accounting and financial investigations.  </w:t>
      </w:r>
      <w:r w:rsidR="00CD44F2">
        <w:t>They</w:t>
      </w:r>
      <w:r w:rsidRPr="00D36121">
        <w:t xml:space="preserve"> </w:t>
      </w:r>
      <w:r w:rsidR="00CD44F2">
        <w:t xml:space="preserve">conduct </w:t>
      </w:r>
      <w:r w:rsidRPr="00D36121">
        <w:t>comprehensive financial investigations for special agents in support of criminal investigations</w:t>
      </w:r>
      <w:r w:rsidR="000C65DC">
        <w:t>.  This includes, but is not limited to,</w:t>
      </w:r>
      <w:r w:rsidRPr="00D36121">
        <w:t xml:space="preserve"> arson-for-profit, alcohol and tobacco diversion, firearms and narcotics trafficking cases, the use of explosives and bombings in the furtherance of financial frauds, counter-terrorism, threats to public safety, as well as investigations into gang and other organized criminal </w:t>
      </w:r>
      <w:r w:rsidRPr="00D36121">
        <w:lastRenderedPageBreak/>
        <w:t xml:space="preserve">enterprises, and complex investigations involving both domestic and international money laundering.  </w:t>
      </w:r>
    </w:p>
    <w:p w:rsidR="007478EB" w:rsidRDefault="007478EB" w:rsidP="007478EB">
      <w:pPr>
        <w:pStyle w:val="NormalWeb"/>
        <w:ind w:left="720"/>
        <w:rPr>
          <w:rFonts w:ascii="Times New Roman" w:hAnsi="Times New Roman"/>
          <w:szCs w:val="24"/>
        </w:rPr>
      </w:pPr>
      <w:r w:rsidRPr="00D36121">
        <w:rPr>
          <w:rFonts w:ascii="Times New Roman" w:hAnsi="Times New Roman"/>
          <w:szCs w:val="24"/>
        </w:rPr>
        <w:t>ATF forensic auditors focus on the financial infras</w:t>
      </w:r>
      <w:r w:rsidR="00C465A9">
        <w:rPr>
          <w:rFonts w:ascii="Times New Roman" w:hAnsi="Times New Roman"/>
          <w:szCs w:val="24"/>
        </w:rPr>
        <w:t xml:space="preserve">tructure that supports </w:t>
      </w:r>
      <w:r w:rsidRPr="00D36121">
        <w:rPr>
          <w:rFonts w:ascii="Times New Roman" w:hAnsi="Times New Roman"/>
          <w:szCs w:val="24"/>
        </w:rPr>
        <w:t>criminal organizations and individuals with the goal of taking the profits of crimes through asset identification and forfeiture</w:t>
      </w:r>
      <w:r w:rsidR="003C6F26">
        <w:rPr>
          <w:rFonts w:ascii="Times New Roman" w:hAnsi="Times New Roman"/>
          <w:szCs w:val="24"/>
        </w:rPr>
        <w:t xml:space="preserve"> as well as</w:t>
      </w:r>
      <w:r w:rsidRPr="00D36121">
        <w:rPr>
          <w:rFonts w:ascii="Times New Roman" w:hAnsi="Times New Roman"/>
          <w:szCs w:val="24"/>
        </w:rPr>
        <w:t xml:space="preserve"> identifying and eliminating sources of terrorist financing.  </w:t>
      </w:r>
      <w:r w:rsidR="00C34B7D">
        <w:rPr>
          <w:rFonts w:ascii="Times New Roman" w:hAnsi="Times New Roman"/>
          <w:szCs w:val="24"/>
        </w:rPr>
        <w:t>A</w:t>
      </w:r>
      <w:r w:rsidRPr="00D36121">
        <w:rPr>
          <w:rFonts w:ascii="Times New Roman" w:hAnsi="Times New Roman"/>
          <w:szCs w:val="24"/>
        </w:rPr>
        <w:t>t the conclusion of the financial investigation forensic auditors can provide a written report</w:t>
      </w:r>
      <w:r w:rsidR="003C6F26">
        <w:rPr>
          <w:rFonts w:ascii="Times New Roman" w:hAnsi="Times New Roman"/>
          <w:szCs w:val="24"/>
        </w:rPr>
        <w:t xml:space="preserve"> and</w:t>
      </w:r>
      <w:r w:rsidRPr="00D36121">
        <w:rPr>
          <w:rFonts w:ascii="Times New Roman" w:hAnsi="Times New Roman"/>
          <w:szCs w:val="24"/>
        </w:rPr>
        <w:t xml:space="preserve"> expert testimony for the United States Assistant Attorneys</w:t>
      </w:r>
      <w:r w:rsidRPr="00D36121">
        <w:rPr>
          <w:rStyle w:val="CommentReference"/>
          <w:rFonts w:ascii="Times New Roman" w:hAnsi="Times New Roman"/>
          <w:sz w:val="24"/>
          <w:szCs w:val="24"/>
        </w:rPr>
        <w:t> </w:t>
      </w:r>
      <w:r w:rsidRPr="00D36121">
        <w:rPr>
          <w:rFonts w:ascii="Times New Roman" w:hAnsi="Times New Roman"/>
          <w:szCs w:val="24"/>
        </w:rPr>
        <w:t xml:space="preserve">and State prosecutors </w:t>
      </w:r>
      <w:r w:rsidR="003C6F26">
        <w:rPr>
          <w:rFonts w:ascii="Times New Roman" w:hAnsi="Times New Roman"/>
          <w:szCs w:val="24"/>
        </w:rPr>
        <w:t>for</w:t>
      </w:r>
      <w:r w:rsidR="00DC2BC6">
        <w:rPr>
          <w:rFonts w:ascii="Times New Roman" w:hAnsi="Times New Roman"/>
          <w:szCs w:val="24"/>
        </w:rPr>
        <w:t xml:space="preserve"> </w:t>
      </w:r>
      <w:r w:rsidRPr="00D36121">
        <w:rPr>
          <w:rFonts w:ascii="Times New Roman" w:hAnsi="Times New Roman"/>
          <w:szCs w:val="24"/>
        </w:rPr>
        <w:t>these cases.</w:t>
      </w:r>
    </w:p>
    <w:p w:rsidR="00504A36" w:rsidRDefault="00AE0B04" w:rsidP="00EB75DD">
      <w:pPr>
        <w:pStyle w:val="xl19"/>
        <w:numPr>
          <w:ilvl w:val="0"/>
          <w:numId w:val="13"/>
        </w:numPr>
        <w:tabs>
          <w:tab w:val="center" w:pos="360"/>
          <w:tab w:val="left" w:leader="dot" w:pos="7920"/>
          <w:tab w:val="left" w:pos="8280"/>
          <w:tab w:val="right" w:pos="8640"/>
        </w:tabs>
        <w:spacing w:before="100" w:beforeAutospacing="1" w:after="100" w:afterAutospacing="1"/>
        <w:rPr>
          <w:b/>
          <w:bCs/>
          <w:i/>
          <w:sz w:val="28"/>
          <w:szCs w:val="28"/>
        </w:rPr>
      </w:pPr>
      <w:r>
        <w:rPr>
          <w:b/>
          <w:bCs/>
          <w:i/>
          <w:sz w:val="28"/>
          <w:szCs w:val="28"/>
        </w:rPr>
        <w:t>Collaboration and Partnerships</w:t>
      </w:r>
    </w:p>
    <w:p w:rsidR="00456CF4" w:rsidRDefault="00F905DD" w:rsidP="00456CF4">
      <w:pPr>
        <w:pStyle w:val="BodyText"/>
        <w:ind w:left="720"/>
      </w:pPr>
      <w:r w:rsidRPr="00865B9E">
        <w:rPr>
          <w:szCs w:val="24"/>
        </w:rPr>
        <w:t xml:space="preserve">ATF </w:t>
      </w:r>
      <w:r w:rsidR="003D7F00">
        <w:rPr>
          <w:szCs w:val="24"/>
        </w:rPr>
        <w:t>is engaged in</w:t>
      </w:r>
      <w:r w:rsidR="003D7F00" w:rsidRPr="00865B9E">
        <w:rPr>
          <w:szCs w:val="24"/>
        </w:rPr>
        <w:t xml:space="preserve"> </w:t>
      </w:r>
      <w:r w:rsidR="003D7F00">
        <w:rPr>
          <w:szCs w:val="24"/>
        </w:rPr>
        <w:t>many cooperative agreements, collaborations and partnerships</w:t>
      </w:r>
      <w:r w:rsidR="002E7460">
        <w:rPr>
          <w:szCs w:val="24"/>
        </w:rPr>
        <w:t xml:space="preserve"> with other </w:t>
      </w:r>
      <w:r w:rsidR="002E3EAB">
        <w:rPr>
          <w:szCs w:val="24"/>
        </w:rPr>
        <w:t>Federal</w:t>
      </w:r>
      <w:r w:rsidR="00E93B0B">
        <w:rPr>
          <w:szCs w:val="24"/>
        </w:rPr>
        <w:t xml:space="preserve"> agencies</w:t>
      </w:r>
      <w:r w:rsidR="00915D59">
        <w:rPr>
          <w:szCs w:val="24"/>
        </w:rPr>
        <w:t>, private</w:t>
      </w:r>
      <w:r w:rsidR="00E93B0B">
        <w:rPr>
          <w:szCs w:val="24"/>
        </w:rPr>
        <w:t xml:space="preserve"> industry, and in the international arena.  For example, </w:t>
      </w:r>
      <w:r w:rsidR="00456CF4" w:rsidRPr="002D1D76">
        <w:t xml:space="preserve">ATF </w:t>
      </w:r>
      <w:r w:rsidR="00456CF4">
        <w:t xml:space="preserve">is </w:t>
      </w:r>
      <w:r w:rsidR="00456CF4" w:rsidRPr="002D1D76">
        <w:t>fully</w:t>
      </w:r>
      <w:r w:rsidR="00456CF4">
        <w:t xml:space="preserve"> engaged with and provides</w:t>
      </w:r>
      <w:r w:rsidR="00456CF4" w:rsidRPr="002D1D76">
        <w:t xml:space="preserve"> support </w:t>
      </w:r>
      <w:r w:rsidR="00456CF4">
        <w:t xml:space="preserve">to </w:t>
      </w:r>
      <w:r w:rsidR="00456CF4" w:rsidRPr="002D1D76">
        <w:rPr>
          <w:color w:val="000000"/>
        </w:rPr>
        <w:t>G</w:t>
      </w:r>
      <w:r w:rsidR="00456CF4" w:rsidRPr="002D1D76">
        <w:t xml:space="preserve">overnment anti-terrorism efforts, especially the FBI-led </w:t>
      </w:r>
      <w:r w:rsidR="002E7460">
        <w:t>Joint Terrorism Task Forces (</w:t>
      </w:r>
      <w:r w:rsidR="00456CF4" w:rsidRPr="002D1D76">
        <w:t>JTTFs</w:t>
      </w:r>
      <w:r w:rsidR="002E7460">
        <w:t>)</w:t>
      </w:r>
      <w:r w:rsidR="00456CF4" w:rsidRPr="002D1D76">
        <w:t xml:space="preserve">.  ATF participates in all 106 JTTFs, and assigns one ATF </w:t>
      </w:r>
      <w:r w:rsidR="00456CF4">
        <w:t>special agent</w:t>
      </w:r>
      <w:r w:rsidR="00456CF4" w:rsidRPr="002D1D76">
        <w:t xml:space="preserve"> to the National JTTF at the National Counter-Terrorism Center.  In working with the JTTF, ATF plays an important part in terrorism cases that involve firearms smuggling, bombs, illegal explosive possession, and tobacco diversion.</w:t>
      </w:r>
      <w:r w:rsidR="00E93B0B">
        <w:t xml:space="preserve"> </w:t>
      </w:r>
      <w:r w:rsidR="00E93B0B" w:rsidRPr="00762F09">
        <w:rPr>
          <w:szCs w:val="24"/>
        </w:rPr>
        <w:t xml:space="preserve">ATF </w:t>
      </w:r>
      <w:r w:rsidR="00E93B0B">
        <w:rPr>
          <w:szCs w:val="24"/>
        </w:rPr>
        <w:t xml:space="preserve">also </w:t>
      </w:r>
      <w:r w:rsidR="00E93B0B" w:rsidRPr="00762F09">
        <w:rPr>
          <w:szCs w:val="24"/>
        </w:rPr>
        <w:t xml:space="preserve">participates in </w:t>
      </w:r>
      <w:r w:rsidR="00E93B0B">
        <w:rPr>
          <w:szCs w:val="24"/>
        </w:rPr>
        <w:t xml:space="preserve">other </w:t>
      </w:r>
      <w:r w:rsidR="00E93B0B" w:rsidRPr="00762F09">
        <w:rPr>
          <w:szCs w:val="24"/>
        </w:rPr>
        <w:t>multi-agency efforts such as High Intensity Drug Trafficking Area (HIDTA), High Intensity Financial Crime Areas (HIFCA)</w:t>
      </w:r>
      <w:r w:rsidR="00E93B0B">
        <w:rPr>
          <w:szCs w:val="24"/>
        </w:rPr>
        <w:t>,</w:t>
      </w:r>
      <w:r w:rsidR="00E93B0B" w:rsidRPr="00762F09">
        <w:rPr>
          <w:szCs w:val="24"/>
        </w:rPr>
        <w:t xml:space="preserve"> </w:t>
      </w:r>
      <w:r w:rsidR="00E93B0B">
        <w:rPr>
          <w:szCs w:val="24"/>
        </w:rPr>
        <w:t xml:space="preserve">and </w:t>
      </w:r>
      <w:r w:rsidR="00E93B0B" w:rsidRPr="00762F09">
        <w:rPr>
          <w:szCs w:val="24"/>
        </w:rPr>
        <w:t>the Organized Crime Drug Enforcement Task Force (OCDETF)</w:t>
      </w:r>
      <w:r w:rsidR="00E93B0B">
        <w:rPr>
          <w:szCs w:val="24"/>
        </w:rPr>
        <w:t xml:space="preserve">.  Through these partnerships, ATF </w:t>
      </w:r>
      <w:r w:rsidR="00E93B0B" w:rsidRPr="00762F09">
        <w:rPr>
          <w:szCs w:val="24"/>
        </w:rPr>
        <w:t xml:space="preserve">plays a major role in the prevention and investigation of violent </w:t>
      </w:r>
      <w:r w:rsidR="00E93B0B">
        <w:rPr>
          <w:szCs w:val="24"/>
        </w:rPr>
        <w:t xml:space="preserve">firearms </w:t>
      </w:r>
      <w:r w:rsidR="00E93B0B" w:rsidRPr="00762F09">
        <w:rPr>
          <w:szCs w:val="24"/>
        </w:rPr>
        <w:t>crimes involving</w:t>
      </w:r>
      <w:r w:rsidR="00E93B0B">
        <w:rPr>
          <w:szCs w:val="24"/>
        </w:rPr>
        <w:t xml:space="preserve"> gangs and organized criminal enterprises, and provides</w:t>
      </w:r>
      <w:r w:rsidR="00E93B0B" w:rsidRPr="00762F09">
        <w:rPr>
          <w:szCs w:val="24"/>
        </w:rPr>
        <w:t xml:space="preserve"> direct investigative expertise to </w:t>
      </w:r>
      <w:r w:rsidR="00E93B0B">
        <w:rPr>
          <w:szCs w:val="24"/>
        </w:rPr>
        <w:t xml:space="preserve">criminal explosives, arson incidents and threats.  These collaborative efforts also allow ATF to be a key component in combating organized crime that threatens U.S. national and economic security.  </w:t>
      </w:r>
    </w:p>
    <w:p w:rsidR="00F905DD" w:rsidRDefault="00F905DD" w:rsidP="00F00B7C">
      <w:pPr>
        <w:pStyle w:val="BodyText"/>
        <w:spacing w:before="100" w:beforeAutospacing="1" w:after="100" w:afterAutospacing="1"/>
        <w:ind w:left="720"/>
        <w:rPr>
          <w:szCs w:val="24"/>
        </w:rPr>
      </w:pPr>
      <w:r>
        <w:rPr>
          <w:szCs w:val="24"/>
        </w:rPr>
        <w:t xml:space="preserve">Through partnership with the </w:t>
      </w:r>
      <w:r w:rsidR="004D1A32">
        <w:rPr>
          <w:szCs w:val="24"/>
        </w:rPr>
        <w:t xml:space="preserve">U.S. Fire Administration’s </w:t>
      </w:r>
      <w:r w:rsidR="002E7460">
        <w:rPr>
          <w:szCs w:val="24"/>
        </w:rPr>
        <w:t>N</w:t>
      </w:r>
      <w:r w:rsidR="004D1A32">
        <w:rPr>
          <w:szCs w:val="24"/>
        </w:rPr>
        <w:t xml:space="preserve">ational </w:t>
      </w:r>
      <w:r w:rsidR="002E7460">
        <w:rPr>
          <w:szCs w:val="24"/>
        </w:rPr>
        <w:t>F</w:t>
      </w:r>
      <w:r w:rsidR="004D1A32">
        <w:rPr>
          <w:szCs w:val="24"/>
        </w:rPr>
        <w:t xml:space="preserve">ire </w:t>
      </w:r>
      <w:r w:rsidR="002E7460">
        <w:rPr>
          <w:szCs w:val="24"/>
        </w:rPr>
        <w:t>A</w:t>
      </w:r>
      <w:r w:rsidR="004D1A32">
        <w:rPr>
          <w:szCs w:val="24"/>
        </w:rPr>
        <w:t>cademy (USFA-NFA)</w:t>
      </w:r>
      <w:r>
        <w:rPr>
          <w:szCs w:val="24"/>
        </w:rPr>
        <w:t xml:space="preserve">, ATF has developed a cutting-edge program that offers the best science-based technical fire investigation training available to state and local fire investigators.  Since its first pilot delivery in July 2007, ATF has delivered Fire/Arson Origin and Cause training to more than 1,000 state and local fire investigators.  </w:t>
      </w:r>
    </w:p>
    <w:p w:rsidR="004C63D3" w:rsidRDefault="004C63D3" w:rsidP="002243EF">
      <w:pPr>
        <w:ind w:left="720"/>
      </w:pPr>
      <w:r w:rsidRPr="002243EF">
        <w:rPr>
          <w:b/>
          <w:i/>
        </w:rPr>
        <w:t xml:space="preserve">ATF Interaction with the Firearms Industry.  </w:t>
      </w:r>
      <w:r w:rsidRPr="00114140">
        <w:t xml:space="preserve">ATF updates members of the regulated firearms </w:t>
      </w:r>
      <w:r w:rsidR="002E7460">
        <w:t>industry</w:t>
      </w:r>
      <w:r w:rsidRPr="00114140">
        <w:t xml:space="preserve"> o</w:t>
      </w:r>
      <w:r>
        <w:t>n</w:t>
      </w:r>
      <w:r w:rsidRPr="00114140">
        <w:t xml:space="preserve"> statutory, regulatory, and policy changes that affect their day-to-day operations</w:t>
      </w:r>
      <w:r>
        <w:t xml:space="preserve"> and </w:t>
      </w:r>
      <w:r w:rsidR="00FA2BEB">
        <w:t>periodically meets</w:t>
      </w:r>
      <w:r w:rsidRPr="00114140">
        <w:t xml:space="preserve"> with industry associations such as the National Firearms Act Trade and Collectors Association, Firearms and Ammunition Importers Roundtable, National Shooting Sports Foundation, National Pawnbrokers Association, the National Association of Arms Shows, </w:t>
      </w:r>
      <w:r w:rsidR="00FA2BEB">
        <w:t xml:space="preserve">Entertainment Armorers, </w:t>
      </w:r>
      <w:r w:rsidRPr="00114140">
        <w:t xml:space="preserve">and </w:t>
      </w:r>
      <w:r>
        <w:t>similar</w:t>
      </w:r>
      <w:r w:rsidRPr="00114140">
        <w:t xml:space="preserve"> industry groups</w:t>
      </w:r>
      <w:r w:rsidR="00FA2BEB">
        <w:t xml:space="preserve"> (corporate retailers and manufacturers)</w:t>
      </w:r>
      <w:r w:rsidRPr="00114140">
        <w:t xml:space="preserve">.  </w:t>
      </w:r>
    </w:p>
    <w:p w:rsidR="004C63D3" w:rsidRDefault="004C63D3" w:rsidP="004C63D3">
      <w:pPr>
        <w:pStyle w:val="ListParagraph"/>
      </w:pPr>
    </w:p>
    <w:p w:rsidR="004C63D3" w:rsidRDefault="004C63D3" w:rsidP="004C63D3">
      <w:pPr>
        <w:pStyle w:val="ListParagraph"/>
      </w:pPr>
      <w:r w:rsidRPr="00114140">
        <w:t xml:space="preserve">ATF </w:t>
      </w:r>
      <w:r w:rsidR="00FA2BEB">
        <w:t xml:space="preserve">regularly </w:t>
      </w:r>
      <w:r w:rsidRPr="00114140">
        <w:t>publishes pertinent articles in F</w:t>
      </w:r>
      <w:r w:rsidR="002E7460">
        <w:t>FL n</w:t>
      </w:r>
      <w:r w:rsidRPr="00114140">
        <w:t>ewsletter</w:t>
      </w:r>
      <w:r w:rsidR="00FA2BEB">
        <w:t xml:space="preserve">s and provides specific guidance through open letter postings.  ATF also </w:t>
      </w:r>
      <w:r w:rsidRPr="00114140">
        <w:t>conducts seminars for licensees at various locations</w:t>
      </w:r>
      <w:r w:rsidR="00FA2BEB" w:rsidRPr="00FA2BEB">
        <w:t xml:space="preserve"> </w:t>
      </w:r>
      <w:r w:rsidR="00FA2BEB">
        <w:t>and provides on-line educational seminars (FFL University)</w:t>
      </w:r>
      <w:r w:rsidR="00FA2BEB" w:rsidRPr="00114140">
        <w:t>.</w:t>
      </w:r>
      <w:r w:rsidR="00FA2BEB">
        <w:t xml:space="preserve">  Beginning in 2012, ATF began presenting on-line live webinars for members of the firearms </w:t>
      </w:r>
      <w:r w:rsidR="00FA2BEB">
        <w:lastRenderedPageBreak/>
        <w:t>industry.  The webinars provide real-time information on conducting firearms businesses in compliance with the law and are presented through the convenience of the FFL’s</w:t>
      </w:r>
      <w:r w:rsidR="000C65DC">
        <w:t xml:space="preserve"> personal </w:t>
      </w:r>
      <w:r w:rsidR="00FA2BEB">
        <w:t xml:space="preserve">computer.  </w:t>
      </w:r>
      <w:r>
        <w:t>In addition, ATF frequently participates in gun show events throughout the country to answer questions and provide handout material about firearms laws and regulations to the public.</w:t>
      </w:r>
      <w:r w:rsidRPr="00460F38">
        <w:t xml:space="preserve"> </w:t>
      </w:r>
    </w:p>
    <w:p w:rsidR="00A905B4" w:rsidRDefault="004C63D3">
      <w:pPr>
        <w:pStyle w:val="List2"/>
        <w:spacing w:before="100" w:beforeAutospacing="1" w:after="100" w:afterAutospacing="1"/>
        <w:ind w:firstLine="0"/>
        <w:rPr>
          <w:szCs w:val="24"/>
        </w:rPr>
      </w:pPr>
      <w:r w:rsidRPr="002243EF">
        <w:rPr>
          <w:b/>
          <w:i/>
        </w:rPr>
        <w:t xml:space="preserve">International Policy.  </w:t>
      </w:r>
      <w:r w:rsidRPr="00762F09">
        <w:t xml:space="preserve">At the request of the </w:t>
      </w:r>
      <w:r w:rsidR="002E7460">
        <w:t>DOS</w:t>
      </w:r>
      <w:r w:rsidRPr="00762F09">
        <w:t xml:space="preserve">, ATF </w:t>
      </w:r>
      <w:r>
        <w:t>serves as an advocate for</w:t>
      </w:r>
      <w:r w:rsidRPr="00762F09">
        <w:t xml:space="preserve"> the firearms policies of the U.S. in international </w:t>
      </w:r>
      <w:r>
        <w:t xml:space="preserve">forums </w:t>
      </w:r>
      <w:r w:rsidRPr="00762F09">
        <w:t xml:space="preserve">such as the United Nations and the Organization of American </w:t>
      </w:r>
      <w:r>
        <w:t>State</w:t>
      </w:r>
      <w:r w:rsidRPr="00762F09">
        <w:t>s.</w:t>
      </w:r>
      <w:r>
        <w:t xml:space="preserve">  </w:t>
      </w:r>
      <w:r w:rsidRPr="00762F09">
        <w:t xml:space="preserve">ATF ensures that the international firearms agreements in which the U.S. participates are consistent with U.S. laws, regulations, policies, and practices.  The United Nations Program of Action, the Organization of American </w:t>
      </w:r>
      <w:r>
        <w:t>State</w:t>
      </w:r>
      <w:r w:rsidRPr="00762F09">
        <w:t xml:space="preserve">s Convention on Firearms, and the International </w:t>
      </w:r>
      <w:r w:rsidRPr="00AB600F">
        <w:t>Tracing</w:t>
      </w:r>
      <w:r w:rsidRPr="00762F09">
        <w:t xml:space="preserve"> Instrument are just a few of the agreements </w:t>
      </w:r>
      <w:r>
        <w:t>through</w:t>
      </w:r>
      <w:r w:rsidRPr="00762F09">
        <w:t xml:space="preserve"> which ATF </w:t>
      </w:r>
      <w:r>
        <w:t>protects</w:t>
      </w:r>
      <w:r w:rsidRPr="00762F09">
        <w:t xml:space="preserve"> the policies of the U.S. in international settings.</w:t>
      </w:r>
    </w:p>
    <w:p w:rsidR="00AE0B04" w:rsidRDefault="00AE0B04" w:rsidP="00AE0B04">
      <w:pPr>
        <w:pStyle w:val="List2"/>
        <w:spacing w:before="100" w:beforeAutospacing="1" w:after="100" w:afterAutospacing="1"/>
        <w:ind w:right="-18" w:firstLine="0"/>
        <w:rPr>
          <w:szCs w:val="24"/>
        </w:rPr>
      </w:pPr>
      <w:r w:rsidRPr="00762F09">
        <w:rPr>
          <w:szCs w:val="24"/>
        </w:rPr>
        <w:t xml:space="preserve">ATF </w:t>
      </w:r>
      <w:r>
        <w:rPr>
          <w:szCs w:val="24"/>
        </w:rPr>
        <w:t>fulfills</w:t>
      </w:r>
      <w:r w:rsidRPr="00762F09">
        <w:rPr>
          <w:szCs w:val="24"/>
        </w:rPr>
        <w:t xml:space="preserve"> its responsibilities under the National Implementation Plan for the War on Terror </w:t>
      </w:r>
      <w:r>
        <w:rPr>
          <w:szCs w:val="24"/>
        </w:rPr>
        <w:t xml:space="preserve">by </w:t>
      </w:r>
      <w:r w:rsidRPr="00762F09">
        <w:rPr>
          <w:szCs w:val="24"/>
        </w:rPr>
        <w:t>support</w:t>
      </w:r>
      <w:r>
        <w:rPr>
          <w:szCs w:val="24"/>
        </w:rPr>
        <w:t>ing</w:t>
      </w:r>
      <w:r w:rsidRPr="00762F09">
        <w:rPr>
          <w:szCs w:val="24"/>
        </w:rPr>
        <w:t xml:space="preserve"> the implementation plan for Homeland Security Presidential Directive 19 (Combating Terrorist Use of Explosives in the </w:t>
      </w:r>
      <w:r>
        <w:rPr>
          <w:szCs w:val="24"/>
        </w:rPr>
        <w:t>U.S.</w:t>
      </w:r>
      <w:r w:rsidRPr="00762F09">
        <w:rPr>
          <w:szCs w:val="24"/>
        </w:rPr>
        <w:t>)</w:t>
      </w:r>
      <w:r w:rsidR="00915D59">
        <w:rPr>
          <w:szCs w:val="24"/>
        </w:rPr>
        <w:t>, through</w:t>
      </w:r>
      <w:r>
        <w:rPr>
          <w:szCs w:val="24"/>
        </w:rPr>
        <w:t xml:space="preserve"> ATF’s explosives canine programs, contributions on the TEDAC staff</w:t>
      </w:r>
      <w:r w:rsidRPr="00762F09">
        <w:rPr>
          <w:szCs w:val="24"/>
        </w:rPr>
        <w:t xml:space="preserve">, and by </w:t>
      </w:r>
      <w:r>
        <w:rPr>
          <w:szCs w:val="24"/>
        </w:rPr>
        <w:t xml:space="preserve">hosting technology </w:t>
      </w:r>
      <w:r w:rsidRPr="00762F09">
        <w:rPr>
          <w:szCs w:val="24"/>
        </w:rPr>
        <w:t>resources such as BATS</w:t>
      </w:r>
      <w:r>
        <w:rPr>
          <w:szCs w:val="24"/>
        </w:rPr>
        <w:t xml:space="preserve"> and</w:t>
      </w:r>
      <w:r w:rsidRPr="00762F09">
        <w:rPr>
          <w:szCs w:val="24"/>
        </w:rPr>
        <w:t xml:space="preserve"> Dfuze </w:t>
      </w:r>
      <w:r>
        <w:rPr>
          <w:szCs w:val="24"/>
        </w:rPr>
        <w:t xml:space="preserve">data bases for domestic and international explosive incidents.  </w:t>
      </w:r>
    </w:p>
    <w:p w:rsidR="00E93B0B" w:rsidRDefault="00E93B0B" w:rsidP="00E93B0B">
      <w:pPr>
        <w:spacing w:before="100" w:beforeAutospacing="1" w:after="100" w:afterAutospacing="1"/>
        <w:ind w:left="720"/>
      </w:pPr>
      <w:r w:rsidRPr="00762F09">
        <w:t>ATF communicates with the fire and explosives investigation community through arson and explosives advisory groups, the National Bomb Squad Commander Advisory Board (NBSCAB)</w:t>
      </w:r>
      <w:r w:rsidR="0035631E">
        <w:t>,</w:t>
      </w:r>
      <w:r w:rsidRPr="00762F09">
        <w:t xml:space="preserve"> and the International Bomb Data Center Working Group (IBDCWG</w:t>
      </w:r>
      <w:r>
        <w:t>)</w:t>
      </w:r>
      <w:r w:rsidRPr="00762F09">
        <w:t xml:space="preserve">.  Each week, the USBDC provides information on ATF’s arson and explosives investigative activity.  The advisory reports are distributed to other </w:t>
      </w:r>
      <w:r w:rsidR="002E3EAB">
        <w:t>Federal</w:t>
      </w:r>
      <w:r w:rsidRPr="00762F09">
        <w:t xml:space="preserve">, </w:t>
      </w:r>
      <w:r>
        <w:t>state</w:t>
      </w:r>
      <w:r w:rsidRPr="00762F09">
        <w:t>, and local law enforcement agencies.  The USBDC also publishes explosives theft advisory reports and periodic advisories highlighting specific or emerging threats to public safety or the bomb technician community.</w:t>
      </w:r>
      <w:r w:rsidRPr="0086342E">
        <w:t xml:space="preserve"> </w:t>
      </w:r>
    </w:p>
    <w:p w:rsidR="00E93B0B" w:rsidRDefault="00E93B0B" w:rsidP="009676A6">
      <w:pPr>
        <w:spacing w:before="100" w:beforeAutospacing="1" w:after="100" w:afterAutospacing="1"/>
        <w:ind w:left="720"/>
      </w:pPr>
      <w:r>
        <w:t xml:space="preserve">ATF laboratory experts have played an integral part in international training through active partnerships with the </w:t>
      </w:r>
      <w:r w:rsidR="000C65DC">
        <w:t>International Law Enforcement Academy (</w:t>
      </w:r>
      <w:r w:rsidRPr="000C65DC">
        <w:t>ILEA</w:t>
      </w:r>
      <w:r w:rsidR="000C65DC" w:rsidRPr="000C65DC">
        <w:t>)</w:t>
      </w:r>
      <w:r w:rsidRPr="000C65DC">
        <w:t xml:space="preserve">, </w:t>
      </w:r>
      <w:r w:rsidR="000C65DC" w:rsidRPr="000C65DC">
        <w:rPr>
          <w:bCs/>
        </w:rPr>
        <w:t>Central America Regional Security Initiative</w:t>
      </w:r>
      <w:r w:rsidR="000C65DC" w:rsidRPr="000C65DC">
        <w:t xml:space="preserve"> (</w:t>
      </w:r>
      <w:r w:rsidRPr="000C65DC">
        <w:t>CARSI</w:t>
      </w:r>
      <w:r w:rsidR="000C65DC" w:rsidRPr="000C65DC">
        <w:t>)</w:t>
      </w:r>
      <w:r w:rsidRPr="000C65DC">
        <w:t xml:space="preserve">, </w:t>
      </w:r>
      <w:r w:rsidR="000C65DC" w:rsidRPr="000C65DC">
        <w:t>International Criminal Investigative Training Assistance Program (</w:t>
      </w:r>
      <w:r w:rsidRPr="000C65DC">
        <w:t>ICITAP</w:t>
      </w:r>
      <w:r w:rsidR="000C65DC" w:rsidRPr="000C65DC">
        <w:t>)</w:t>
      </w:r>
      <w:r w:rsidRPr="000C65DC">
        <w:t xml:space="preserve">, and </w:t>
      </w:r>
      <w:r w:rsidR="00B83B8F">
        <w:t>DOS</w:t>
      </w:r>
      <w:r w:rsidRPr="000C65DC">
        <w:t>.  Due to their recognized leadership worldwide in the profession, ATF forensic examiners have</w:t>
      </w:r>
      <w:r>
        <w:t xml:space="preserve"> provided scientific and technical training to foreign law enforcement personnel in the Netherlands, Thailand, Canada, Morocco, and Botswana.  Laboratory personnel have assessed foreign laboratory capabilities and share their expertise in El Salvador, Costa Rica, and in Russia.  </w:t>
      </w:r>
    </w:p>
    <w:p w:rsidR="00F50F15" w:rsidRDefault="00E93B0B" w:rsidP="00807C5C">
      <w:pPr>
        <w:pStyle w:val="xl19"/>
        <w:tabs>
          <w:tab w:val="left" w:pos="1080"/>
        </w:tabs>
        <w:spacing w:before="100" w:beforeAutospacing="1" w:after="100" w:afterAutospacing="1"/>
        <w:ind w:left="720"/>
      </w:pPr>
      <w:r>
        <w:t>Finally, A</w:t>
      </w:r>
      <w:r w:rsidR="00AE0B04" w:rsidRPr="00D744D0">
        <w:t>TF participates in multi-agency efforts such as the Framework Convention on Tobacco Control, the Federation of Tax Administrators, and the Canada/U.S. working group to address illicit alcohol diversion and contraband cigarette trafficking activity.  ATF fosters effective working relationships with alcohol and tobacco industry members as well as law enforcement partnerships with the international law enforcement community.</w:t>
      </w:r>
      <w:bookmarkStart w:id="12" w:name="_Toc216167695"/>
      <w:bookmarkEnd w:id="12"/>
    </w:p>
    <w:p w:rsidR="00504A36" w:rsidRDefault="00F50F15" w:rsidP="00EB75DD">
      <w:pPr>
        <w:pStyle w:val="xl19"/>
        <w:numPr>
          <w:ilvl w:val="0"/>
          <w:numId w:val="13"/>
        </w:numPr>
        <w:tabs>
          <w:tab w:val="center" w:pos="360"/>
          <w:tab w:val="left" w:leader="dot" w:pos="7920"/>
          <w:tab w:val="left" w:pos="8280"/>
          <w:tab w:val="right" w:pos="8640"/>
        </w:tabs>
        <w:spacing w:before="100" w:beforeAutospacing="1" w:after="100" w:afterAutospacing="1"/>
        <w:rPr>
          <w:b/>
          <w:bCs/>
          <w:i/>
          <w:sz w:val="28"/>
          <w:szCs w:val="28"/>
        </w:rPr>
      </w:pPr>
      <w:r w:rsidRPr="00265432">
        <w:rPr>
          <w:b/>
          <w:bCs/>
          <w:i/>
          <w:sz w:val="28"/>
          <w:szCs w:val="28"/>
        </w:rPr>
        <w:lastRenderedPageBreak/>
        <w:t>Emergency Support Function (ESF) #13</w:t>
      </w:r>
    </w:p>
    <w:p w:rsidR="00F50F15" w:rsidRDefault="00F50F15" w:rsidP="00F50F15">
      <w:pPr>
        <w:pStyle w:val="xl24"/>
        <w:ind w:left="720"/>
      </w:pPr>
      <w:r>
        <w:t xml:space="preserve">Ensuring the safety and protection of the public is a critical service needed in the aftermath of any disaster.  </w:t>
      </w:r>
      <w:r w:rsidRPr="00206A84">
        <w:t>In October 2008, ATF was</w:t>
      </w:r>
      <w:r>
        <w:t xml:space="preserve"> officially identified to lead the DOJ efforts to manage ESF #13, one of the 15 emergency support functions established by the N</w:t>
      </w:r>
      <w:r w:rsidR="00C555BF">
        <w:t>ational Response Framework (N</w:t>
      </w:r>
      <w:r>
        <w:t>RF</w:t>
      </w:r>
      <w:r w:rsidR="00C555BF">
        <w:t>)</w:t>
      </w:r>
      <w:r>
        <w:t>.</w:t>
      </w:r>
    </w:p>
    <w:p w:rsidR="00F50F15" w:rsidRDefault="00F50F15" w:rsidP="00F50F15">
      <w:pPr>
        <w:ind w:left="720"/>
        <w:rPr>
          <w:rFonts w:eastAsia="Arial Unicode MS"/>
        </w:rPr>
      </w:pPr>
      <w:r>
        <w:t>Through ESF #13, Federal law enforcement assets will be directed to assist Federal, state, local</w:t>
      </w:r>
      <w:r w:rsidR="00BD50E0">
        <w:t>,</w:t>
      </w:r>
      <w:r>
        <w:t xml:space="preserve"> and Tribal authorities with public-safety and security-related missions ranging from any serious, but purely local incident, to large-scale terrorist attacks or catastrophic natural disasters.  Although any ESF #13 response will be a collaborative effort </w:t>
      </w:r>
      <w:r w:rsidRPr="00472EA7">
        <w:t>among partner law enforcement agencies, ATF is responsible fo</w:t>
      </w:r>
      <w:r>
        <w:t xml:space="preserve">r (1) </w:t>
      </w:r>
      <w:r w:rsidRPr="00472EA7">
        <w:t xml:space="preserve">establishing the </w:t>
      </w:r>
      <w:r w:rsidRPr="00472EA7">
        <w:rPr>
          <w:i/>
          <w:iCs/>
        </w:rPr>
        <w:t>all hazards</w:t>
      </w:r>
      <w:r w:rsidRPr="00472EA7">
        <w:t xml:space="preserve"> ESF #13 law enforcement planning for </w:t>
      </w:r>
      <w:r>
        <w:t xml:space="preserve">the </w:t>
      </w:r>
      <w:r w:rsidRPr="00472EA7">
        <w:t>5</w:t>
      </w:r>
      <w:r>
        <w:t>0</w:t>
      </w:r>
      <w:r w:rsidRPr="00472EA7">
        <w:t xml:space="preserve"> </w:t>
      </w:r>
      <w:r>
        <w:t>state</w:t>
      </w:r>
      <w:r w:rsidRPr="00472EA7">
        <w:t xml:space="preserve">s and </w:t>
      </w:r>
      <w:r>
        <w:t>four t</w:t>
      </w:r>
      <w:r w:rsidRPr="00472EA7">
        <w:t xml:space="preserve">erritories, </w:t>
      </w:r>
      <w:r>
        <w:t xml:space="preserve">and (2) </w:t>
      </w:r>
      <w:r w:rsidRPr="00472EA7">
        <w:t>managing and coordinating the day</w:t>
      </w:r>
      <w:r>
        <w:t>-</w:t>
      </w:r>
      <w:r w:rsidRPr="00472EA7">
        <w:t>to</w:t>
      </w:r>
      <w:r>
        <w:t>-</w:t>
      </w:r>
      <w:r w:rsidRPr="00472EA7">
        <w:t xml:space="preserve">day ESF #13 operations between all </w:t>
      </w:r>
      <w:r>
        <w:t>Federal</w:t>
      </w:r>
      <w:r w:rsidRPr="00472EA7">
        <w:t xml:space="preserve">, </w:t>
      </w:r>
      <w:r>
        <w:t>s</w:t>
      </w:r>
      <w:r w:rsidRPr="00472EA7">
        <w:t xml:space="preserve">tate, </w:t>
      </w:r>
      <w:r>
        <w:t>local, T</w:t>
      </w:r>
      <w:r w:rsidRPr="00472EA7">
        <w:t xml:space="preserve">ribal </w:t>
      </w:r>
      <w:r>
        <w:t xml:space="preserve">and territorial </w:t>
      </w:r>
      <w:r w:rsidRPr="00472EA7">
        <w:t>public safety entities.  In addition to day</w:t>
      </w:r>
      <w:r>
        <w:t>-</w:t>
      </w:r>
      <w:r w:rsidRPr="00472EA7">
        <w:t>to</w:t>
      </w:r>
      <w:r>
        <w:t>-</w:t>
      </w:r>
      <w:r w:rsidRPr="00472EA7">
        <w:t xml:space="preserve">day operations, ATF must immediately respond nationally, regionally and locally to any ESF #13 activation until other </w:t>
      </w:r>
      <w:r>
        <w:t>Federal</w:t>
      </w:r>
      <w:r w:rsidRPr="00472EA7">
        <w:t xml:space="preserve"> resources can mobilize and participate. </w:t>
      </w:r>
    </w:p>
    <w:p w:rsidR="00F50F15" w:rsidRDefault="00F50F15" w:rsidP="00F50F15">
      <w:pPr>
        <w:ind w:left="720"/>
        <w:rPr>
          <w:rFonts w:eastAsia="Arial Unicode MS"/>
        </w:rPr>
      </w:pPr>
    </w:p>
    <w:p w:rsidR="00F50F15" w:rsidRDefault="00F50F15" w:rsidP="00BD50E0">
      <w:pPr>
        <w:autoSpaceDE w:val="0"/>
        <w:autoSpaceDN w:val="0"/>
        <w:ind w:left="720"/>
      </w:pPr>
      <w:r w:rsidRPr="00472EA7">
        <w:t xml:space="preserve">ATF </w:t>
      </w:r>
      <w:r>
        <w:t xml:space="preserve">is </w:t>
      </w:r>
      <w:r w:rsidRPr="00472EA7">
        <w:t xml:space="preserve">an active participant in the </w:t>
      </w:r>
      <w:r>
        <w:t>revision</w:t>
      </w:r>
      <w:r w:rsidRPr="00472EA7">
        <w:t xml:space="preserve"> of t</w:t>
      </w:r>
      <w:r>
        <w:t>he NRF,</w:t>
      </w:r>
      <w:r w:rsidRPr="00577899">
        <w:t xml:space="preserve"> </w:t>
      </w:r>
      <w:r>
        <w:t>which</w:t>
      </w:r>
      <w:r w:rsidRPr="00472EA7">
        <w:t xml:space="preserve"> include</w:t>
      </w:r>
      <w:r>
        <w:t>s the ESF #13 Annex, as the Department of Justice lead for Presidential Policy Directive (PPD)</w:t>
      </w:r>
      <w:r w:rsidR="00522185">
        <w:t xml:space="preserve"> </w:t>
      </w:r>
      <w:r>
        <w:t>– 8 Response planning</w:t>
      </w:r>
      <w:r w:rsidR="00BD50E0">
        <w:t xml:space="preserve">.  </w:t>
      </w:r>
      <w:r>
        <w:t xml:space="preserve">To plan and execute the responsibilities under ESF #13, it is imperative to develop a full-time robust plan to adequately prepare a national capability to perform all the functions outlined in the NRF, including the current and future NSF #13 annex and Concept of Operations Plan (CONOPS). </w:t>
      </w:r>
      <w:r w:rsidRPr="00472EA7">
        <w:t xml:space="preserve"> </w:t>
      </w:r>
      <w:r>
        <w:t>Other r</w:t>
      </w:r>
      <w:r w:rsidRPr="00472EA7">
        <w:t>equirements include conducting nationwide planning activities, maintaining liaison</w:t>
      </w:r>
      <w:r>
        <w:t>s</w:t>
      </w:r>
      <w:r w:rsidRPr="00472EA7">
        <w:t xml:space="preserve"> with </w:t>
      </w:r>
      <w:r>
        <w:t>Federal</w:t>
      </w:r>
      <w:r w:rsidRPr="00472EA7">
        <w:t xml:space="preserve">, </w:t>
      </w:r>
      <w:r>
        <w:t>s</w:t>
      </w:r>
      <w:r w:rsidRPr="00472EA7">
        <w:t>tate, local</w:t>
      </w:r>
      <w:r>
        <w:t>, Tribal and territorial</w:t>
      </w:r>
      <w:r w:rsidRPr="00472EA7">
        <w:t xml:space="preserve"> law enforcement agencies, conducting national and regional ESF #13 inter-agency training</w:t>
      </w:r>
      <w:r>
        <w:t xml:space="preserve">.  ESF #13 has the additional requirements of </w:t>
      </w:r>
      <w:r w:rsidRPr="00472EA7">
        <w:t xml:space="preserve">ensuring a core staffing capability at </w:t>
      </w:r>
      <w:r>
        <w:t>Federal Emergency Management Agency (</w:t>
      </w:r>
      <w:r w:rsidRPr="00472EA7">
        <w:t>FEMA</w:t>
      </w:r>
      <w:r>
        <w:t>)</w:t>
      </w:r>
      <w:r w:rsidRPr="00472EA7">
        <w:t xml:space="preserve"> Joint Field Offices (JFO), the National Response Coordination Center (NRCC) and elsewhere</w:t>
      </w:r>
      <w:r>
        <w:t>.  It is also essential to build</w:t>
      </w:r>
      <w:r w:rsidRPr="00472EA7">
        <w:t xml:space="preserve"> relationships in t</w:t>
      </w:r>
      <w:r>
        <w:t>he various FEMA regions, attend</w:t>
      </w:r>
      <w:r w:rsidRPr="00472EA7">
        <w:t xml:space="preserve"> regional meetings of first responders, assess shortfalls in </w:t>
      </w:r>
      <w:r>
        <w:t>Federal, s</w:t>
      </w:r>
      <w:r w:rsidRPr="00472EA7">
        <w:t>tate</w:t>
      </w:r>
      <w:r>
        <w:t xml:space="preserve">, </w:t>
      </w:r>
      <w:r w:rsidRPr="00472EA7">
        <w:t>local</w:t>
      </w:r>
      <w:r>
        <w:t>, Tribal and territorial</w:t>
      </w:r>
      <w:r w:rsidRPr="00472EA7">
        <w:t xml:space="preserve"> capabilities and work</w:t>
      </w:r>
      <w:r>
        <w:t xml:space="preserve"> with Federal</w:t>
      </w:r>
      <w:r w:rsidRPr="00472EA7">
        <w:t xml:space="preserve"> partners to assess which </w:t>
      </w:r>
      <w:r>
        <w:t>Federal</w:t>
      </w:r>
      <w:r w:rsidRPr="00472EA7">
        <w:t xml:space="preserve"> resources would be best suited to </w:t>
      </w:r>
      <w:r>
        <w:t>ful</w:t>
      </w:r>
      <w:r w:rsidRPr="00472EA7">
        <w:t>fill those needs.</w:t>
      </w:r>
    </w:p>
    <w:p w:rsidR="00F50F15" w:rsidRDefault="00F50F15" w:rsidP="00F50F15">
      <w:pPr>
        <w:ind w:left="720"/>
      </w:pPr>
    </w:p>
    <w:p w:rsidR="00F50F15" w:rsidRDefault="00F50F15" w:rsidP="00F50F15">
      <w:pPr>
        <w:ind w:left="720"/>
      </w:pPr>
      <w:r>
        <w:t>To date, ATF</w:t>
      </w:r>
      <w:r w:rsidR="00EE452C">
        <w:t>, as the DOJ lead agency,</w:t>
      </w:r>
      <w:r w:rsidRPr="00472EA7">
        <w:t xml:space="preserve"> </w:t>
      </w:r>
      <w:r>
        <w:t>has assigned five supervisory special agents to serve as Regional ESF #13 Coordinators</w:t>
      </w:r>
      <w:r w:rsidR="00882D67">
        <w:t>, in five of the ten FEMA regions.  Special agents from DEA, FBI, and USMS will serve as Regional ESF #13 Coordinators in the other five regions</w:t>
      </w:r>
      <w:r>
        <w:t>.  As part of this tasking, ATF has started up the National Coordination Center in Washington</w:t>
      </w:r>
      <w:r w:rsidR="00BD50E0">
        <w:t>,</w:t>
      </w:r>
      <w:r>
        <w:t xml:space="preserve"> D</w:t>
      </w:r>
      <w:r w:rsidR="00BD50E0">
        <w:t>.</w:t>
      </w:r>
      <w:r>
        <w:t>C</w:t>
      </w:r>
      <w:r w:rsidR="00BD50E0">
        <w:t>.</w:t>
      </w:r>
      <w:r>
        <w:t xml:space="preserve"> where representatives from </w:t>
      </w:r>
      <w:r w:rsidR="00882D67">
        <w:t xml:space="preserve">two </w:t>
      </w:r>
      <w:r>
        <w:t>other DOJ components, as well as other agency law enforcement and emergency management officials will be housed</w:t>
      </w:r>
      <w:r w:rsidR="00882D67">
        <w:t>.  ATF has also</w:t>
      </w:r>
      <w:r>
        <w:t xml:space="preserve"> </w:t>
      </w:r>
      <w:r w:rsidR="00882D67">
        <w:t xml:space="preserve">engaged </w:t>
      </w:r>
      <w:r>
        <w:t xml:space="preserve">a contractor to assist with planning and operations of ESF #13.  ATF has seven full-time Headquarters personnel and one additional contractor to assist.  </w:t>
      </w:r>
    </w:p>
    <w:p w:rsidR="00F50F15" w:rsidRDefault="00F50F15" w:rsidP="00F50F15">
      <w:pPr>
        <w:ind w:left="720"/>
      </w:pPr>
    </w:p>
    <w:p w:rsidR="00F50F15" w:rsidRDefault="00F50F15" w:rsidP="00F50F15">
      <w:pPr>
        <w:ind w:left="720"/>
      </w:pPr>
      <w:r w:rsidRPr="00472EA7">
        <w:t>ATF has worked with representatives</w:t>
      </w:r>
      <w:r>
        <w:t xml:space="preserve"> </w:t>
      </w:r>
      <w:r w:rsidRPr="00472EA7">
        <w:t xml:space="preserve">from the </w:t>
      </w:r>
      <w:r>
        <w:t>FBI</w:t>
      </w:r>
      <w:r w:rsidR="00EE452C">
        <w:t>, and other DOJ partners,</w:t>
      </w:r>
      <w:r>
        <w:t xml:space="preserve"> in planning, executing and maintaining </w:t>
      </w:r>
      <w:r w:rsidR="002959F7">
        <w:t>ESF #13</w:t>
      </w:r>
      <w:r>
        <w:t xml:space="preserve"> capabilities</w:t>
      </w:r>
      <w:r w:rsidR="00882D67">
        <w:t>;</w:t>
      </w:r>
      <w:r>
        <w:t xml:space="preserve"> this duty</w:t>
      </w:r>
      <w:r w:rsidRPr="00472EA7">
        <w:t xml:space="preserve"> plays </w:t>
      </w:r>
      <w:r>
        <w:t xml:space="preserve">a role </w:t>
      </w:r>
      <w:r w:rsidRPr="00472EA7">
        <w:t xml:space="preserve">in the protection of </w:t>
      </w:r>
      <w:r w:rsidRPr="00472EA7">
        <w:lastRenderedPageBreak/>
        <w:t xml:space="preserve">the American public </w:t>
      </w:r>
      <w:r>
        <w:t>from</w:t>
      </w:r>
      <w:r w:rsidRPr="00472EA7">
        <w:t xml:space="preserve"> terrorist incidents. </w:t>
      </w:r>
      <w:r>
        <w:t xml:space="preserve"> </w:t>
      </w:r>
      <w:r w:rsidRPr="00472EA7">
        <w:t xml:space="preserve">During several table top exercises and large scale briefings, the FBI has indicated that they will rely heavily upon ESF #13 following a multi-jurisdictional mass terrorist event. </w:t>
      </w:r>
      <w:r>
        <w:t xml:space="preserve"> </w:t>
      </w:r>
      <w:r w:rsidRPr="00472EA7">
        <w:t>The FBI has indicated that they intend to utilize ESF #13 assets to assist in supplementing FBI investigative measures, scene security concerns</w:t>
      </w:r>
      <w:r>
        <w:t>,</w:t>
      </w:r>
      <w:r w:rsidRPr="00472EA7">
        <w:t xml:space="preserve"> and overall law enforcement support following an event. </w:t>
      </w:r>
      <w:r>
        <w:t xml:space="preserve"> </w:t>
      </w:r>
    </w:p>
    <w:p w:rsidR="00F50F15" w:rsidRDefault="00F50F15" w:rsidP="00F50F15">
      <w:pPr>
        <w:ind w:left="720"/>
      </w:pPr>
    </w:p>
    <w:p w:rsidR="00F50F15" w:rsidRDefault="00F50F15" w:rsidP="00F50F15">
      <w:pPr>
        <w:ind w:left="720"/>
      </w:pPr>
      <w:r w:rsidRPr="00472EA7">
        <w:t>Furthermore, ESF #13 assets will undoubtedly b</w:t>
      </w:r>
      <w:r>
        <w:t>e</w:t>
      </w:r>
      <w:r w:rsidRPr="00472EA7">
        <w:t xml:space="preserve"> utilized to assist in protecting the nation’s critical infrastructure and key resources when and if a credible threat has been identified by intelligence resources. </w:t>
      </w:r>
      <w:r>
        <w:t xml:space="preserve">ATF is also working closely with other members of the DOJ law enforcement family as well as law enforcement representatives from across the government.  </w:t>
      </w:r>
    </w:p>
    <w:p w:rsidR="00F50F15" w:rsidRDefault="00F50F15" w:rsidP="00F50F15">
      <w:pPr>
        <w:ind w:left="720"/>
      </w:pPr>
    </w:p>
    <w:p w:rsidR="00F50F15" w:rsidRDefault="00F50F15" w:rsidP="00F50F15">
      <w:pPr>
        <w:ind w:left="720"/>
      </w:pPr>
      <w:r w:rsidRPr="00472EA7">
        <w:t xml:space="preserve">ESF #13 is also becoming increasingly </w:t>
      </w:r>
      <w:r>
        <w:t xml:space="preserve">important to </w:t>
      </w:r>
      <w:r w:rsidRPr="00472EA7">
        <w:t xml:space="preserve">the planning of National Special Security Events (NSSE). </w:t>
      </w:r>
      <w:r>
        <w:t xml:space="preserve"> </w:t>
      </w:r>
      <w:r w:rsidRPr="00472EA7">
        <w:t xml:space="preserve">ESF #13 personnel have become </w:t>
      </w:r>
      <w:r>
        <w:t>intimately</w:t>
      </w:r>
      <w:r w:rsidRPr="00472EA7">
        <w:t xml:space="preserve"> involved in the planning for and mitigation of terrorist events relating to NSSE events such as </w:t>
      </w:r>
      <w:r>
        <w:t>the p</w:t>
      </w:r>
      <w:r w:rsidRPr="00472EA7">
        <w:t xml:space="preserve">residential </w:t>
      </w:r>
      <w:r>
        <w:t>i</w:t>
      </w:r>
      <w:r w:rsidRPr="00472EA7">
        <w:t xml:space="preserve">nauguration(s) and Super Bowls. </w:t>
      </w:r>
      <w:r>
        <w:t xml:space="preserve"> </w:t>
      </w:r>
      <w:r w:rsidRPr="00472EA7">
        <w:t xml:space="preserve">As the ESF #13 program has developed within ATF, entities such as the White House </w:t>
      </w:r>
      <w:r>
        <w:t xml:space="preserve">National </w:t>
      </w:r>
      <w:r w:rsidRPr="00472EA7">
        <w:t xml:space="preserve">Security </w:t>
      </w:r>
      <w:r>
        <w:t>Staff</w:t>
      </w:r>
      <w:r w:rsidRPr="00472EA7">
        <w:t xml:space="preserve"> have begun to integrate ESF #13 into their planning for events and proposed responses.</w:t>
      </w:r>
    </w:p>
    <w:p w:rsidR="00F50F15" w:rsidRDefault="00F50F15" w:rsidP="00F50F15">
      <w:pPr>
        <w:ind w:left="720"/>
      </w:pPr>
      <w:r w:rsidRPr="00472EA7">
        <w:t> </w:t>
      </w:r>
    </w:p>
    <w:p w:rsidR="00F50F15" w:rsidRPr="00FF5A9E" w:rsidRDefault="00F50F15" w:rsidP="00F50F15">
      <w:pPr>
        <w:ind w:left="720"/>
      </w:pPr>
      <w:r w:rsidRPr="00472EA7">
        <w:t xml:space="preserve">During ESF #13 activations, ATF is consistently required to provide real-time law enforcement readiness information to all levels of the </w:t>
      </w:r>
      <w:r>
        <w:t>Federal</w:t>
      </w:r>
      <w:r w:rsidRPr="00472EA7">
        <w:t xml:space="preserve"> government. </w:t>
      </w:r>
      <w:r>
        <w:t xml:space="preserve"> </w:t>
      </w:r>
      <w:r w:rsidRPr="00472EA7">
        <w:t>This includes providing information to the White House, DOJ leadership, DHS leadership and FEMA leadership.</w:t>
      </w:r>
      <w:r>
        <w:t xml:space="preserve">  </w:t>
      </w:r>
      <w:r w:rsidRPr="00472EA7">
        <w:t xml:space="preserve">The roles and responsibilities of ESF #13 are great and require substantial infrastructure development to bring ESF #13 into alignment with the requirements established within the </w:t>
      </w:r>
      <w:r>
        <w:t>NRF</w:t>
      </w:r>
      <w:r w:rsidRPr="00472EA7">
        <w:t xml:space="preserve">. </w:t>
      </w:r>
      <w:r>
        <w:t xml:space="preserve"> </w:t>
      </w:r>
    </w:p>
    <w:p w:rsidR="00F50F15" w:rsidRPr="000C65DC" w:rsidRDefault="00F50F15" w:rsidP="000C65DC">
      <w:pPr>
        <w:pStyle w:val="xl19"/>
        <w:tabs>
          <w:tab w:val="left" w:pos="1080"/>
        </w:tabs>
        <w:spacing w:before="100" w:beforeAutospacing="1" w:after="100" w:afterAutospacing="1"/>
        <w:ind w:left="720"/>
        <w:sectPr w:rsidR="00F50F15" w:rsidRPr="000C65DC" w:rsidSect="00D6643D">
          <w:pgSz w:w="12240" w:h="15840" w:code="1"/>
          <w:pgMar w:top="1440" w:right="1440" w:bottom="1440" w:left="1440" w:header="720" w:footer="720" w:gutter="0"/>
          <w:cols w:space="720"/>
          <w:docGrid w:linePitch="360"/>
        </w:sectPr>
      </w:pPr>
    </w:p>
    <w:p w:rsidR="00F81BF5" w:rsidRDefault="00F81BF5" w:rsidP="00F81BF5">
      <w:pPr>
        <w:pStyle w:val="Header"/>
        <w:tabs>
          <w:tab w:val="left" w:pos="720"/>
        </w:tabs>
        <w:spacing w:before="100" w:beforeAutospacing="1" w:after="100" w:afterAutospacing="1"/>
        <w:contextualSpacing/>
        <w:rPr>
          <w:rFonts w:asciiTheme="minorHAnsi" w:hAnsiTheme="minorHAnsi" w:cstheme="minorHAnsi"/>
          <w:bCs/>
          <w:sz w:val="22"/>
          <w:szCs w:val="22"/>
        </w:rPr>
      </w:pPr>
      <w:r>
        <w:rPr>
          <w:rFonts w:asciiTheme="minorHAnsi" w:hAnsiTheme="minorHAnsi" w:cstheme="minorHAnsi"/>
          <w:bCs/>
          <w:sz w:val="22"/>
          <w:szCs w:val="22"/>
        </w:rPr>
        <w:lastRenderedPageBreak/>
        <w:t xml:space="preserve">2. Performance Tables </w:t>
      </w:r>
      <w:r w:rsidR="001779DE">
        <w:rPr>
          <w:rFonts w:asciiTheme="minorHAnsi" w:hAnsiTheme="minorHAnsi" w:cstheme="minorHAnsi"/>
          <w:bCs/>
          <w:sz w:val="22"/>
          <w:szCs w:val="22"/>
        </w:rPr>
        <w:t>–</w:t>
      </w:r>
      <w:r>
        <w:rPr>
          <w:rFonts w:asciiTheme="minorHAnsi" w:hAnsiTheme="minorHAnsi" w:cstheme="minorHAnsi"/>
          <w:bCs/>
          <w:sz w:val="22"/>
          <w:szCs w:val="22"/>
        </w:rPr>
        <w:t xml:space="preserve"> </w:t>
      </w:r>
      <w:r w:rsidR="001779DE">
        <w:rPr>
          <w:rFonts w:asciiTheme="minorHAnsi" w:hAnsiTheme="minorHAnsi" w:cstheme="minorHAnsi"/>
          <w:bCs/>
          <w:sz w:val="22"/>
          <w:szCs w:val="22"/>
        </w:rPr>
        <w:t>Investigative Support Services</w:t>
      </w:r>
      <w:r>
        <w:rPr>
          <w:rStyle w:val="FootnoteReference"/>
          <w:rFonts w:asciiTheme="minorHAnsi" w:hAnsiTheme="minorHAnsi" w:cstheme="minorHAnsi"/>
          <w:bCs/>
          <w:sz w:val="22"/>
          <w:szCs w:val="22"/>
        </w:rPr>
        <w:t>1</w:t>
      </w:r>
      <w:r w:rsidR="007C56C5" w:rsidRPr="007C56C5">
        <w:rPr>
          <w:rFonts w:asciiTheme="minorHAnsi" w:hAnsiTheme="minorHAnsi" w:cstheme="minorHAnsi"/>
          <w:bCs/>
          <w:sz w:val="22"/>
          <w:szCs w:val="22"/>
          <w:vertAlign w:val="superscript"/>
        </w:rPr>
        <w:t>,</w:t>
      </w:r>
      <w:r w:rsidR="00D803A9">
        <w:rPr>
          <w:rFonts w:asciiTheme="minorHAnsi" w:hAnsiTheme="minorHAnsi" w:cstheme="minorHAnsi"/>
          <w:bCs/>
          <w:sz w:val="22"/>
          <w:szCs w:val="22"/>
          <w:vertAlign w:val="superscript"/>
        </w:rPr>
        <w:t xml:space="preserve"> </w:t>
      </w:r>
      <w:r w:rsidRPr="008F15D2">
        <w:rPr>
          <w:rFonts w:asciiTheme="minorHAnsi" w:hAnsiTheme="minorHAnsi" w:cstheme="minorHAnsi"/>
          <w:bCs/>
          <w:sz w:val="22"/>
          <w:szCs w:val="22"/>
          <w:vertAlign w:val="superscript"/>
        </w:rPr>
        <w:t>2</w:t>
      </w:r>
      <w:r w:rsidR="004B58B4">
        <w:rPr>
          <w:rFonts w:asciiTheme="minorHAnsi" w:hAnsiTheme="minorHAnsi" w:cstheme="minorHAnsi"/>
          <w:bCs/>
          <w:sz w:val="22"/>
          <w:szCs w:val="22"/>
          <w:vertAlign w:val="superscript"/>
        </w:rPr>
        <w:t>, 3</w:t>
      </w:r>
    </w:p>
    <w:p w:rsidR="00F81BF5" w:rsidRPr="004B58B4" w:rsidRDefault="00994745" w:rsidP="00A20A23">
      <w:pPr>
        <w:rPr>
          <w:b/>
          <w:bCs/>
          <w:sz w:val="16"/>
          <w:szCs w:val="16"/>
        </w:rPr>
      </w:pPr>
      <w:r w:rsidRPr="00994745">
        <w:rPr>
          <w:noProof/>
          <w:szCs w:val="16"/>
        </w:rPr>
        <w:drawing>
          <wp:inline distT="0" distB="0" distL="0" distR="0">
            <wp:extent cx="7955369" cy="4899979"/>
            <wp:effectExtent l="19050" t="0" r="7531"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7974300" cy="4911639"/>
                    </a:xfrm>
                    <a:prstGeom prst="rect">
                      <a:avLst/>
                    </a:prstGeom>
                    <a:noFill/>
                    <a:ln w="9525">
                      <a:noFill/>
                      <a:miter lim="800000"/>
                      <a:headEnd/>
                      <a:tailEnd/>
                    </a:ln>
                  </pic:spPr>
                </pic:pic>
              </a:graphicData>
            </a:graphic>
          </wp:inline>
        </w:drawing>
      </w:r>
    </w:p>
    <w:p w:rsidR="00F81BF5" w:rsidRPr="004B58B4" w:rsidRDefault="001779DE" w:rsidP="00F81BF5">
      <w:pPr>
        <w:contextualSpacing/>
        <w:rPr>
          <w:bCs/>
          <w:sz w:val="16"/>
          <w:szCs w:val="16"/>
        </w:rPr>
      </w:pPr>
      <w:r w:rsidRPr="004B58B4">
        <w:rPr>
          <w:sz w:val="16"/>
          <w:szCs w:val="16"/>
          <w:vertAlign w:val="superscript"/>
        </w:rPr>
        <w:t>1</w:t>
      </w:r>
      <w:r w:rsidRPr="004B58B4">
        <w:rPr>
          <w:sz w:val="16"/>
          <w:szCs w:val="16"/>
        </w:rPr>
        <w:t xml:space="preserve"> </w:t>
      </w:r>
      <w:r w:rsidR="00F81BF5" w:rsidRPr="004B58B4">
        <w:rPr>
          <w:sz w:val="16"/>
          <w:szCs w:val="16"/>
        </w:rPr>
        <w:t xml:space="preserve">Note: Both of the decision units (Law Enforcement Operations and Investigate Support Services) </w:t>
      </w:r>
      <w:r w:rsidR="00F81BF5" w:rsidRPr="004B58B4">
        <w:rPr>
          <w:bCs/>
          <w:sz w:val="16"/>
          <w:szCs w:val="16"/>
        </w:rPr>
        <w:t>work interdependently to demonstrate ATF’s actual performance.</w:t>
      </w:r>
    </w:p>
    <w:p w:rsidR="00F81BF5" w:rsidRPr="004B58B4" w:rsidRDefault="00F81BF5" w:rsidP="00F81BF5">
      <w:pPr>
        <w:contextualSpacing/>
        <w:rPr>
          <w:bCs/>
          <w:sz w:val="16"/>
          <w:szCs w:val="16"/>
        </w:rPr>
      </w:pPr>
    </w:p>
    <w:p w:rsidR="00F81BF5" w:rsidRPr="004B58B4" w:rsidRDefault="00095F8D" w:rsidP="00F81BF5">
      <w:pPr>
        <w:rPr>
          <w:sz w:val="16"/>
          <w:szCs w:val="16"/>
        </w:rPr>
      </w:pPr>
      <w:r w:rsidRPr="004B58B4">
        <w:rPr>
          <w:bCs/>
          <w:sz w:val="16"/>
          <w:szCs w:val="16"/>
          <w:vertAlign w:val="superscript"/>
        </w:rPr>
        <w:t>2</w:t>
      </w:r>
      <w:r w:rsidR="00F81BF5" w:rsidRPr="004B58B4">
        <w:rPr>
          <w:bCs/>
          <w:sz w:val="16"/>
          <w:szCs w:val="16"/>
        </w:rPr>
        <w:t xml:space="preserve"> Note:  </w:t>
      </w:r>
      <w:r w:rsidR="00F81BF5" w:rsidRPr="004B58B4">
        <w:rPr>
          <w:sz w:val="16"/>
          <w:szCs w:val="16"/>
        </w:rPr>
        <w:t xml:space="preserve">The sum of the program activity resources and FTE </w:t>
      </w:r>
      <w:r w:rsidR="002D51B7">
        <w:rPr>
          <w:sz w:val="16"/>
          <w:szCs w:val="16"/>
        </w:rPr>
        <w:t xml:space="preserve">for FY 2012 actuals </w:t>
      </w:r>
      <w:r w:rsidR="00F81BF5" w:rsidRPr="004B58B4">
        <w:rPr>
          <w:sz w:val="16"/>
          <w:szCs w:val="16"/>
        </w:rPr>
        <w:t>w</w:t>
      </w:r>
      <w:r w:rsidR="0014314F" w:rsidRPr="004B58B4">
        <w:rPr>
          <w:sz w:val="16"/>
          <w:szCs w:val="16"/>
        </w:rPr>
        <w:t>ill not add up to the total for</w:t>
      </w:r>
      <w:r w:rsidR="00F81BF5" w:rsidRPr="004B58B4">
        <w:rPr>
          <w:sz w:val="16"/>
          <w:szCs w:val="16"/>
        </w:rPr>
        <w:t> each decision unit, because it does not include administrative overhead.</w:t>
      </w:r>
    </w:p>
    <w:p w:rsidR="004B58B4" w:rsidRPr="004B58B4" w:rsidRDefault="004B58B4" w:rsidP="00F81BF5">
      <w:pPr>
        <w:rPr>
          <w:sz w:val="16"/>
          <w:szCs w:val="16"/>
        </w:rPr>
      </w:pPr>
    </w:p>
    <w:p w:rsidR="00F81BF5" w:rsidRPr="00D059A7" w:rsidRDefault="004B58B4" w:rsidP="00A20A23">
      <w:pPr>
        <w:rPr>
          <w:sz w:val="16"/>
          <w:szCs w:val="16"/>
        </w:rPr>
      </w:pPr>
      <w:r>
        <w:rPr>
          <w:bCs/>
          <w:sz w:val="16"/>
          <w:szCs w:val="16"/>
          <w:vertAlign w:val="superscript"/>
        </w:rPr>
        <w:t>3</w:t>
      </w:r>
      <w:r w:rsidRPr="004B58B4">
        <w:rPr>
          <w:bCs/>
          <w:sz w:val="16"/>
          <w:szCs w:val="16"/>
        </w:rPr>
        <w:t xml:space="preserve"> Note:  </w:t>
      </w:r>
      <w:r>
        <w:rPr>
          <w:bCs/>
          <w:sz w:val="16"/>
          <w:szCs w:val="16"/>
        </w:rPr>
        <w:t>NIBIN increase</w:t>
      </w:r>
      <w:r w:rsidR="000A7402">
        <w:rPr>
          <w:bCs/>
          <w:sz w:val="16"/>
          <w:szCs w:val="16"/>
        </w:rPr>
        <w:t>s</w:t>
      </w:r>
      <w:r>
        <w:rPr>
          <w:bCs/>
          <w:sz w:val="16"/>
          <w:szCs w:val="16"/>
        </w:rPr>
        <w:t xml:space="preserve"> by $22M and Firearms Tracing increases by $8M in FY 2014 enhancements; </w:t>
      </w:r>
      <w:r>
        <w:rPr>
          <w:sz w:val="16"/>
          <w:szCs w:val="16"/>
        </w:rPr>
        <w:t xml:space="preserve">due to technical adjustments, all program areas are offset for those adjustments. </w:t>
      </w:r>
    </w:p>
    <w:p w:rsidR="008D79C3" w:rsidRDefault="00D059A7" w:rsidP="00A20A23">
      <w:pPr>
        <w:rPr>
          <w:b/>
          <w:sz w:val="18"/>
          <w:szCs w:val="18"/>
        </w:rPr>
      </w:pPr>
      <w:r w:rsidRPr="00D059A7">
        <w:rPr>
          <w:noProof/>
          <w:szCs w:val="18"/>
        </w:rPr>
        <w:lastRenderedPageBreak/>
        <w:drawing>
          <wp:inline distT="0" distB="0" distL="0" distR="0">
            <wp:extent cx="8008531" cy="5826642"/>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srcRect/>
                    <a:stretch>
                      <a:fillRect/>
                    </a:stretch>
                  </pic:blipFill>
                  <pic:spPr bwMode="auto">
                    <a:xfrm>
                      <a:off x="0" y="0"/>
                      <a:ext cx="8009210" cy="5827136"/>
                    </a:xfrm>
                    <a:prstGeom prst="rect">
                      <a:avLst/>
                    </a:prstGeom>
                    <a:noFill/>
                    <a:ln w="9525">
                      <a:noFill/>
                      <a:miter lim="800000"/>
                      <a:headEnd/>
                      <a:tailEnd/>
                    </a:ln>
                  </pic:spPr>
                </pic:pic>
              </a:graphicData>
            </a:graphic>
          </wp:inline>
        </w:drawing>
      </w:r>
    </w:p>
    <w:p w:rsidR="0051210E" w:rsidRDefault="00ED6D2A" w:rsidP="00A20A23">
      <w:pPr>
        <w:rPr>
          <w:b/>
          <w:sz w:val="18"/>
          <w:szCs w:val="18"/>
        </w:rPr>
        <w:sectPr w:rsidR="0051210E" w:rsidSect="00071C1B">
          <w:pgSz w:w="15840" w:h="12240" w:orient="landscape" w:code="1"/>
          <w:pgMar w:top="1440" w:right="1440" w:bottom="1440" w:left="1440" w:header="720" w:footer="720" w:gutter="0"/>
          <w:cols w:space="720"/>
          <w:docGrid w:linePitch="360"/>
        </w:sectPr>
      </w:pPr>
      <w:r w:rsidRPr="00ED6D2A">
        <w:rPr>
          <w:noProof/>
          <w:szCs w:val="18"/>
        </w:rPr>
        <w:lastRenderedPageBreak/>
        <w:drawing>
          <wp:inline distT="0" distB="0" distL="0" distR="0">
            <wp:extent cx="8231815" cy="581600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8229600" cy="5814444"/>
                    </a:xfrm>
                    <a:prstGeom prst="rect">
                      <a:avLst/>
                    </a:prstGeom>
                    <a:noFill/>
                    <a:ln w="9525">
                      <a:noFill/>
                      <a:miter lim="800000"/>
                      <a:headEnd/>
                      <a:tailEnd/>
                    </a:ln>
                  </pic:spPr>
                </pic:pic>
              </a:graphicData>
            </a:graphic>
          </wp:inline>
        </w:drawing>
      </w:r>
    </w:p>
    <w:p w:rsidR="00F00853" w:rsidRDefault="00B66D5D" w:rsidP="00F00853">
      <w:pPr>
        <w:spacing w:before="100" w:beforeAutospacing="1" w:after="100" w:afterAutospacing="1"/>
        <w:jc w:val="both"/>
        <w:rPr>
          <w:b/>
          <w:bCs/>
        </w:rPr>
      </w:pPr>
      <w:r>
        <w:rPr>
          <w:b/>
          <w:bCs/>
        </w:rPr>
        <w:lastRenderedPageBreak/>
        <w:t>C</w:t>
      </w:r>
      <w:r w:rsidR="00F00853">
        <w:rPr>
          <w:b/>
          <w:bCs/>
        </w:rPr>
        <w:t xml:space="preserve">. </w:t>
      </w:r>
      <w:r w:rsidR="00F00853" w:rsidRPr="00762F09">
        <w:rPr>
          <w:b/>
          <w:bCs/>
        </w:rPr>
        <w:t>Perform</w:t>
      </w:r>
      <w:r w:rsidR="00F00853">
        <w:rPr>
          <w:b/>
          <w:bCs/>
        </w:rPr>
        <w:t>ance, Resources, and Strategies</w:t>
      </w:r>
    </w:p>
    <w:p w:rsidR="00504A36" w:rsidRDefault="00F00853">
      <w:pPr>
        <w:pStyle w:val="BodyText"/>
        <w:numPr>
          <w:ilvl w:val="0"/>
          <w:numId w:val="2"/>
        </w:numPr>
        <w:spacing w:before="100" w:beforeAutospacing="1" w:after="100" w:afterAutospacing="1"/>
        <w:rPr>
          <w:b/>
          <w:bCs/>
          <w:szCs w:val="24"/>
        </w:rPr>
      </w:pPr>
      <w:r w:rsidRPr="00762F09">
        <w:rPr>
          <w:b/>
          <w:bCs/>
          <w:szCs w:val="24"/>
        </w:rPr>
        <w:t>Performance Plan and Report for Outcomes</w:t>
      </w:r>
    </w:p>
    <w:p w:rsidR="00F10CAD" w:rsidRPr="00BA6374" w:rsidRDefault="00265432" w:rsidP="00C34B7D">
      <w:pPr>
        <w:ind w:left="720"/>
      </w:pPr>
      <w:r w:rsidRPr="00265432">
        <w:t xml:space="preserve">ATF’s performance measures support both the Law Enforcement Operations and the </w:t>
      </w:r>
      <w:r w:rsidR="00DD0A73">
        <w:t>Investigative</w:t>
      </w:r>
      <w:r w:rsidRPr="00265432">
        <w:t xml:space="preserve"> </w:t>
      </w:r>
      <w:r w:rsidR="00397503">
        <w:t xml:space="preserve">Support </w:t>
      </w:r>
      <w:r w:rsidRPr="00265432">
        <w:t>Services decision units.  ATF has developed a Performance Measurement Index tool that helps facilitate informed decision making regarding the Agency’s priorities, activities</w:t>
      </w:r>
      <w:r w:rsidR="00BD50E0">
        <w:t>,</w:t>
      </w:r>
      <w:r w:rsidRPr="00265432">
        <w:t xml:space="preserve"> and resources.  The Index compiles multiple performance indicators into a single number to m</w:t>
      </w:r>
      <w:r w:rsidR="002E7460">
        <w:t>easure performance at both the B</w:t>
      </w:r>
      <w:r w:rsidRPr="00265432">
        <w:t xml:space="preserve">ureau-wide and program levels. </w:t>
      </w:r>
      <w:r w:rsidR="00BD50E0">
        <w:t xml:space="preserve">This is accomplished </w:t>
      </w:r>
      <w:r w:rsidRPr="00265432">
        <w:t>by aligning ATF’s budget decision units with the Bureau’s performance goal statements, strategic objectives and performance indicators for a comprehensive tr</w:t>
      </w:r>
      <w:r w:rsidR="00B66D5D">
        <w:t xml:space="preserve">acking and measurement of </w:t>
      </w:r>
      <w:r w:rsidRPr="00265432">
        <w:t>performance across the enterprise.</w:t>
      </w:r>
    </w:p>
    <w:p w:rsidR="00F10CAD" w:rsidRDefault="00F10CAD" w:rsidP="00F10CAD"/>
    <w:p w:rsidR="0068257E" w:rsidRPr="00D00B6D" w:rsidRDefault="0068257E" w:rsidP="00C34B7D">
      <w:pPr>
        <w:ind w:left="720"/>
      </w:pPr>
      <w:r w:rsidRPr="00D00B6D">
        <w:t>ATF</w:t>
      </w:r>
      <w:r w:rsidR="00F10CAD">
        <w:t xml:space="preserve">’s </w:t>
      </w:r>
      <w:r w:rsidRPr="00D00B6D">
        <w:t>Performance Index measure</w:t>
      </w:r>
      <w:r w:rsidR="00F10CAD">
        <w:t>s</w:t>
      </w:r>
      <w:r w:rsidRPr="00D00B6D">
        <w:t xml:space="preserve"> ATF’s 10 core functions as well as the strategic goals and strategic objectives.   ATF’s outcome-based performance goal statements are</w:t>
      </w:r>
      <w:r w:rsidR="00101456">
        <w:t xml:space="preserve">: </w:t>
      </w:r>
    </w:p>
    <w:p w:rsidR="0068257E" w:rsidRPr="00D00B6D" w:rsidRDefault="0068257E" w:rsidP="0068257E"/>
    <w:tbl>
      <w:tblPr>
        <w:tblW w:w="8204" w:type="dxa"/>
        <w:jc w:val="center"/>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4" w:type="dxa"/>
          <w:right w:w="14" w:type="dxa"/>
        </w:tblCellMar>
        <w:tblLook w:val="04A0"/>
      </w:tblPr>
      <w:tblGrid>
        <w:gridCol w:w="2752"/>
        <w:gridCol w:w="5452"/>
      </w:tblGrid>
      <w:tr w:rsidR="0068257E" w:rsidRPr="00D00B6D" w:rsidTr="00847FAB">
        <w:trPr>
          <w:trHeight w:val="288"/>
          <w:jc w:val="center"/>
        </w:trPr>
        <w:tc>
          <w:tcPr>
            <w:tcW w:w="2752" w:type="dxa"/>
            <w:tcBorders>
              <w:bottom w:val="single" w:sz="8" w:space="0" w:color="000000"/>
            </w:tcBorders>
            <w:tcMar>
              <w:top w:w="43" w:type="dxa"/>
              <w:left w:w="43" w:type="dxa"/>
              <w:bottom w:w="43" w:type="dxa"/>
              <w:right w:w="43" w:type="dxa"/>
            </w:tcMar>
            <w:vAlign w:val="center"/>
          </w:tcPr>
          <w:p w:rsidR="0068257E" w:rsidRPr="009452AA" w:rsidRDefault="0068257E" w:rsidP="00847FAB">
            <w:pPr>
              <w:jc w:val="center"/>
              <w:rPr>
                <w:b/>
                <w:i/>
              </w:rPr>
            </w:pPr>
            <w:r w:rsidRPr="009452AA">
              <w:rPr>
                <w:b/>
                <w:i/>
              </w:rPr>
              <w:t>Core Function</w:t>
            </w:r>
          </w:p>
        </w:tc>
        <w:tc>
          <w:tcPr>
            <w:tcW w:w="5452" w:type="dxa"/>
            <w:tcBorders>
              <w:bottom w:val="single" w:sz="8" w:space="0" w:color="000000"/>
            </w:tcBorders>
            <w:vAlign w:val="center"/>
          </w:tcPr>
          <w:p w:rsidR="0068257E" w:rsidRPr="009452AA" w:rsidRDefault="0068257E" w:rsidP="00847FAB">
            <w:pPr>
              <w:jc w:val="center"/>
              <w:rPr>
                <w:b/>
                <w:i/>
              </w:rPr>
            </w:pPr>
            <w:r w:rsidRPr="009452AA">
              <w:rPr>
                <w:b/>
                <w:i/>
              </w:rPr>
              <w:t>Performance Goal Statement</w:t>
            </w:r>
          </w:p>
        </w:tc>
      </w:tr>
      <w:tr w:rsidR="0068257E" w:rsidRPr="00D00B6D" w:rsidTr="00847FAB">
        <w:trPr>
          <w:trHeight w:val="562"/>
          <w:jc w:val="center"/>
        </w:trPr>
        <w:tc>
          <w:tcPr>
            <w:tcW w:w="2752" w:type="dxa"/>
            <w:shd w:val="clear" w:color="auto" w:fill="F2F2F2"/>
            <w:tcMar>
              <w:top w:w="43" w:type="dxa"/>
              <w:left w:w="43" w:type="dxa"/>
              <w:bottom w:w="43" w:type="dxa"/>
              <w:right w:w="43" w:type="dxa"/>
            </w:tcMar>
            <w:vAlign w:val="center"/>
          </w:tcPr>
          <w:p w:rsidR="0068257E" w:rsidRPr="00BD6811" w:rsidRDefault="0068257E" w:rsidP="00847FAB">
            <w:pPr>
              <w:jc w:val="center"/>
              <w:rPr>
                <w:b/>
              </w:rPr>
            </w:pPr>
            <w:r w:rsidRPr="00BD6811">
              <w:rPr>
                <w:b/>
              </w:rPr>
              <w:t>Illegal Firearms Trafficking</w:t>
            </w:r>
          </w:p>
        </w:tc>
        <w:tc>
          <w:tcPr>
            <w:tcW w:w="5452" w:type="dxa"/>
            <w:shd w:val="clear" w:color="auto" w:fill="F2F2F2"/>
            <w:tcMar>
              <w:top w:w="43" w:type="dxa"/>
              <w:left w:w="43" w:type="dxa"/>
              <w:bottom w:w="43" w:type="dxa"/>
              <w:right w:w="43" w:type="dxa"/>
            </w:tcMar>
            <w:vAlign w:val="center"/>
          </w:tcPr>
          <w:p w:rsidR="0068257E" w:rsidRPr="00BD6811" w:rsidRDefault="0068257E" w:rsidP="00847FAB">
            <w:pPr>
              <w:jc w:val="center"/>
            </w:pPr>
            <w:r w:rsidRPr="00BD6811">
              <w:t>Reduce the risk to public safety caused by illegal firearms trafficking</w:t>
            </w:r>
          </w:p>
        </w:tc>
      </w:tr>
      <w:tr w:rsidR="0068257E" w:rsidRPr="00D00B6D" w:rsidTr="00101456">
        <w:trPr>
          <w:trHeight w:val="729"/>
          <w:jc w:val="center"/>
        </w:trPr>
        <w:tc>
          <w:tcPr>
            <w:tcW w:w="2752" w:type="dxa"/>
            <w:shd w:val="clear" w:color="auto" w:fill="F2F2F2"/>
            <w:tcMar>
              <w:top w:w="43" w:type="dxa"/>
              <w:left w:w="43" w:type="dxa"/>
              <w:bottom w:w="43" w:type="dxa"/>
              <w:right w:w="43" w:type="dxa"/>
            </w:tcMar>
            <w:vAlign w:val="center"/>
          </w:tcPr>
          <w:p w:rsidR="0068257E" w:rsidRPr="00BD6811" w:rsidRDefault="0068257E" w:rsidP="00847FAB">
            <w:pPr>
              <w:jc w:val="center"/>
              <w:rPr>
                <w:b/>
              </w:rPr>
            </w:pPr>
            <w:r w:rsidRPr="00BD6811">
              <w:rPr>
                <w:b/>
              </w:rPr>
              <w:t>Firearms Criminal Possession and Use</w:t>
            </w:r>
          </w:p>
        </w:tc>
        <w:tc>
          <w:tcPr>
            <w:tcW w:w="5452" w:type="dxa"/>
            <w:shd w:val="clear" w:color="auto" w:fill="F2F2F2"/>
            <w:tcMar>
              <w:top w:w="43" w:type="dxa"/>
              <w:left w:w="43" w:type="dxa"/>
              <w:bottom w:w="43" w:type="dxa"/>
              <w:right w:w="43" w:type="dxa"/>
            </w:tcMar>
            <w:vAlign w:val="center"/>
          </w:tcPr>
          <w:p w:rsidR="0068257E" w:rsidRPr="00BD6811" w:rsidRDefault="0068257E" w:rsidP="00847FAB">
            <w:pPr>
              <w:jc w:val="center"/>
            </w:pPr>
            <w:r w:rsidRPr="00BD6811">
              <w:t>Reduce the risk to public safety caused by criminal possession and use of firearms</w:t>
            </w:r>
          </w:p>
        </w:tc>
      </w:tr>
      <w:tr w:rsidR="0068257E" w:rsidRPr="00D00B6D" w:rsidTr="00847FAB">
        <w:trPr>
          <w:trHeight w:val="836"/>
          <w:jc w:val="center"/>
        </w:trPr>
        <w:tc>
          <w:tcPr>
            <w:tcW w:w="2752" w:type="dxa"/>
            <w:shd w:val="clear" w:color="auto" w:fill="F2F2F2"/>
            <w:tcMar>
              <w:top w:w="43" w:type="dxa"/>
              <w:left w:w="43" w:type="dxa"/>
              <w:bottom w:w="43" w:type="dxa"/>
              <w:right w:w="43" w:type="dxa"/>
            </w:tcMar>
            <w:vAlign w:val="center"/>
          </w:tcPr>
          <w:p w:rsidR="0068257E" w:rsidRPr="00BD6811" w:rsidRDefault="0068257E" w:rsidP="00847FAB">
            <w:pPr>
              <w:jc w:val="center"/>
              <w:rPr>
                <w:b/>
              </w:rPr>
            </w:pPr>
            <w:r w:rsidRPr="00BD6811">
              <w:rPr>
                <w:b/>
              </w:rPr>
              <w:t>Firearms Industry Operations</w:t>
            </w:r>
          </w:p>
        </w:tc>
        <w:tc>
          <w:tcPr>
            <w:tcW w:w="5452" w:type="dxa"/>
            <w:shd w:val="clear" w:color="auto" w:fill="F2F2F2"/>
            <w:tcMar>
              <w:top w:w="43" w:type="dxa"/>
              <w:left w:w="43" w:type="dxa"/>
              <w:bottom w:w="43" w:type="dxa"/>
              <w:right w:w="43" w:type="dxa"/>
            </w:tcMar>
            <w:vAlign w:val="center"/>
          </w:tcPr>
          <w:p w:rsidR="0068257E" w:rsidRPr="00BD6811" w:rsidRDefault="0068257E" w:rsidP="00847FAB">
            <w:pPr>
              <w:jc w:val="center"/>
            </w:pPr>
            <w:r w:rsidRPr="00BD6811">
              <w:t xml:space="preserve">Improve public safety by increasing compliance with </w:t>
            </w:r>
            <w:r w:rsidR="002E3EAB" w:rsidRPr="00BD6811">
              <w:t>Federal</w:t>
            </w:r>
            <w:r w:rsidRPr="00BD6811">
              <w:t xml:space="preserve"> laws and regulations by firearms industry members</w:t>
            </w:r>
          </w:p>
        </w:tc>
      </w:tr>
      <w:tr w:rsidR="0068257E" w:rsidRPr="00D00B6D" w:rsidTr="00847FAB">
        <w:trPr>
          <w:trHeight w:val="562"/>
          <w:jc w:val="center"/>
        </w:trPr>
        <w:tc>
          <w:tcPr>
            <w:tcW w:w="2752" w:type="dxa"/>
            <w:shd w:val="clear" w:color="auto" w:fill="F2F2F2"/>
            <w:tcMar>
              <w:top w:w="43" w:type="dxa"/>
              <w:left w:w="43" w:type="dxa"/>
              <w:bottom w:w="43" w:type="dxa"/>
              <w:right w:w="43" w:type="dxa"/>
            </w:tcMar>
            <w:vAlign w:val="center"/>
          </w:tcPr>
          <w:p w:rsidR="0068257E" w:rsidRPr="00BD6811" w:rsidRDefault="0068257E" w:rsidP="00847FAB">
            <w:pPr>
              <w:jc w:val="center"/>
              <w:rPr>
                <w:b/>
              </w:rPr>
            </w:pPr>
            <w:r w:rsidRPr="00BD6811">
              <w:rPr>
                <w:b/>
              </w:rPr>
              <w:t>Criminal Groups and Gangs</w:t>
            </w:r>
          </w:p>
        </w:tc>
        <w:tc>
          <w:tcPr>
            <w:tcW w:w="5452" w:type="dxa"/>
            <w:shd w:val="clear" w:color="auto" w:fill="F2F2F2"/>
            <w:tcMar>
              <w:top w:w="43" w:type="dxa"/>
              <w:left w:w="43" w:type="dxa"/>
              <w:bottom w:w="43" w:type="dxa"/>
              <w:right w:w="43" w:type="dxa"/>
            </w:tcMar>
            <w:vAlign w:val="center"/>
          </w:tcPr>
          <w:p w:rsidR="0068257E" w:rsidRPr="00BD6811" w:rsidRDefault="0068257E" w:rsidP="00847FAB">
            <w:pPr>
              <w:jc w:val="center"/>
            </w:pPr>
            <w:r w:rsidRPr="00BD6811">
              <w:t>Reduce the risk to public safety caused by criminal organizations and gangs</w:t>
            </w:r>
          </w:p>
        </w:tc>
      </w:tr>
      <w:tr w:rsidR="0068257E" w:rsidRPr="00D00B6D" w:rsidTr="00101456">
        <w:trPr>
          <w:trHeight w:val="720"/>
          <w:jc w:val="center"/>
        </w:trPr>
        <w:tc>
          <w:tcPr>
            <w:tcW w:w="2752" w:type="dxa"/>
            <w:shd w:val="clear" w:color="auto" w:fill="F2F2F2"/>
            <w:tcMar>
              <w:top w:w="43" w:type="dxa"/>
              <w:left w:w="43" w:type="dxa"/>
              <w:bottom w:w="43" w:type="dxa"/>
              <w:right w:w="43" w:type="dxa"/>
            </w:tcMar>
            <w:vAlign w:val="center"/>
          </w:tcPr>
          <w:p w:rsidR="0068257E" w:rsidRPr="00BD6811" w:rsidRDefault="0068257E" w:rsidP="00847FAB">
            <w:pPr>
              <w:jc w:val="center"/>
              <w:rPr>
                <w:b/>
              </w:rPr>
            </w:pPr>
            <w:r w:rsidRPr="00BD6811">
              <w:rPr>
                <w:b/>
              </w:rPr>
              <w:t>Explosives, Bombs, and Bombings</w:t>
            </w:r>
          </w:p>
        </w:tc>
        <w:tc>
          <w:tcPr>
            <w:tcW w:w="5452" w:type="dxa"/>
            <w:shd w:val="clear" w:color="auto" w:fill="F2F2F2"/>
            <w:tcMar>
              <w:top w:w="43" w:type="dxa"/>
              <w:left w:w="43" w:type="dxa"/>
              <w:bottom w:w="43" w:type="dxa"/>
              <w:right w:w="43" w:type="dxa"/>
            </w:tcMar>
            <w:vAlign w:val="center"/>
          </w:tcPr>
          <w:p w:rsidR="0068257E" w:rsidRPr="00BD6811" w:rsidRDefault="0068257E" w:rsidP="00847FAB">
            <w:pPr>
              <w:jc w:val="center"/>
            </w:pPr>
            <w:r w:rsidRPr="00BD6811">
              <w:t>Reduce the risk to public safety caused by bombs and explosives</w:t>
            </w:r>
          </w:p>
        </w:tc>
      </w:tr>
      <w:tr w:rsidR="0068257E" w:rsidRPr="00D00B6D" w:rsidTr="00847FAB">
        <w:trPr>
          <w:trHeight w:val="836"/>
          <w:jc w:val="center"/>
        </w:trPr>
        <w:tc>
          <w:tcPr>
            <w:tcW w:w="2752" w:type="dxa"/>
            <w:shd w:val="clear" w:color="auto" w:fill="F2F2F2"/>
            <w:tcMar>
              <w:top w:w="43" w:type="dxa"/>
              <w:left w:w="43" w:type="dxa"/>
              <w:bottom w:w="43" w:type="dxa"/>
              <w:right w:w="43" w:type="dxa"/>
            </w:tcMar>
            <w:vAlign w:val="center"/>
          </w:tcPr>
          <w:p w:rsidR="0068257E" w:rsidRPr="00BD6811" w:rsidRDefault="0068257E" w:rsidP="00847FAB">
            <w:pPr>
              <w:jc w:val="center"/>
              <w:rPr>
                <w:b/>
              </w:rPr>
            </w:pPr>
            <w:r w:rsidRPr="00BD6811">
              <w:rPr>
                <w:b/>
              </w:rPr>
              <w:t>Explosives Industry Operations</w:t>
            </w:r>
          </w:p>
        </w:tc>
        <w:tc>
          <w:tcPr>
            <w:tcW w:w="5452" w:type="dxa"/>
            <w:shd w:val="clear" w:color="auto" w:fill="F2F2F2"/>
            <w:tcMar>
              <w:top w:w="43" w:type="dxa"/>
              <w:left w:w="43" w:type="dxa"/>
              <w:bottom w:w="43" w:type="dxa"/>
              <w:right w:w="43" w:type="dxa"/>
            </w:tcMar>
            <w:vAlign w:val="center"/>
          </w:tcPr>
          <w:p w:rsidR="0068257E" w:rsidRPr="00BD6811" w:rsidRDefault="0068257E" w:rsidP="00847FAB">
            <w:pPr>
              <w:jc w:val="center"/>
            </w:pPr>
            <w:r w:rsidRPr="00BD6811">
              <w:t xml:space="preserve">Improve public safety by increasing compliance with </w:t>
            </w:r>
            <w:r w:rsidR="002E3EAB" w:rsidRPr="00BD6811">
              <w:t>Federal</w:t>
            </w:r>
            <w:r w:rsidRPr="00BD6811">
              <w:t xml:space="preserve"> laws and regulations by explosives industry members</w:t>
            </w:r>
          </w:p>
        </w:tc>
      </w:tr>
      <w:tr w:rsidR="0068257E" w:rsidRPr="00D00B6D" w:rsidTr="00BD6811">
        <w:trPr>
          <w:trHeight w:val="531"/>
          <w:jc w:val="center"/>
        </w:trPr>
        <w:tc>
          <w:tcPr>
            <w:tcW w:w="2752" w:type="dxa"/>
            <w:shd w:val="clear" w:color="auto" w:fill="F2F2F2"/>
            <w:tcMar>
              <w:top w:w="43" w:type="dxa"/>
              <w:left w:w="43" w:type="dxa"/>
              <w:bottom w:w="43" w:type="dxa"/>
              <w:right w:w="43" w:type="dxa"/>
            </w:tcMar>
            <w:vAlign w:val="center"/>
          </w:tcPr>
          <w:p w:rsidR="0068257E" w:rsidRPr="00BD6811" w:rsidRDefault="0068257E" w:rsidP="00847FAB">
            <w:pPr>
              <w:jc w:val="center"/>
              <w:rPr>
                <w:b/>
              </w:rPr>
            </w:pPr>
            <w:r w:rsidRPr="00BD6811">
              <w:rPr>
                <w:b/>
              </w:rPr>
              <w:t>Fire and Arson</w:t>
            </w:r>
          </w:p>
        </w:tc>
        <w:tc>
          <w:tcPr>
            <w:tcW w:w="5452" w:type="dxa"/>
            <w:shd w:val="clear" w:color="auto" w:fill="F2F2F2"/>
            <w:tcMar>
              <w:top w:w="43" w:type="dxa"/>
              <w:left w:w="43" w:type="dxa"/>
              <w:bottom w:w="43" w:type="dxa"/>
              <w:right w:w="43" w:type="dxa"/>
            </w:tcMar>
            <w:vAlign w:val="center"/>
          </w:tcPr>
          <w:p w:rsidR="0068257E" w:rsidRPr="00BD6811" w:rsidRDefault="0068257E" w:rsidP="00847FAB">
            <w:pPr>
              <w:jc w:val="center"/>
            </w:pPr>
            <w:r w:rsidRPr="00BD6811">
              <w:t>Reduce the risk to public safety caused by the criminal use of fire</w:t>
            </w:r>
          </w:p>
        </w:tc>
      </w:tr>
      <w:tr w:rsidR="0068257E" w:rsidRPr="00D00B6D" w:rsidTr="00BD6811">
        <w:trPr>
          <w:trHeight w:val="693"/>
          <w:jc w:val="center"/>
        </w:trPr>
        <w:tc>
          <w:tcPr>
            <w:tcW w:w="2752" w:type="dxa"/>
            <w:shd w:val="clear" w:color="auto" w:fill="F2F2F2"/>
            <w:tcMar>
              <w:top w:w="43" w:type="dxa"/>
              <w:left w:w="43" w:type="dxa"/>
              <w:bottom w:w="43" w:type="dxa"/>
              <w:right w:w="43" w:type="dxa"/>
            </w:tcMar>
            <w:vAlign w:val="center"/>
          </w:tcPr>
          <w:p w:rsidR="0068257E" w:rsidRPr="00BD6811" w:rsidRDefault="0068257E" w:rsidP="00847FAB">
            <w:pPr>
              <w:jc w:val="center"/>
              <w:rPr>
                <w:b/>
              </w:rPr>
            </w:pPr>
            <w:r w:rsidRPr="00BD6811">
              <w:rPr>
                <w:b/>
              </w:rPr>
              <w:t>Alcohol and Tobacco</w:t>
            </w:r>
          </w:p>
        </w:tc>
        <w:tc>
          <w:tcPr>
            <w:tcW w:w="5452" w:type="dxa"/>
            <w:shd w:val="clear" w:color="auto" w:fill="F2F2F2"/>
            <w:tcMar>
              <w:top w:w="43" w:type="dxa"/>
              <w:left w:w="43" w:type="dxa"/>
              <w:bottom w:w="43" w:type="dxa"/>
              <w:right w:w="43" w:type="dxa"/>
            </w:tcMar>
            <w:vAlign w:val="center"/>
          </w:tcPr>
          <w:p w:rsidR="0068257E" w:rsidRPr="00BD6811" w:rsidRDefault="0068257E" w:rsidP="00847FAB">
            <w:pPr>
              <w:jc w:val="center"/>
            </w:pPr>
            <w:r w:rsidRPr="00BD6811">
              <w:t>Reduce the risk to public safety and reduce the loss of tax revenues caused by contraband alcohol and tobacco trafficking</w:t>
            </w:r>
          </w:p>
        </w:tc>
      </w:tr>
      <w:tr w:rsidR="0068257E" w:rsidRPr="00D00B6D" w:rsidTr="00847FAB">
        <w:trPr>
          <w:trHeight w:val="547"/>
          <w:jc w:val="center"/>
        </w:trPr>
        <w:tc>
          <w:tcPr>
            <w:tcW w:w="2752" w:type="dxa"/>
            <w:shd w:val="clear" w:color="auto" w:fill="F2F2F2"/>
            <w:tcMar>
              <w:top w:w="43" w:type="dxa"/>
              <w:left w:w="43" w:type="dxa"/>
              <w:bottom w:w="43" w:type="dxa"/>
              <w:right w:w="43" w:type="dxa"/>
            </w:tcMar>
            <w:vAlign w:val="center"/>
          </w:tcPr>
          <w:p w:rsidR="0068257E" w:rsidRPr="00BD6811" w:rsidRDefault="0068257E" w:rsidP="00847FAB">
            <w:pPr>
              <w:jc w:val="center"/>
              <w:rPr>
                <w:b/>
              </w:rPr>
            </w:pPr>
            <w:r w:rsidRPr="00BD6811">
              <w:rPr>
                <w:b/>
              </w:rPr>
              <w:t>Modernization</w:t>
            </w:r>
          </w:p>
        </w:tc>
        <w:tc>
          <w:tcPr>
            <w:tcW w:w="5452" w:type="dxa"/>
            <w:shd w:val="clear" w:color="auto" w:fill="F2F2F2"/>
            <w:tcMar>
              <w:top w:w="43" w:type="dxa"/>
              <w:left w:w="43" w:type="dxa"/>
              <w:bottom w:w="43" w:type="dxa"/>
              <w:right w:w="43" w:type="dxa"/>
            </w:tcMar>
            <w:vAlign w:val="center"/>
          </w:tcPr>
          <w:p w:rsidR="0068257E" w:rsidRPr="00BD6811" w:rsidRDefault="0068257E" w:rsidP="00847FAB">
            <w:pPr>
              <w:jc w:val="center"/>
            </w:pPr>
            <w:r w:rsidRPr="00BD6811">
              <w:t>Modernize business processes and systems for improved mission effectiveness and transparency</w:t>
            </w:r>
          </w:p>
        </w:tc>
      </w:tr>
      <w:tr w:rsidR="0068257E" w:rsidRPr="00D00B6D" w:rsidTr="00847FAB">
        <w:trPr>
          <w:trHeight w:val="562"/>
          <w:jc w:val="center"/>
        </w:trPr>
        <w:tc>
          <w:tcPr>
            <w:tcW w:w="2752" w:type="dxa"/>
            <w:shd w:val="clear" w:color="auto" w:fill="F2F2F2"/>
            <w:tcMar>
              <w:top w:w="43" w:type="dxa"/>
              <w:left w:w="43" w:type="dxa"/>
              <w:bottom w:w="43" w:type="dxa"/>
              <w:right w:w="43" w:type="dxa"/>
            </w:tcMar>
            <w:vAlign w:val="center"/>
          </w:tcPr>
          <w:p w:rsidR="0068257E" w:rsidRPr="00BD6811" w:rsidRDefault="0068257E" w:rsidP="00847FAB">
            <w:pPr>
              <w:jc w:val="center"/>
              <w:rPr>
                <w:b/>
              </w:rPr>
            </w:pPr>
            <w:r w:rsidRPr="00BD6811">
              <w:rPr>
                <w:b/>
              </w:rPr>
              <w:t>Workforce</w:t>
            </w:r>
          </w:p>
        </w:tc>
        <w:tc>
          <w:tcPr>
            <w:tcW w:w="5452" w:type="dxa"/>
            <w:shd w:val="clear" w:color="auto" w:fill="F2F2F2"/>
            <w:tcMar>
              <w:top w:w="43" w:type="dxa"/>
              <w:left w:w="43" w:type="dxa"/>
              <w:bottom w:w="43" w:type="dxa"/>
              <w:right w:w="43" w:type="dxa"/>
            </w:tcMar>
            <w:vAlign w:val="center"/>
          </w:tcPr>
          <w:p w:rsidR="0068257E" w:rsidRPr="00BD6811" w:rsidRDefault="0068257E" w:rsidP="00847FAB">
            <w:pPr>
              <w:jc w:val="center"/>
            </w:pPr>
            <w:r w:rsidRPr="00BD6811">
              <w:t>Attract, develop, and retain an expert workforce to execute the ATF mission</w:t>
            </w:r>
          </w:p>
        </w:tc>
      </w:tr>
    </w:tbl>
    <w:p w:rsidR="002959F7" w:rsidRDefault="002959F7" w:rsidP="0068257E"/>
    <w:p w:rsidR="0068257E" w:rsidRPr="00D00B6D" w:rsidRDefault="0068257E" w:rsidP="0068257E">
      <w:r w:rsidRPr="00D00B6D">
        <w:t xml:space="preserve">In the Index, each performance goal statement aligns with specified strategic objectives and their corresponding performance indicators.  This structure allows ATF to evaluate performance and to use performance indicators to track progress against targets. </w:t>
      </w:r>
    </w:p>
    <w:p w:rsidR="0068257E" w:rsidRPr="00D00B6D" w:rsidRDefault="0068257E" w:rsidP="0068257E"/>
    <w:p w:rsidR="0068257E" w:rsidRPr="00D00B6D" w:rsidRDefault="0032687B" w:rsidP="0068257E">
      <w:r>
        <w:pict>
          <v:group id="_x0000_s3516" editas="canvas" alt="The graphic on page 32 describes ATF's Strategic Impact via a diagram of its decision units with their major activities and their linkages to strategic objectives and performance indicators.  This graphic is illustrative of the &quot;drill down&quot; from a decision unit to actual performance indicators and their linkages.  " style="width:466.1pt;height:329.05pt;mso-position-horizontal-relative:char;mso-position-vertical-relative:line" coordsize="9322,6581">
            <o:lock v:ext="edit" aspectratio="t"/>
            <v:shape id="_x0000_s3517" type="#_x0000_t75" style="position:absolute;width:9322;height:6581" o:preferrelative="f">
              <v:fill o:detectmouseclick="t"/>
              <v:path o:extrusionok="t" o:connecttype="none"/>
              <o:lock v:ext="edit" text="t"/>
            </v:shape>
            <v:group id="_x0000_s3518" style="position:absolute;left:3329;top:49;width:5959;height:6309" coordorigin="3329,49" coordsize="5959,6309">
              <v:shape id="_x0000_s3519" style="position:absolute;left:7654;top:54;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3520" style="position:absolute;left:7885;top:49;width:1280;height:171;mso-wrap-style:none" filled="f" stroked="f">
                <v:textbox style="mso-next-textbox:#_x0000_s3520;mso-fit-shape-to-text:t" inset="0,0,0,0">
                  <w:txbxContent>
                    <w:p w:rsidR="00E01243" w:rsidRDefault="00E01243" w:rsidP="0068257E">
                      <w:r>
                        <w:rPr>
                          <w:rFonts w:ascii="Calibri" w:hAnsi="Calibri" w:cs="Calibri"/>
                          <w:color w:val="000000"/>
                          <w:sz w:val="14"/>
                          <w:szCs w:val="14"/>
                        </w:rPr>
                        <w:t>Performance Indicator</w:t>
                      </w:r>
                    </w:p>
                  </w:txbxContent>
                </v:textbox>
              </v:rect>
              <v:shape id="_x0000_s3521" style="position:absolute;left:7654;top:241;width:1634;height:170" coordsize="1904,176" path="m,8hdc,4,4,,8,hal1896,hdc1901,,1904,4,1904,8hal1904,168hdc1904,173,1901,176,1896,176hal8,176hdc4,176,,173,,168hal,8hdxm16,168hal8,160r1888,l1888,168r,-160l1896,16,8,16,16,8r,160hdxe" fillcolor="black" strokeweight=".05pt">
                <v:path arrowok="t"/>
                <o:lock v:ext="edit" verticies="t"/>
              </v:shape>
              <v:rect id="_x0000_s3522" style="position:absolute;left:7885;top:237;width:1280;height:171;mso-wrap-style:none" filled="f" stroked="f">
                <v:textbox style="mso-next-textbox:#_x0000_s3522;mso-fit-shape-to-text:t" inset="0,0,0,0">
                  <w:txbxContent>
                    <w:p w:rsidR="00E01243" w:rsidRDefault="00E01243" w:rsidP="0068257E">
                      <w:r>
                        <w:rPr>
                          <w:rFonts w:ascii="Calibri" w:hAnsi="Calibri" w:cs="Calibri"/>
                          <w:color w:val="000000"/>
                          <w:sz w:val="14"/>
                          <w:szCs w:val="14"/>
                        </w:rPr>
                        <w:t>Performance Indicator</w:t>
                      </w:r>
                    </w:p>
                  </w:txbxContent>
                </v:textbox>
              </v:rect>
              <v:shape id="_x0000_s3523" style="position:absolute;left:7654;top:520;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3524" style="position:absolute;left:7885;top:507;width:1280;height:171;mso-wrap-style:none" filled="f" stroked="f">
                <v:textbox style="mso-next-textbox:#_x0000_s3524;mso-fit-shape-to-text:t" inset="0,0,0,0">
                  <w:txbxContent>
                    <w:p w:rsidR="00E01243" w:rsidRDefault="00E01243" w:rsidP="0068257E">
                      <w:r>
                        <w:rPr>
                          <w:rFonts w:ascii="Calibri" w:hAnsi="Calibri" w:cs="Calibri"/>
                          <w:color w:val="000000"/>
                          <w:sz w:val="14"/>
                          <w:szCs w:val="14"/>
                        </w:rPr>
                        <w:t>Performance Indicator</w:t>
                      </w:r>
                    </w:p>
                  </w:txbxContent>
                </v:textbox>
              </v:rect>
              <v:shape id="_x0000_s3525" style="position:absolute;left:7654;top:706;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3526" style="position:absolute;left:7885;top:694;width:1280;height:171;mso-wrap-style:none" filled="f" stroked="f">
                <v:textbox style="mso-next-textbox:#_x0000_s3526;mso-fit-shape-to-text:t" inset="0,0,0,0">
                  <w:txbxContent>
                    <w:p w:rsidR="00E01243" w:rsidRDefault="00E01243" w:rsidP="0068257E">
                      <w:r>
                        <w:rPr>
                          <w:rFonts w:ascii="Calibri" w:hAnsi="Calibri" w:cs="Calibri"/>
                          <w:color w:val="000000"/>
                          <w:sz w:val="14"/>
                          <w:szCs w:val="14"/>
                        </w:rPr>
                        <w:t>Performance Indicator</w:t>
                      </w:r>
                    </w:p>
                  </w:txbxContent>
                </v:textbox>
              </v:rect>
              <v:shape id="_x0000_s3527" style="position:absolute;left:7654;top:970;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3528" style="position:absolute;left:7885;top:969;width:1280;height:171;mso-wrap-style:none" filled="f" stroked="f">
                <v:textbox style="mso-next-textbox:#_x0000_s3528;mso-fit-shape-to-text:t" inset="0,0,0,0">
                  <w:txbxContent>
                    <w:p w:rsidR="00E01243" w:rsidRDefault="00E01243" w:rsidP="0068257E">
                      <w:r>
                        <w:rPr>
                          <w:rFonts w:ascii="Calibri" w:hAnsi="Calibri" w:cs="Calibri"/>
                          <w:color w:val="000000"/>
                          <w:sz w:val="14"/>
                          <w:szCs w:val="14"/>
                        </w:rPr>
                        <w:t>Performance Indicator</w:t>
                      </w:r>
                    </w:p>
                  </w:txbxContent>
                </v:textbox>
              </v:rect>
              <v:shape id="_x0000_s3529" style="position:absolute;left:7654;top:1157;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3530" style="position:absolute;left:7885;top:1157;width:1280;height:171;mso-wrap-style:none" filled="f" stroked="f">
                <v:textbox style="mso-next-textbox:#_x0000_s3530;mso-fit-shape-to-text:t" inset="0,0,0,0">
                  <w:txbxContent>
                    <w:p w:rsidR="00E01243" w:rsidRDefault="00E01243" w:rsidP="0068257E">
                      <w:r>
                        <w:rPr>
                          <w:rFonts w:ascii="Calibri" w:hAnsi="Calibri" w:cs="Calibri"/>
                          <w:color w:val="000000"/>
                          <w:sz w:val="14"/>
                          <w:szCs w:val="14"/>
                        </w:rPr>
                        <w:t>Performance Indicator</w:t>
                      </w:r>
                    </w:p>
                  </w:txbxContent>
                </v:textbox>
              </v:rect>
              <v:shape id="_x0000_s3531" style="position:absolute;left:7654;top:1436;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3532" style="position:absolute;left:7885;top:1426;width:1280;height:171;mso-wrap-style:none" filled="f" stroked="f">
                <v:textbox style="mso-next-textbox:#_x0000_s3532;mso-fit-shape-to-text:t" inset="0,0,0,0">
                  <w:txbxContent>
                    <w:p w:rsidR="00E01243" w:rsidRDefault="00E01243" w:rsidP="0068257E">
                      <w:r>
                        <w:rPr>
                          <w:rFonts w:ascii="Calibri" w:hAnsi="Calibri" w:cs="Calibri"/>
                          <w:color w:val="000000"/>
                          <w:sz w:val="14"/>
                          <w:szCs w:val="14"/>
                        </w:rPr>
                        <w:t>Performance Indicator</w:t>
                      </w:r>
                    </w:p>
                  </w:txbxContent>
                </v:textbox>
              </v:rect>
              <v:shape id="_x0000_s3533" style="position:absolute;left:7654;top:1623;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3534" style="position:absolute;left:7885;top:1614;width:1280;height:171;mso-wrap-style:none" filled="f" stroked="f">
                <v:textbox style="mso-next-textbox:#_x0000_s3534;mso-fit-shape-to-text:t" inset="0,0,0,0">
                  <w:txbxContent>
                    <w:p w:rsidR="00E01243" w:rsidRDefault="00E01243" w:rsidP="0068257E">
                      <w:r>
                        <w:rPr>
                          <w:rFonts w:ascii="Calibri" w:hAnsi="Calibri" w:cs="Calibri"/>
                          <w:color w:val="000000"/>
                          <w:sz w:val="14"/>
                          <w:szCs w:val="14"/>
                        </w:rPr>
                        <w:t>Performance Indicator</w:t>
                      </w:r>
                    </w:p>
                  </w:txbxContent>
                </v:textbox>
              </v:rect>
              <v:shape id="_x0000_s3535" style="position:absolute;left:7654;top:1886;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3536" style="position:absolute;left:7885;top:1884;width:1280;height:171;mso-wrap-style:none" filled="f" stroked="f">
                <v:textbox style="mso-next-textbox:#_x0000_s3536;mso-fit-shape-to-text:t" inset="0,0,0,0">
                  <w:txbxContent>
                    <w:p w:rsidR="00E01243" w:rsidRDefault="00E01243" w:rsidP="0068257E">
                      <w:r>
                        <w:rPr>
                          <w:rFonts w:ascii="Calibri" w:hAnsi="Calibri" w:cs="Calibri"/>
                          <w:color w:val="000000"/>
                          <w:sz w:val="14"/>
                          <w:szCs w:val="14"/>
                        </w:rPr>
                        <w:t>Performance Indicator</w:t>
                      </w:r>
                    </w:p>
                  </w:txbxContent>
                </v:textbox>
              </v:rect>
              <v:shape id="_x0000_s3537" style="position:absolute;left:7654;top:2073;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3538" style="position:absolute;left:7885;top:2072;width:1280;height:171;mso-wrap-style:none" filled="f" stroked="f">
                <v:textbox style="mso-next-textbox:#_x0000_s3538;mso-fit-shape-to-text:t" inset="0,0,0,0">
                  <w:txbxContent>
                    <w:p w:rsidR="00E01243" w:rsidRDefault="00E01243" w:rsidP="0068257E">
                      <w:r>
                        <w:rPr>
                          <w:rFonts w:ascii="Calibri" w:hAnsi="Calibri" w:cs="Calibri"/>
                          <w:color w:val="000000"/>
                          <w:sz w:val="14"/>
                          <w:szCs w:val="14"/>
                        </w:rPr>
                        <w:t>Performance Indicator</w:t>
                      </w:r>
                    </w:p>
                  </w:txbxContent>
                </v:textbox>
              </v:rect>
              <v:shape id="_x0000_s3539" style="position:absolute;left:7654;top:2352;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3540" style="position:absolute;left:7885;top:2342;width:1280;height:171;mso-wrap-style:none" filled="f" stroked="f">
                <v:textbox style="mso-next-textbox:#_x0000_s3540;mso-fit-shape-to-text:t" inset="0,0,0,0">
                  <w:txbxContent>
                    <w:p w:rsidR="00E01243" w:rsidRDefault="00E01243" w:rsidP="0068257E">
                      <w:r>
                        <w:rPr>
                          <w:rFonts w:ascii="Calibri" w:hAnsi="Calibri" w:cs="Calibri"/>
                          <w:color w:val="000000"/>
                          <w:sz w:val="14"/>
                          <w:szCs w:val="14"/>
                        </w:rPr>
                        <w:t>Performance Indicator</w:t>
                      </w:r>
                    </w:p>
                  </w:txbxContent>
                </v:textbox>
              </v:rect>
              <v:shape id="_x0000_s3541" style="position:absolute;left:7654;top:2539;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3542" style="position:absolute;left:7885;top:2529;width:1280;height:171;mso-wrap-style:none" filled="f" stroked="f">
                <v:textbox style="mso-next-textbox:#_x0000_s3542;mso-fit-shape-to-text:t" inset="0,0,0,0">
                  <w:txbxContent>
                    <w:p w:rsidR="00E01243" w:rsidRDefault="00E01243" w:rsidP="0068257E">
                      <w:r>
                        <w:rPr>
                          <w:rFonts w:ascii="Calibri" w:hAnsi="Calibri" w:cs="Calibri"/>
                          <w:color w:val="000000"/>
                          <w:sz w:val="14"/>
                          <w:szCs w:val="14"/>
                        </w:rPr>
                        <w:t>Performance Indicator</w:t>
                      </w:r>
                    </w:p>
                  </w:txbxContent>
                </v:textbox>
              </v:rect>
              <v:shape id="_x0000_s3543" style="position:absolute;left:7654;top:2818;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3544" style="position:absolute;left:7885;top:2804;width:1280;height:171;mso-wrap-style:none" filled="f" stroked="f">
                <v:textbox style="mso-next-textbox:#_x0000_s3544;mso-fit-shape-to-text:t" inset="0,0,0,0">
                  <w:txbxContent>
                    <w:p w:rsidR="00E01243" w:rsidRDefault="00E01243" w:rsidP="0068257E">
                      <w:r>
                        <w:rPr>
                          <w:rFonts w:ascii="Calibri" w:hAnsi="Calibri" w:cs="Calibri"/>
                          <w:color w:val="000000"/>
                          <w:sz w:val="14"/>
                          <w:szCs w:val="14"/>
                        </w:rPr>
                        <w:t>Performance Indicator</w:t>
                      </w:r>
                    </w:p>
                  </w:txbxContent>
                </v:textbox>
              </v:rect>
              <v:shape id="_x0000_s3545" style="position:absolute;left:7654;top:3004;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3546" style="position:absolute;left:7885;top:2991;width:1280;height:171;mso-wrap-style:none" filled="f" stroked="f">
                <v:textbox style="mso-next-textbox:#_x0000_s3546;mso-fit-shape-to-text:t" inset="0,0,0,0">
                  <w:txbxContent>
                    <w:p w:rsidR="00E01243" w:rsidRDefault="00E01243" w:rsidP="0068257E">
                      <w:r>
                        <w:rPr>
                          <w:rFonts w:ascii="Calibri" w:hAnsi="Calibri" w:cs="Calibri"/>
                          <w:color w:val="000000"/>
                          <w:sz w:val="14"/>
                          <w:szCs w:val="14"/>
                        </w:rPr>
                        <w:t>Performance Indicator</w:t>
                      </w:r>
                    </w:p>
                  </w:txbxContent>
                </v:textbox>
              </v:rect>
              <v:shape id="_x0000_s3547" style="position:absolute;left:7654;top:3268;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3548" style="position:absolute;left:7885;top:3261;width:1280;height:171;mso-wrap-style:none" filled="f" stroked="f">
                <v:textbox style="mso-next-textbox:#_x0000_s3548;mso-fit-shape-to-text:t" inset="0,0,0,0">
                  <w:txbxContent>
                    <w:p w:rsidR="00E01243" w:rsidRDefault="00E01243" w:rsidP="0068257E">
                      <w:r>
                        <w:rPr>
                          <w:rFonts w:ascii="Calibri" w:hAnsi="Calibri" w:cs="Calibri"/>
                          <w:color w:val="000000"/>
                          <w:sz w:val="14"/>
                          <w:szCs w:val="14"/>
                        </w:rPr>
                        <w:t>Performance Indicator</w:t>
                      </w:r>
                    </w:p>
                  </w:txbxContent>
                </v:textbox>
              </v:rect>
              <v:shape id="_x0000_s3549" style="position:absolute;left:7654;top:3455;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3550" style="position:absolute;left:7885;top:3449;width:1280;height:171;mso-wrap-style:none" filled="f" stroked="f">
                <v:textbox style="mso-next-textbox:#_x0000_s3550;mso-fit-shape-to-text:t" inset="0,0,0,0">
                  <w:txbxContent>
                    <w:p w:rsidR="00E01243" w:rsidRDefault="00E01243" w:rsidP="0068257E">
                      <w:r>
                        <w:rPr>
                          <w:rFonts w:ascii="Calibri" w:hAnsi="Calibri" w:cs="Calibri"/>
                          <w:color w:val="000000"/>
                          <w:sz w:val="14"/>
                          <w:szCs w:val="14"/>
                        </w:rPr>
                        <w:t>Performance Indicator</w:t>
                      </w:r>
                    </w:p>
                  </w:txbxContent>
                </v:textbox>
              </v:rect>
              <v:shape id="_x0000_s3551" style="position:absolute;left:7654;top:3703;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3552" style="position:absolute;left:7885;top:3699;width:1280;height:171;mso-wrap-style:none" filled="f" stroked="f">
                <v:textbox style="mso-next-textbox:#_x0000_s3552;mso-fit-shape-to-text:t" inset="0,0,0,0">
                  <w:txbxContent>
                    <w:p w:rsidR="00E01243" w:rsidRDefault="00E01243" w:rsidP="0068257E">
                      <w:r>
                        <w:rPr>
                          <w:rFonts w:ascii="Calibri" w:hAnsi="Calibri" w:cs="Calibri"/>
                          <w:color w:val="000000"/>
                          <w:sz w:val="14"/>
                          <w:szCs w:val="14"/>
                        </w:rPr>
                        <w:t>Performance Indicator</w:t>
                      </w:r>
                    </w:p>
                  </w:txbxContent>
                </v:textbox>
              </v:rect>
              <v:shape id="_x0000_s3553" style="position:absolute;left:7654;top:3889;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3554" style="position:absolute;left:7885;top:3887;width:1280;height:171;mso-wrap-style:none" filled="f" stroked="f">
                <v:textbox style="mso-next-textbox:#_x0000_s3554;mso-fit-shape-to-text:t" inset="0,0,0,0">
                  <w:txbxContent>
                    <w:p w:rsidR="00E01243" w:rsidRDefault="00E01243" w:rsidP="0068257E">
                      <w:r>
                        <w:rPr>
                          <w:rFonts w:ascii="Calibri" w:hAnsi="Calibri" w:cs="Calibri"/>
                          <w:color w:val="000000"/>
                          <w:sz w:val="14"/>
                          <w:szCs w:val="14"/>
                        </w:rPr>
                        <w:t>Performance Indicator</w:t>
                      </w:r>
                    </w:p>
                  </w:txbxContent>
                </v:textbox>
              </v:rect>
              <v:shape id="_x0000_s3555" style="position:absolute;left:7654;top:4169;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3556" style="position:absolute;left:7885;top:4161;width:1280;height:171;mso-wrap-style:none" filled="f" stroked="f">
                <v:textbox style="mso-next-textbox:#_x0000_s3556;mso-fit-shape-to-text:t" inset="0,0,0,0">
                  <w:txbxContent>
                    <w:p w:rsidR="00E01243" w:rsidRDefault="00E01243" w:rsidP="0068257E">
                      <w:r>
                        <w:rPr>
                          <w:rFonts w:ascii="Calibri" w:hAnsi="Calibri" w:cs="Calibri"/>
                          <w:color w:val="000000"/>
                          <w:sz w:val="14"/>
                          <w:szCs w:val="14"/>
                        </w:rPr>
                        <w:t>Performance Indicator</w:t>
                      </w:r>
                    </w:p>
                  </w:txbxContent>
                </v:textbox>
              </v:rect>
              <v:shape id="_x0000_s3557" style="position:absolute;left:7654;top:4355;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3558" style="position:absolute;left:7885;top:4349;width:1280;height:171;mso-wrap-style:none" filled="f" stroked="f">
                <v:textbox style="mso-next-textbox:#_x0000_s3558;mso-fit-shape-to-text:t" inset="0,0,0,0">
                  <w:txbxContent>
                    <w:p w:rsidR="00E01243" w:rsidRDefault="00E01243" w:rsidP="0068257E">
                      <w:r>
                        <w:rPr>
                          <w:rFonts w:ascii="Calibri" w:hAnsi="Calibri" w:cs="Calibri"/>
                          <w:color w:val="000000"/>
                          <w:sz w:val="14"/>
                          <w:szCs w:val="14"/>
                        </w:rPr>
                        <w:t>Performance Indicator</w:t>
                      </w:r>
                    </w:p>
                  </w:txbxContent>
                </v:textbox>
              </v:rect>
              <v:shape id="_x0000_s3559" style="position:absolute;left:7654;top:4619;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3560" style="position:absolute;left:7885;top:4619;width:1280;height:171;mso-wrap-style:none" filled="f" stroked="f">
                <v:textbox style="mso-next-textbox:#_x0000_s3560;mso-fit-shape-to-text:t" inset="0,0,0,0">
                  <w:txbxContent>
                    <w:p w:rsidR="00E01243" w:rsidRDefault="00E01243" w:rsidP="0068257E">
                      <w:r>
                        <w:rPr>
                          <w:rFonts w:ascii="Calibri" w:hAnsi="Calibri" w:cs="Calibri"/>
                          <w:color w:val="000000"/>
                          <w:sz w:val="14"/>
                          <w:szCs w:val="14"/>
                        </w:rPr>
                        <w:t>Performance Indicator</w:t>
                      </w:r>
                    </w:p>
                  </w:txbxContent>
                </v:textbox>
              </v:rect>
              <v:shape id="_x0000_s3561" style="position:absolute;left:7654;top:4821;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3562" style="position:absolute;left:7885;top:4807;width:1280;height:171;mso-wrap-style:none" filled="f" stroked="f">
                <v:textbox style="mso-next-textbox:#_x0000_s3562;mso-fit-shape-to-text:t" inset="0,0,0,0">
                  <w:txbxContent>
                    <w:p w:rsidR="00E01243" w:rsidRDefault="00E01243" w:rsidP="0068257E">
                      <w:r>
                        <w:rPr>
                          <w:rFonts w:ascii="Calibri" w:hAnsi="Calibri" w:cs="Calibri"/>
                          <w:color w:val="000000"/>
                          <w:sz w:val="14"/>
                          <w:szCs w:val="14"/>
                        </w:rPr>
                        <w:t>Performance Indicator</w:t>
                      </w:r>
                    </w:p>
                  </w:txbxContent>
                </v:textbox>
              </v:rect>
              <v:shape id="_x0000_s3563" style="position:absolute;left:7654;top:5085;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3564" style="position:absolute;left:7885;top:5077;width:1280;height:171;mso-wrap-style:none" filled="f" stroked="f">
                <v:textbox style="mso-next-textbox:#_x0000_s3564;mso-fit-shape-to-text:t" inset="0,0,0,0">
                  <w:txbxContent>
                    <w:p w:rsidR="00E01243" w:rsidRDefault="00E01243" w:rsidP="0068257E">
                      <w:r>
                        <w:rPr>
                          <w:rFonts w:ascii="Calibri" w:hAnsi="Calibri" w:cs="Calibri"/>
                          <w:color w:val="000000"/>
                          <w:sz w:val="14"/>
                          <w:szCs w:val="14"/>
                        </w:rPr>
                        <w:t>Performance Indicator</w:t>
                      </w:r>
                    </w:p>
                  </w:txbxContent>
                </v:textbox>
              </v:rect>
              <v:shape id="_x0000_s3565" style="position:absolute;left:7654;top:5271;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3566" style="position:absolute;left:7885;top:5265;width:1280;height:171;mso-wrap-style:none" filled="f" stroked="f">
                <v:textbox style="mso-next-textbox:#_x0000_s3566;mso-fit-shape-to-text:t" inset="0,0,0,0">
                  <w:txbxContent>
                    <w:p w:rsidR="00E01243" w:rsidRDefault="00E01243" w:rsidP="0068257E">
                      <w:r>
                        <w:rPr>
                          <w:rFonts w:ascii="Calibri" w:hAnsi="Calibri" w:cs="Calibri"/>
                          <w:color w:val="000000"/>
                          <w:sz w:val="14"/>
                          <w:szCs w:val="14"/>
                        </w:rPr>
                        <w:t>Performance Indicator</w:t>
                      </w:r>
                    </w:p>
                  </w:txbxContent>
                </v:textbox>
              </v:rect>
              <v:shape id="_x0000_s3567" style="position:absolute;left:7654;top:5597;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3568" style="position:absolute;left:7885;top:5585;width:1280;height:171;mso-wrap-style:none" filled="f" stroked="f">
                <v:textbox style="mso-next-textbox:#_x0000_s3568;mso-fit-shape-to-text:t" inset="0,0,0,0">
                  <w:txbxContent>
                    <w:p w:rsidR="00E01243" w:rsidRDefault="00E01243" w:rsidP="0068257E">
                      <w:r>
                        <w:rPr>
                          <w:rFonts w:ascii="Calibri" w:hAnsi="Calibri" w:cs="Calibri"/>
                          <w:color w:val="000000"/>
                          <w:sz w:val="14"/>
                          <w:szCs w:val="14"/>
                        </w:rPr>
                        <w:t>Performance Indicator</w:t>
                      </w:r>
                    </w:p>
                  </w:txbxContent>
                </v:textbox>
              </v:rect>
              <v:shape id="_x0000_s3569" style="position:absolute;left:7654;top:5784;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3570" style="position:absolute;left:7885;top:5773;width:1280;height:171;mso-wrap-style:none" filled="f" stroked="f">
                <v:textbox style="mso-next-textbox:#_x0000_s3570;mso-fit-shape-to-text:t" inset="0,0,0,0">
                  <w:txbxContent>
                    <w:p w:rsidR="00E01243" w:rsidRDefault="00E01243" w:rsidP="0068257E">
                      <w:r>
                        <w:rPr>
                          <w:rFonts w:ascii="Calibri" w:hAnsi="Calibri" w:cs="Calibri"/>
                          <w:color w:val="000000"/>
                          <w:sz w:val="14"/>
                          <w:szCs w:val="14"/>
                        </w:rPr>
                        <w:t>Performance Indicator</w:t>
                      </w:r>
                    </w:p>
                  </w:txbxContent>
                </v:textbox>
              </v:rect>
              <v:shape id="_x0000_s3571" style="position:absolute;left:7654;top:6001;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3572" style="position:absolute;left:7885;top:5996;width:1280;height:171;mso-wrap-style:none" filled="f" stroked="f">
                <v:textbox style="mso-next-textbox:#_x0000_s3572;mso-fit-shape-to-text:t" inset="0,0,0,0">
                  <w:txbxContent>
                    <w:p w:rsidR="00E01243" w:rsidRDefault="00E01243" w:rsidP="0068257E">
                      <w:r>
                        <w:rPr>
                          <w:rFonts w:ascii="Calibri" w:hAnsi="Calibri" w:cs="Calibri"/>
                          <w:color w:val="000000"/>
                          <w:sz w:val="14"/>
                          <w:szCs w:val="14"/>
                        </w:rPr>
                        <w:t>Performance Indicator</w:t>
                      </w:r>
                    </w:p>
                  </w:txbxContent>
                </v:textbox>
              </v:rect>
              <v:shape id="_x0000_s3573" style="position:absolute;left:7654;top:6187;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3574" style="position:absolute;left:7885;top:6184;width:1280;height:171;mso-wrap-style:none" filled="f" stroked="f">
                <v:textbox style="mso-next-textbox:#_x0000_s3574;mso-fit-shape-to-text:t" inset="0,0,0,0">
                  <w:txbxContent>
                    <w:p w:rsidR="00E01243" w:rsidRDefault="00E01243" w:rsidP="0068257E">
                      <w:r>
                        <w:rPr>
                          <w:rFonts w:ascii="Calibri" w:hAnsi="Calibri" w:cs="Calibri"/>
                          <w:color w:val="000000"/>
                          <w:sz w:val="14"/>
                          <w:szCs w:val="14"/>
                        </w:rPr>
                        <w:t>Performance Indicator</w:t>
                      </w:r>
                    </w:p>
                  </w:txbxContent>
                </v:textbox>
              </v:rect>
              <v:rect id="_x0000_s3575" style="position:absolute;left:5492;top:62;width:1825;height:326" stroked="f"/>
              <v:shape id="_x0000_s3576" style="position:absolute;left:5485;top:54;width:1839;height:342" coordsize="2144,352" path="m,8hdc,4,4,,8,hal2136,hdc2141,,2144,4,2144,8hal2144,344hdc2144,349,2141,352,2136,352hal8,352hdc4,352,,349,,344hal,8hdxm16,344hal8,336r2128,l2128,344r,-336l2136,16,8,16,16,8r,336hdxe" fillcolor="black" strokeweight=".05pt">
                <v:path arrowok="t"/>
                <o:lock v:ext="edit" verticies="t"/>
              </v:shape>
              <v:rect id="_x0000_s3577" style="position:absolute;left:5640;top:100;width:1680;height:244;mso-wrap-style:none" filled="f" stroked="f">
                <v:textbox style="mso-next-textbox:#_x0000_s3577;mso-fit-shape-to-text:t" inset="0,0,0,0">
                  <w:txbxContent>
                    <w:p w:rsidR="00E01243" w:rsidRDefault="00E01243" w:rsidP="0068257E">
                      <w:r>
                        <w:rPr>
                          <w:rFonts w:ascii="Calibri" w:hAnsi="Calibri" w:cs="Calibri"/>
                          <w:color w:val="000000"/>
                          <w:sz w:val="20"/>
                          <w:szCs w:val="20"/>
                        </w:rPr>
                        <w:t>Strategic Objective 1</w:t>
                      </w:r>
                    </w:p>
                  </w:txbxContent>
                </v:textbox>
              </v:rect>
              <v:rect id="_x0000_s3578" style="position:absolute;left:3336;top:761;width:1826;height:683" stroked="f"/>
              <v:shape id="_x0000_s3579" style="position:absolute;left:3329;top:753;width:1840;height:699" coordsize="2144,720" path="m,8hdc,4,4,,8,hal2136,hdc2141,,2144,4,2144,8hal2144,712hdc2144,717,2141,720,2136,720hal8,720hdc4,720,,717,,712hal,8hdxm16,712hal8,704r2128,l2128,712r,-704l2136,16,8,16,16,8r,704hdxe" fillcolor="black" strokeweight=".05pt">
                <v:path arrowok="t"/>
                <o:lock v:ext="edit" verticies="t"/>
              </v:shape>
              <v:rect id="_x0000_s3580" style="position:absolute;left:3920;top:759;width:711;height:244;mso-wrap-style:none" filled="f" stroked="f">
                <v:textbox style="mso-next-textbox:#_x0000_s3580;mso-fit-shape-to-text:t" inset="0,0,0,0">
                  <w:txbxContent>
                    <w:p w:rsidR="00E01243" w:rsidRDefault="00E01243" w:rsidP="0068257E">
                      <w:r>
                        <w:rPr>
                          <w:rFonts w:ascii="Calibri" w:hAnsi="Calibri" w:cs="Calibri"/>
                          <w:color w:val="000000"/>
                          <w:sz w:val="20"/>
                          <w:szCs w:val="20"/>
                        </w:rPr>
                        <w:t>Firearms</w:t>
                      </w:r>
                    </w:p>
                  </w:txbxContent>
                </v:textbox>
              </v:rect>
              <v:rect id="_x0000_s3581" style="position:absolute;left:3495;top:961;width:1676;height:244;mso-wrap-style:none" filled="f" stroked="f">
                <v:textbox style="mso-next-textbox:#_x0000_s3581;mso-fit-shape-to-text:t" inset="0,0,0,0">
                  <w:txbxContent>
                    <w:p w:rsidR="00E01243" w:rsidRDefault="00E01243" w:rsidP="0068257E">
                      <w:r>
                        <w:rPr>
                          <w:rFonts w:ascii="Calibri" w:hAnsi="Calibri" w:cs="Calibri"/>
                          <w:color w:val="000000"/>
                          <w:sz w:val="20"/>
                          <w:szCs w:val="20"/>
                        </w:rPr>
                        <w:t>Criminal Possessions</w:t>
                      </w:r>
                    </w:p>
                  </w:txbxContent>
                </v:textbox>
              </v:rect>
              <v:rect id="_x0000_s3582" style="position:absolute;left:3961;top:1177;width:658;height:244;mso-wrap-style:none" filled="f" stroked="f">
                <v:textbox style="mso-next-textbox:#_x0000_s3582;mso-fit-shape-to-text:t" inset="0,0,0,0">
                  <w:txbxContent>
                    <w:p w:rsidR="00E01243" w:rsidRDefault="00E01243" w:rsidP="0068257E">
                      <w:r>
                        <w:rPr>
                          <w:rFonts w:ascii="Calibri" w:hAnsi="Calibri" w:cs="Calibri"/>
                          <w:color w:val="000000"/>
                          <w:sz w:val="20"/>
                          <w:szCs w:val="20"/>
                        </w:rPr>
                        <w:t>and Use</w:t>
                      </w:r>
                    </w:p>
                  </w:txbxContent>
                </v:textbox>
              </v:rect>
              <v:rect id="_x0000_s3583" style="position:absolute;left:5492;top:543;width:1825;height:311" stroked="f"/>
              <v:shape id="_x0000_s3584" style="position:absolute;left:5485;top:536;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3585" style="position:absolute;left:5640;top:569;width:1680;height:244;mso-wrap-style:none" filled="f" stroked="f">
                <v:textbox style="mso-next-textbox:#_x0000_s3585;mso-fit-shape-to-text:t" inset="0,0,0,0">
                  <w:txbxContent>
                    <w:p w:rsidR="00E01243" w:rsidRDefault="00E01243" w:rsidP="0068257E">
                      <w:r>
                        <w:rPr>
                          <w:rFonts w:ascii="Calibri" w:hAnsi="Calibri" w:cs="Calibri"/>
                          <w:color w:val="000000"/>
                          <w:sz w:val="20"/>
                          <w:szCs w:val="20"/>
                        </w:rPr>
                        <w:t>Strategic Objective 2</w:t>
                      </w:r>
                    </w:p>
                  </w:txbxContent>
                </v:textbox>
              </v:rect>
              <v:rect id="_x0000_s3586" style="position:absolute;left:5492;top:994;width:1825;height:310" stroked="f"/>
              <v:shape id="_x0000_s3587" style="position:absolute;left:5485;top:986;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3588" style="position:absolute;left:5640;top:1023;width:1680;height:244;mso-wrap-style:none" filled="f" stroked="f">
                <v:textbox style="mso-next-textbox:#_x0000_s3588;mso-fit-shape-to-text:t" inset="0,0,0,0">
                  <w:txbxContent>
                    <w:p w:rsidR="00E01243" w:rsidRDefault="00E01243" w:rsidP="0068257E">
                      <w:r>
                        <w:rPr>
                          <w:rFonts w:ascii="Calibri" w:hAnsi="Calibri" w:cs="Calibri"/>
                          <w:color w:val="000000"/>
                          <w:sz w:val="20"/>
                          <w:szCs w:val="20"/>
                        </w:rPr>
                        <w:t>Strategic Objective 1</w:t>
                      </w:r>
                    </w:p>
                  </w:txbxContent>
                </v:textbox>
              </v:rect>
              <v:rect id="_x0000_s3589" style="position:absolute;left:5492;top:1444;width:1825;height:311" stroked="f"/>
              <v:shape id="_x0000_s3590" style="position:absolute;left:5485;top:1436;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3591" style="position:absolute;left:5640;top:1477;width:1680;height:244;mso-wrap-style:none" filled="f" stroked="f">
                <v:textbox style="mso-next-textbox:#_x0000_s3591;mso-fit-shape-to-text:t" inset="0,0,0,0">
                  <w:txbxContent>
                    <w:p w:rsidR="00E01243" w:rsidRDefault="00E01243" w:rsidP="0068257E">
                      <w:r>
                        <w:rPr>
                          <w:rFonts w:ascii="Calibri" w:hAnsi="Calibri" w:cs="Calibri"/>
                          <w:color w:val="000000"/>
                          <w:sz w:val="20"/>
                          <w:szCs w:val="20"/>
                        </w:rPr>
                        <w:t>Strategic Objective 1</w:t>
                      </w:r>
                    </w:p>
                  </w:txbxContent>
                </v:textbox>
              </v:rect>
              <v:rect id="_x0000_s3592" style="position:absolute;left:5492;top:1894;width:1825;height:311" stroked="f"/>
              <v:shape id="_x0000_s3593" style="position:absolute;left:5485;top:1886;width:1839;height:327" coordsize="2144,336" path="m,8hdc,4,4,,8,hal2136,hdc2141,,2144,4,2144,8hal2144,328hdc2144,333,2141,336,2136,336hal8,336hdc4,336,,333,,328hal,8hdxm16,328hal8,320r2128,l2128,328r,-320l2136,16,8,16,16,8r,320hdxe" fillcolor="black" strokeweight=".05pt">
                <v:path arrowok="t"/>
                <o:lock v:ext="edit" verticies="t"/>
              </v:shape>
              <v:rect id="_x0000_s3594" style="position:absolute;left:5640;top:1931;width:1680;height:244;mso-wrap-style:none" filled="f" stroked="f">
                <v:textbox style="mso-next-textbox:#_x0000_s3594;mso-fit-shape-to-text:t" inset="0,0,0,0">
                  <w:txbxContent>
                    <w:p w:rsidR="00E01243" w:rsidRDefault="00E01243" w:rsidP="0068257E">
                      <w:r>
                        <w:rPr>
                          <w:rFonts w:ascii="Calibri" w:hAnsi="Calibri" w:cs="Calibri"/>
                          <w:color w:val="000000"/>
                          <w:sz w:val="20"/>
                          <w:szCs w:val="20"/>
                        </w:rPr>
                        <w:t>Strategic Objective 1</w:t>
                      </w:r>
                    </w:p>
                  </w:txbxContent>
                </v:textbox>
              </v:rect>
              <v:rect id="_x0000_s3595" style="position:absolute;left:5492;top:2376;width:1825;height:310" stroked="f"/>
              <v:shape id="_x0000_s3596" style="position:absolute;left:5485;top:2368;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3597" style="position:absolute;left:5640;top:2400;width:1680;height:244;mso-wrap-style:none" filled="f" stroked="f">
                <v:textbox style="mso-next-textbox:#_x0000_s3597;mso-fit-shape-to-text:t" inset="0,0,0,0">
                  <w:txbxContent>
                    <w:p w:rsidR="00E01243" w:rsidRDefault="00E01243" w:rsidP="0068257E">
                      <w:r>
                        <w:rPr>
                          <w:rFonts w:ascii="Calibri" w:hAnsi="Calibri" w:cs="Calibri"/>
                          <w:color w:val="000000"/>
                          <w:sz w:val="20"/>
                          <w:szCs w:val="20"/>
                        </w:rPr>
                        <w:t>Strategic Objective 2</w:t>
                      </w:r>
                    </w:p>
                  </w:txbxContent>
                </v:textbox>
              </v:rect>
              <v:rect id="_x0000_s3598" style="position:absolute;left:5492;top:2826;width:1825;height:310" stroked="f"/>
              <v:shape id="_x0000_s3599" style="position:absolute;left:5485;top:2818;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3600" style="position:absolute;left:5640;top:2854;width:1680;height:244;mso-wrap-style:none" filled="f" stroked="f">
                <v:textbox style="mso-next-textbox:#_x0000_s3600;mso-fit-shape-to-text:t" inset="0,0,0,0">
                  <w:txbxContent>
                    <w:p w:rsidR="00E01243" w:rsidRDefault="00E01243" w:rsidP="0068257E">
                      <w:r>
                        <w:rPr>
                          <w:rFonts w:ascii="Calibri" w:hAnsi="Calibri" w:cs="Calibri"/>
                          <w:color w:val="000000"/>
                          <w:sz w:val="20"/>
                          <w:szCs w:val="20"/>
                        </w:rPr>
                        <w:t>Strategic Objective 1</w:t>
                      </w:r>
                    </w:p>
                  </w:txbxContent>
                </v:textbox>
              </v:rect>
              <v:rect id="_x0000_s3601" style="position:absolute;left:5492;top:3276;width:1825;height:326" stroked="f"/>
              <v:shape id="_x0000_s3602" style="position:absolute;left:5485;top:3268;width:1839;height:342" coordsize="2144,352" path="m,8hdc,4,4,,8,hal2136,hdc2141,,2144,4,2144,8hal2144,344hdc2144,349,2141,352,2136,352hal8,352hdc4,352,,349,,344hal,8hdxm16,344hal8,336r2128,l2128,344r,-336l2136,16,8,16,16,8r,336hdxe" fillcolor="black" strokeweight=".05pt">
                <v:path arrowok="t"/>
                <o:lock v:ext="edit" verticies="t"/>
              </v:shape>
              <v:rect id="_x0000_s3603" style="position:absolute;left:5640;top:3316;width:1680;height:244;mso-wrap-style:none" filled="f" stroked="f">
                <v:textbox style="mso-next-textbox:#_x0000_s3603;mso-fit-shape-to-text:t" inset="0,0,0,0">
                  <w:txbxContent>
                    <w:p w:rsidR="00E01243" w:rsidRDefault="00E01243" w:rsidP="0068257E">
                      <w:r>
                        <w:rPr>
                          <w:rFonts w:ascii="Calibri" w:hAnsi="Calibri" w:cs="Calibri"/>
                          <w:color w:val="000000"/>
                          <w:sz w:val="20"/>
                          <w:szCs w:val="20"/>
                        </w:rPr>
                        <w:t>Strategic Objective 2</w:t>
                      </w:r>
                    </w:p>
                  </w:txbxContent>
                </v:textbox>
              </v:rect>
              <v:rect id="_x0000_s3604" style="position:absolute;left:5492;top:3726;width:1825;height:311" stroked="f"/>
              <v:shape id="_x0000_s3605" style="position:absolute;left:5485;top:3719;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3606" style="position:absolute;left:5640;top:3762;width:1680;height:244;mso-wrap-style:none" filled="f" stroked="f">
                <v:textbox style="mso-next-textbox:#_x0000_s3606;mso-fit-shape-to-text:t" inset="0,0,0,0">
                  <w:txbxContent>
                    <w:p w:rsidR="00E01243" w:rsidRDefault="00E01243" w:rsidP="0068257E">
                      <w:r>
                        <w:rPr>
                          <w:rFonts w:ascii="Calibri" w:hAnsi="Calibri" w:cs="Calibri"/>
                          <w:color w:val="000000"/>
                          <w:sz w:val="20"/>
                          <w:szCs w:val="20"/>
                        </w:rPr>
                        <w:t>Strategic Objective 1</w:t>
                      </w:r>
                    </w:p>
                  </w:txbxContent>
                </v:textbox>
              </v:rect>
              <v:rect id="_x0000_s3607" style="position:absolute;left:5492;top:4192;width:1825;height:326" stroked="f"/>
              <v:shape id="_x0000_s3608" style="position:absolute;left:5485;top:4184;width:1839;height:342" coordsize="2144,352" path="m,8hdc,4,4,,8,hal2136,hdc2141,,2144,4,2144,8hal2144,344hdc2144,349,2141,352,2136,352hal8,352hdc4,352,,349,,344hal,8hdxm16,344hal8,336r2128,l2128,344r,-336l2136,16,8,16,16,8r,336hdxe" fillcolor="black" strokeweight=".05pt">
                <v:path arrowok="t"/>
                <o:lock v:ext="edit" verticies="t"/>
              </v:shape>
              <v:rect id="_x0000_s3609" style="position:absolute;left:5640;top:4232;width:1680;height:244;mso-wrap-style:none" filled="f" stroked="f">
                <v:textbox style="mso-next-textbox:#_x0000_s3609;mso-fit-shape-to-text:t" inset="0,0,0,0">
                  <w:txbxContent>
                    <w:p w:rsidR="00E01243" w:rsidRDefault="00E01243" w:rsidP="0068257E">
                      <w:r>
                        <w:rPr>
                          <w:rFonts w:ascii="Calibri" w:hAnsi="Calibri" w:cs="Calibri"/>
                          <w:color w:val="000000"/>
                          <w:sz w:val="20"/>
                          <w:szCs w:val="20"/>
                        </w:rPr>
                        <w:t>Strategic Objective 1</w:t>
                      </w:r>
                    </w:p>
                  </w:txbxContent>
                </v:textbox>
              </v:rect>
              <v:rect id="_x0000_s3610" style="position:absolute;left:5492;top:4642;width:1825;height:311" stroked="f"/>
              <v:shape id="_x0000_s3611" style="position:absolute;left:5485;top:4635;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3612" style="position:absolute;left:5640;top:4670;width:1680;height:244;mso-wrap-style:none" filled="f" stroked="f">
                <v:textbox style="mso-next-textbox:#_x0000_s3612;mso-fit-shape-to-text:t" inset="0,0,0,0">
                  <w:txbxContent>
                    <w:p w:rsidR="00E01243" w:rsidRDefault="00E01243" w:rsidP="0068257E">
                      <w:r>
                        <w:rPr>
                          <w:rFonts w:ascii="Calibri" w:hAnsi="Calibri" w:cs="Calibri"/>
                          <w:color w:val="000000"/>
                          <w:sz w:val="20"/>
                          <w:szCs w:val="20"/>
                        </w:rPr>
                        <w:t>Strategic Objective 2</w:t>
                      </w:r>
                    </w:p>
                  </w:txbxContent>
                </v:textbox>
              </v:rect>
              <v:rect id="_x0000_s3613" style="position:absolute;left:5492;top:5093;width:1825;height:310" stroked="f"/>
              <v:shape id="_x0000_s3614" style="position:absolute;left:5485;top:5085;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3615" style="position:absolute;left:5640;top:5124;width:1680;height:244;mso-wrap-style:none" filled="f" stroked="f">
                <v:textbox style="mso-next-textbox:#_x0000_s3615;mso-fit-shape-to-text:t" inset="0,0,0,0">
                  <w:txbxContent>
                    <w:p w:rsidR="00E01243" w:rsidRDefault="00E01243" w:rsidP="0068257E">
                      <w:r>
                        <w:rPr>
                          <w:rFonts w:ascii="Calibri" w:hAnsi="Calibri" w:cs="Calibri"/>
                          <w:color w:val="000000"/>
                          <w:sz w:val="20"/>
                          <w:szCs w:val="20"/>
                        </w:rPr>
                        <w:t>Strategic Objective 1</w:t>
                      </w:r>
                    </w:p>
                  </w:txbxContent>
                </v:textbox>
              </v:rect>
              <v:rect id="_x0000_s3616" style="position:absolute;left:5492;top:5605;width:1825;height:326" stroked="f"/>
              <v:shape id="_x0000_s3617" style="position:absolute;left:5485;top:5597;width:1839;height:342" coordsize="2144,352" path="m,8hdc,4,4,,8,hal2136,hdc2141,,2144,4,2144,8hal2144,344hdc2144,349,2141,352,2136,352hal8,352hdc4,352,,349,,344hal,8hdxm16,344hal8,336r2128,l2128,344r,-336l2136,16,8,16,16,8r,336hdxe" fillcolor="black" strokeweight=".05pt">
                <v:path arrowok="t"/>
                <o:lock v:ext="edit" verticies="t"/>
              </v:shape>
              <v:rect id="_x0000_s3618" style="position:absolute;left:5640;top:5644;width:1680;height:244;mso-wrap-style:none" filled="f" stroked="f">
                <v:textbox style="mso-next-textbox:#_x0000_s3618;mso-fit-shape-to-text:t" inset="0,0,0,0">
                  <w:txbxContent>
                    <w:p w:rsidR="00E01243" w:rsidRDefault="00E01243" w:rsidP="0068257E">
                      <w:r>
                        <w:rPr>
                          <w:rFonts w:ascii="Calibri" w:hAnsi="Calibri" w:cs="Calibri"/>
                          <w:color w:val="000000"/>
                          <w:sz w:val="20"/>
                          <w:szCs w:val="20"/>
                        </w:rPr>
                        <w:t>Strategic Objective 1</w:t>
                      </w:r>
                    </w:p>
                  </w:txbxContent>
                </v:textbox>
              </v:rect>
              <v:rect id="_x0000_s3619" style="position:absolute;left:5492;top:6024;width:1825;height:311" stroked="f"/>
              <v:shape id="_x0000_s3620" style="position:absolute;left:5485;top:6017;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3621" style="position:absolute;left:5640;top:6055;width:1680;height:244;mso-wrap-style:none" filled="f" stroked="f">
                <v:textbox style="mso-next-textbox:#_x0000_s3621;mso-fit-shape-to-text:t" inset="0,0,0,0">
                  <w:txbxContent>
                    <w:p w:rsidR="00E01243" w:rsidRDefault="00E01243" w:rsidP="0068257E">
                      <w:r>
                        <w:rPr>
                          <w:rFonts w:ascii="Calibri" w:hAnsi="Calibri" w:cs="Calibri"/>
                          <w:color w:val="000000"/>
                          <w:sz w:val="20"/>
                          <w:szCs w:val="20"/>
                        </w:rPr>
                        <w:t>Strategic Objective 1</w:t>
                      </w:r>
                    </w:p>
                  </w:txbxContent>
                </v:textbox>
              </v:rect>
              <v:rect id="_x0000_s3622" style="position:absolute;left:3336;top:62;width:1826;height:575" stroked="f"/>
              <v:shape id="_x0000_s3623" style="position:absolute;left:3329;top:54;width:1840;height:590" coordsize="2144,608" path="m,8hdc,4,4,,8,hal2136,hdc2141,,2144,4,2144,8hal2144,600hdc2144,605,2141,608,2136,608hal8,608hdc4,608,,605,,600hal,8hdxm16,600hal8,592r2128,l2128,600r,-592l2136,16,8,16,16,8r,592hdxe" fillcolor="black" strokeweight=".05pt">
                <v:path arrowok="t"/>
                <o:lock v:ext="edit" verticies="t"/>
              </v:shape>
              <v:rect id="_x0000_s3624" style="position:absolute;left:4030;top:106;width:478;height:244;mso-wrap-style:none" filled="f" stroked="f">
                <v:textbox style="mso-next-textbox:#_x0000_s3624;mso-fit-shape-to-text:t" inset="0,0,0,0">
                  <w:txbxContent>
                    <w:p w:rsidR="00E01243" w:rsidRDefault="00E01243" w:rsidP="0068257E">
                      <w:r>
                        <w:rPr>
                          <w:rFonts w:ascii="Calibri" w:hAnsi="Calibri" w:cs="Calibri"/>
                          <w:color w:val="000000"/>
                          <w:sz w:val="20"/>
                          <w:szCs w:val="20"/>
                        </w:rPr>
                        <w:t>Illegal</w:t>
                      </w:r>
                    </w:p>
                  </w:txbxContent>
                </v:textbox>
              </v:rect>
              <v:rect id="_x0000_s3625" style="position:absolute;left:3522;top:338;width:1608;height:244;mso-wrap-style:none" filled="f" stroked="f">
                <v:textbox style="mso-next-textbox:#_x0000_s3625;mso-fit-shape-to-text:t" inset="0,0,0,0">
                  <w:txbxContent>
                    <w:p w:rsidR="00E01243" w:rsidRDefault="00E01243" w:rsidP="0068257E">
                      <w:r>
                        <w:rPr>
                          <w:rFonts w:ascii="Calibri" w:hAnsi="Calibri" w:cs="Calibri"/>
                          <w:color w:val="000000"/>
                          <w:sz w:val="20"/>
                          <w:szCs w:val="20"/>
                        </w:rPr>
                        <w:t>Firearms Trafficking</w:t>
                      </w:r>
                    </w:p>
                  </w:txbxContent>
                </v:textbox>
              </v:rect>
              <v:rect id="_x0000_s3626" style="position:absolute;left:3336;top:1568;width:1826;height:497" stroked="f"/>
              <v:shape id="_x0000_s3627" style="position:absolute;left:3329;top:1560;width:1840;height:513" coordsize="2144,528" path="m,8hdc,4,4,,8,hal2136,hdc2141,,2144,4,2144,8hal2144,520hdc2144,525,2141,528,2136,528hal8,528hdc4,528,,525,,520hal,8hdxm16,520hal8,512r2128,l2128,520r,-512l2136,16,8,16,16,8r,512hdxe" fillcolor="black" strokeweight=".05pt">
                <v:path arrowok="t"/>
                <o:lock v:ext="edit" verticies="t"/>
              </v:shape>
              <v:rect id="_x0000_s3628" style="position:absolute;left:3920;top:1575;width:711;height:244;mso-wrap-style:none" filled="f" stroked="f">
                <v:textbox style="mso-next-textbox:#_x0000_s3628;mso-fit-shape-to-text:t" inset="0,0,0,0">
                  <w:txbxContent>
                    <w:p w:rsidR="00E01243" w:rsidRDefault="00E01243" w:rsidP="0068257E">
                      <w:r>
                        <w:rPr>
                          <w:rFonts w:ascii="Calibri" w:hAnsi="Calibri" w:cs="Calibri"/>
                          <w:color w:val="000000"/>
                          <w:sz w:val="20"/>
                          <w:szCs w:val="20"/>
                        </w:rPr>
                        <w:t>Firearms</w:t>
                      </w:r>
                    </w:p>
                  </w:txbxContent>
                </v:textbox>
              </v:rect>
              <v:rect id="_x0000_s3629" style="position:absolute;left:3508;top:1777;width:1621;height:244;mso-wrap-style:none" filled="f" stroked="f">
                <v:textbox style="mso-next-textbox:#_x0000_s3629;mso-fit-shape-to-text:t" inset="0,0,0,0">
                  <w:txbxContent>
                    <w:p w:rsidR="00E01243" w:rsidRDefault="00E01243" w:rsidP="0068257E">
                      <w:r>
                        <w:rPr>
                          <w:rFonts w:ascii="Calibri" w:hAnsi="Calibri" w:cs="Calibri"/>
                          <w:color w:val="000000"/>
                          <w:sz w:val="20"/>
                          <w:szCs w:val="20"/>
                        </w:rPr>
                        <w:t>Industry Operations</w:t>
                      </w:r>
                    </w:p>
                  </w:txbxContent>
                </v:textbox>
              </v:rect>
              <v:rect id="_x0000_s3630" style="position:absolute;left:3336;top:2174;width:1826;height:512" stroked="f"/>
              <v:shape id="_x0000_s3631" style="position:absolute;left:3329;top:2166;width:1840;height:528" coordsize="2144,544" path="m,8hdc,4,4,,8,hal2136,hdc2141,,2144,4,2144,8hal2144,536hdc2144,541,2141,544,2136,544hal8,544hdc4,544,,541,,536hal,8hdxm16,536hal8,528r2128,l2128,536r,-528l2136,16,8,16,16,8r,528hdxe" fillcolor="black" strokeweight=".05pt">
                <v:path arrowok="t"/>
                <o:lock v:ext="edit" verticies="t"/>
              </v:shape>
              <v:rect id="_x0000_s3632" style="position:absolute;left:3659;top:2193;width:1310;height:244;mso-wrap-style:none" filled="f" stroked="f">
                <v:textbox style="mso-next-textbox:#_x0000_s3632;mso-fit-shape-to-text:t" inset="0,0,0,0">
                  <w:txbxContent>
                    <w:p w:rsidR="00E01243" w:rsidRDefault="00E01243" w:rsidP="0068257E">
                      <w:r>
                        <w:rPr>
                          <w:rFonts w:ascii="Calibri" w:hAnsi="Calibri" w:cs="Calibri"/>
                          <w:color w:val="000000"/>
                          <w:sz w:val="20"/>
                          <w:szCs w:val="20"/>
                        </w:rPr>
                        <w:t>Criminal Groups</w:t>
                      </w:r>
                    </w:p>
                  </w:txbxContent>
                </v:textbox>
              </v:rect>
              <v:rect id="_x0000_s3633" style="position:absolute;left:3879;top:2395;width:851;height:244;mso-wrap-style:none" filled="f" stroked="f">
                <v:textbox style="mso-next-textbox:#_x0000_s3633;mso-fit-shape-to-text:t" inset="0,0,0,0">
                  <w:txbxContent>
                    <w:p w:rsidR="00E01243" w:rsidRDefault="00E01243" w:rsidP="0068257E">
                      <w:r>
                        <w:rPr>
                          <w:rFonts w:ascii="Calibri" w:hAnsi="Calibri" w:cs="Calibri"/>
                          <w:color w:val="000000"/>
                          <w:sz w:val="20"/>
                          <w:szCs w:val="20"/>
                        </w:rPr>
                        <w:t>and Gangs</w:t>
                      </w:r>
                    </w:p>
                  </w:txbxContent>
                </v:textbox>
              </v:rect>
              <v:rect id="_x0000_s3634" style="position:absolute;left:7489;top:140;width:41;height:188" fillcolor="black" strokeweight=".05pt">
                <v:stroke joinstyle="round"/>
              </v:rect>
              <v:rect id="_x0000_s3635" style="position:absolute;left:7496;top:116;width:166;height:47" fillcolor="black" strokeweight=".05pt">
                <v:stroke joinstyle="round"/>
              </v:rect>
              <v:rect id="_x0000_s3636" style="position:absolute;left:7496;top:287;width:166;height:47" fillcolor="black" strokeweight=".05pt">
                <v:stroke joinstyle="round"/>
              </v:rect>
              <v:rect id="_x0000_s3637" style="position:absolute;left:7331;top:210;width:177;height:46" fillcolor="black" strokeweight=".05pt">
                <v:stroke joinstyle="round"/>
              </v:rect>
              <v:rect id="_x0000_s3638" style="position:absolute;left:7489;top:606;width:41;height:188" fillcolor="black" strokeweight=".05pt">
                <v:stroke joinstyle="round"/>
              </v:rect>
              <v:rect id="_x0000_s3639" style="position:absolute;left:7496;top:582;width:166;height:47" fillcolor="black" strokeweight=".05pt">
                <v:stroke joinstyle="round"/>
              </v:rect>
              <v:rect id="_x0000_s3640" style="position:absolute;left:7496;top:753;width:166;height:47" fillcolor="black" strokeweight=".05pt">
                <v:stroke joinstyle="round"/>
              </v:rect>
              <v:rect id="_x0000_s3641" style="position:absolute;left:7331;top:675;width:177;height:47" fillcolor="black" strokeweight=".05pt">
                <v:stroke joinstyle="round"/>
              </v:rect>
              <v:rect id="_x0000_s3642" style="position:absolute;left:7489;top:1071;width:41;height:189" fillcolor="black" strokeweight=".05pt">
                <v:stroke joinstyle="round"/>
              </v:rect>
              <v:rect id="_x0000_s3643" style="position:absolute;left:7496;top:1048;width:166;height:47" fillcolor="black" strokeweight=".05pt">
                <v:stroke joinstyle="round"/>
              </v:rect>
              <v:rect id="_x0000_s3644" style="position:absolute;left:7496;top:1219;width:166;height:46" fillcolor="black" strokeweight=".05pt">
                <v:stroke joinstyle="round"/>
              </v:rect>
              <v:rect id="_x0000_s3645" style="position:absolute;left:7331;top:1126;width:177;height:46" fillcolor="black" strokeweight=".05pt">
                <v:stroke joinstyle="round"/>
              </v:rect>
              <v:rect id="_x0000_s3646" style="position:absolute;left:7489;top:1522;width:41;height:188" fillcolor="black" strokeweight=".05pt">
                <v:stroke joinstyle="round"/>
              </v:rect>
              <v:rect id="_x0000_s3647" style="position:absolute;left:7496;top:1498;width:166;height:47" fillcolor="black" strokeweight=".05pt">
                <v:stroke joinstyle="round"/>
              </v:rect>
              <v:rect id="_x0000_s3648" style="position:absolute;left:7496;top:1669;width:166;height:47" fillcolor="black" strokeweight=".05pt">
                <v:stroke joinstyle="round"/>
              </v:rect>
              <v:rect id="_x0000_s3649" style="position:absolute;left:7331;top:1591;width:177;height:47" fillcolor="black" strokeweight=".05pt">
                <v:stroke joinstyle="round"/>
              </v:rect>
              <v:rect id="_x0000_s3650" style="position:absolute;left:7489;top:1987;width:41;height:189" fillcolor="black" strokeweight=".05pt">
                <v:stroke joinstyle="round"/>
              </v:rect>
              <v:rect id="_x0000_s3651" style="position:absolute;left:7496;top:1964;width:166;height:47" fillcolor="black" strokeweight=".05pt">
                <v:stroke joinstyle="round"/>
              </v:rect>
              <v:rect id="_x0000_s3652" style="position:absolute;left:7496;top:2135;width:166;height:46" fillcolor="black" strokeweight=".05pt">
                <v:stroke joinstyle="round"/>
              </v:rect>
              <v:rect id="_x0000_s3653" style="position:absolute;left:7331;top:2042;width:177;height:46" fillcolor="black" strokeweight=".05pt">
                <v:stroke joinstyle="round"/>
              </v:rect>
              <v:rect id="_x0000_s3654" style="position:absolute;left:7489;top:2438;width:41;height:188" fillcolor="black" strokeweight=".05pt">
                <v:stroke joinstyle="round"/>
              </v:rect>
              <v:rect id="_x0000_s3655" style="position:absolute;left:7496;top:2414;width:166;height:47" fillcolor="black" strokeweight=".05pt">
                <v:stroke joinstyle="round"/>
              </v:rect>
              <v:rect id="_x0000_s3656" style="position:absolute;left:7496;top:2585;width:166;height:47" fillcolor="black" strokeweight=".05pt">
                <v:stroke joinstyle="round"/>
              </v:rect>
              <v:rect id="_x0000_s3657" style="position:absolute;left:7331;top:2508;width:177;height:46" fillcolor="black" strokeweight=".05pt">
                <v:stroke joinstyle="round"/>
              </v:rect>
              <v:rect id="_x0000_s3658" style="position:absolute;left:7489;top:2903;width:41;height:189" fillcolor="black" strokeweight=".05pt">
                <v:stroke joinstyle="round"/>
              </v:rect>
              <v:rect id="_x0000_s3659" style="position:absolute;left:7496;top:2880;width:166;height:47" fillcolor="black" strokeweight=".05pt">
                <v:stroke joinstyle="round"/>
              </v:rect>
              <v:rect id="_x0000_s3660" style="position:absolute;left:7496;top:3051;width:166;height:47" fillcolor="black" strokeweight=".05pt">
                <v:stroke joinstyle="round"/>
              </v:rect>
              <v:rect id="_x0000_s3661" style="position:absolute;left:7331;top:2958;width:177;height:46" fillcolor="black" strokeweight=".05pt">
                <v:stroke joinstyle="round"/>
              </v:rect>
              <v:rect id="_x0000_s3662" style="position:absolute;left:7489;top:3369;width:41;height:189" fillcolor="black" strokeweight=".05pt">
                <v:stroke joinstyle="round"/>
              </v:rect>
              <v:rect id="_x0000_s3663" style="position:absolute;left:7496;top:3346;width:166;height:47" fillcolor="black" strokeweight=".05pt">
                <v:stroke joinstyle="round"/>
              </v:rect>
              <v:rect id="_x0000_s3664" style="position:absolute;left:7496;top:3517;width:166;height:46" fillcolor="black" strokeweight=".05pt">
                <v:stroke joinstyle="round"/>
              </v:rect>
              <v:rect id="_x0000_s3665" style="position:absolute;left:7331;top:3424;width:177;height:46" fillcolor="black" strokeweight=".05pt">
                <v:stroke joinstyle="round"/>
              </v:rect>
              <v:rect id="_x0000_s3666" style="position:absolute;left:7489;top:3804;width:41;height:188" fillcolor="black" strokeweight=".05pt">
                <v:stroke joinstyle="round"/>
              </v:rect>
              <v:rect id="_x0000_s3667" style="position:absolute;left:7496;top:3781;width:166;height:46" fillcolor="black" strokeweight=".05pt">
                <v:stroke joinstyle="round"/>
              </v:rect>
              <v:rect id="_x0000_s3668" style="position:absolute;left:7496;top:3952;width:166;height:46" fillcolor="black" strokeweight=".05pt">
                <v:stroke joinstyle="round"/>
              </v:rect>
              <v:rect id="_x0000_s3669" style="position:absolute;left:7331;top:3858;width:177;height:47" fillcolor="black" strokeweight=".05pt">
                <v:stroke joinstyle="round"/>
              </v:rect>
              <v:rect id="_x0000_s3670" style="position:absolute;left:7489;top:4254;width:41;height:189" fillcolor="black" strokeweight=".05pt">
                <v:stroke joinstyle="round"/>
              </v:rect>
              <v:rect id="_x0000_s3671" style="position:absolute;left:7496;top:4231;width:166;height:47" fillcolor="black" strokeweight=".05pt">
                <v:stroke joinstyle="round"/>
              </v:rect>
              <v:rect id="_x0000_s3672" style="position:absolute;left:7496;top:4417;width:166;height:47" fillcolor="black" strokeweight=".05pt">
                <v:stroke joinstyle="round"/>
              </v:rect>
              <v:rect id="_x0000_s3673" style="position:absolute;left:7331;top:4324;width:177;height:47" fillcolor="black" strokeweight=".05pt">
                <v:stroke joinstyle="round"/>
              </v:rect>
              <v:rect id="_x0000_s3674" style="position:absolute;left:7489;top:4720;width:41;height:188" fillcolor="black" strokeweight=".05pt">
                <v:stroke joinstyle="round"/>
              </v:rect>
              <v:rect id="_x0000_s3675" style="position:absolute;left:7496;top:4697;width:166;height:46" fillcolor="black" strokeweight=".05pt">
                <v:stroke joinstyle="round"/>
              </v:rect>
              <v:rect id="_x0000_s3676" style="position:absolute;left:7496;top:4868;width:166;height:46" fillcolor="black" strokeweight=".05pt">
                <v:stroke joinstyle="round"/>
              </v:rect>
              <v:rect id="_x0000_s3677" style="position:absolute;left:7331;top:4790;width:177;height:47" fillcolor="black" strokeweight=".05pt">
                <v:stroke joinstyle="round"/>
              </v:rect>
              <v:rect id="_x0000_s3678" style="position:absolute;left:7489;top:5186;width:41;height:188" fillcolor="black" strokeweight=".05pt">
                <v:stroke joinstyle="round"/>
              </v:rect>
              <v:rect id="_x0000_s3679" style="position:absolute;left:7496;top:5163;width:166;height:46" fillcolor="black" strokeweight=".05pt">
                <v:stroke joinstyle="round"/>
              </v:rect>
              <v:rect id="_x0000_s3680" style="position:absolute;left:7496;top:5333;width:166;height:47" fillcolor="black" strokeweight=".05pt">
                <v:stroke joinstyle="round"/>
              </v:rect>
              <v:rect id="_x0000_s3681" style="position:absolute;left:7331;top:5240;width:177;height:47" fillcolor="black" strokeweight=".05pt">
                <v:stroke joinstyle="round"/>
              </v:rect>
              <v:rect id="_x0000_s3682" style="position:absolute;left:7489;top:5683;width:41;height:188" fillcolor="black" strokeweight=".05pt">
                <v:stroke joinstyle="round"/>
              </v:rect>
              <v:rect id="_x0000_s3683" style="position:absolute;left:7496;top:5659;width:166;height:47" fillcolor="black" strokeweight=".05pt">
                <v:stroke joinstyle="round"/>
              </v:rect>
              <v:rect id="_x0000_s3684" style="position:absolute;left:7496;top:5830;width:166;height:47" fillcolor="black" strokeweight=".05pt">
                <v:stroke joinstyle="round"/>
              </v:rect>
              <v:rect id="_x0000_s3685" style="position:absolute;left:7331;top:5753;width:177;height:46" fillcolor="black" strokeweight=".05pt">
                <v:stroke joinstyle="round"/>
              </v:rect>
              <v:rect id="_x0000_s3686" style="position:absolute;left:7489;top:6086;width:41;height:189" fillcolor="black" strokeweight=".05pt">
                <v:stroke joinstyle="round"/>
              </v:rect>
              <v:rect id="_x0000_s3687" style="position:absolute;left:7496;top:6063;width:166;height:47" fillcolor="black" strokeweight=".05pt">
                <v:stroke joinstyle="round"/>
              </v:rect>
              <v:rect id="_x0000_s3688" style="position:absolute;left:7496;top:6249;width:166;height:47" fillcolor="black" strokeweight=".05pt">
                <v:stroke joinstyle="round"/>
              </v:rect>
              <v:rect id="_x0000_s3689" style="position:absolute;left:7331;top:6156;width:177;height:47" fillcolor="black" strokeweight=".05pt">
                <v:stroke joinstyle="round"/>
              </v:rect>
              <v:rect id="_x0000_s3690" style="position:absolute;left:5334;top:248;width:41;height:467" fillcolor="black" strokeweight=".05pt">
                <v:stroke joinstyle="round"/>
              </v:rect>
              <v:rect id="_x0000_s3691" style="position:absolute;left:5341;top:225;width:166;height:47" fillcolor="black" strokeweight=".05pt">
                <v:stroke joinstyle="round"/>
              </v:rect>
              <v:rect id="_x0000_s3692" style="position:absolute;left:5341;top:660;width:166;height:46" fillcolor="black" strokeweight=".05pt">
                <v:stroke joinstyle="round"/>
              </v:rect>
              <v:rect id="_x0000_s3693" style="position:absolute;left:5162;top:427;width:177;height:47" fillcolor="black" strokeweight=".05pt">
                <v:stroke joinstyle="round"/>
              </v:rect>
              <v:rect id="_x0000_s3694" style="position:absolute;left:5162;top:1126;width:333;height:46" fillcolor="black" strokeweight=".05pt">
                <v:stroke joinstyle="round"/>
              </v:rect>
              <v:rect id="_x0000_s3695" style="position:absolute;left:5334;top:1630;width:41;height:189" fillcolor="black" strokeweight=".05pt">
                <v:stroke joinstyle="round"/>
              </v:rect>
              <v:rect id="_x0000_s3696" style="position:absolute;left:5341;top:1607;width:166;height:47" fillcolor="black" strokeweight=".05pt">
                <v:stroke joinstyle="round"/>
              </v:rect>
              <v:rect id="_x0000_s3697" style="position:absolute;left:5162;top:1762;width:208;height:47" fillcolor="black" strokeweight=".05pt">
                <v:stroke joinstyle="round"/>
              </v:rect>
              <v:rect id="_x0000_s3698" style="position:absolute;left:5334;top:2034;width:41;height:490" fillcolor="black" strokeweight=".05pt">
                <v:stroke joinstyle="round"/>
              </v:rect>
              <v:rect id="_x0000_s3699" style="position:absolute;left:5341;top:2042;width:166;height:46" fillcolor="black" strokeweight=".05pt">
                <v:stroke joinstyle="round"/>
              </v:rect>
              <v:rect id="_x0000_s3700" style="position:absolute;left:5341;top:2508;width:166;height:46" fillcolor="black" strokeweight=".05pt">
                <v:stroke joinstyle="round"/>
              </v:rect>
              <v:rect id="_x0000_s3701" style="position:absolute;left:5162;top:2275;width:177;height:46" fillcolor="black" strokeweight=".05pt">
                <v:stroke joinstyle="round"/>
              </v:rect>
              <v:rect id="_x0000_s3702" style="position:absolute;left:3336;top:2841;width:1826;height:621" stroked="f"/>
              <v:shape id="_x0000_s3703" style="position:absolute;left:3329;top:2834;width:1840;height:636" coordsize="2144,656" path="m,8hdc,4,4,,8,hal2136,hdc2141,,2144,4,2144,8hal2144,648hdc2144,653,2141,656,2136,656hal8,656hdc4,656,,653,,648hal,8hdxm16,648hal8,640r2128,l2128,648r,-640l2136,16,8,16,16,8r,640hdxe" fillcolor="black" strokeweight=".05pt">
                <v:path arrowok="t"/>
                <o:lock v:ext="edit" verticies="t"/>
              </v:shape>
              <v:rect id="_x0000_s3704" style="position:absolute;left:3577;top:2911;width:1486;height:244;mso-wrap-style:none" filled="f" stroked="f">
                <v:textbox style="mso-next-textbox:#_x0000_s3704;mso-fit-shape-to-text:t" inset="0,0,0,0">
                  <w:txbxContent>
                    <w:p w:rsidR="00E01243" w:rsidRDefault="00E01243" w:rsidP="0068257E">
                      <w:r>
                        <w:rPr>
                          <w:rFonts w:ascii="Calibri" w:hAnsi="Calibri" w:cs="Calibri"/>
                          <w:color w:val="000000"/>
                          <w:sz w:val="20"/>
                          <w:szCs w:val="20"/>
                        </w:rPr>
                        <w:t>Explosives, Bombs</w:t>
                      </w:r>
                    </w:p>
                  </w:txbxContent>
                </v:textbox>
              </v:rect>
              <v:rect id="_x0000_s3705" style="position:absolute;left:3742;top:3113;width:1154;height:244;mso-wrap-style:none" filled="f" stroked="f">
                <v:textbox style="mso-next-textbox:#_x0000_s3705;mso-fit-shape-to-text:t" inset="0,0,0,0">
                  <w:txbxContent>
                    <w:p w:rsidR="00E01243" w:rsidRDefault="00E01243" w:rsidP="0068257E">
                      <w:r>
                        <w:rPr>
                          <w:rFonts w:ascii="Calibri" w:hAnsi="Calibri" w:cs="Calibri"/>
                          <w:color w:val="000000"/>
                          <w:sz w:val="20"/>
                          <w:szCs w:val="20"/>
                        </w:rPr>
                        <w:t>and Bombings</w:t>
                      </w:r>
                    </w:p>
                  </w:txbxContent>
                </v:textbox>
              </v:rect>
              <v:rect id="_x0000_s3706" style="position:absolute;left:5334;top:2966;width:41;height:490" fillcolor="black" strokeweight=".05pt">
                <v:stroke joinstyle="round"/>
              </v:rect>
              <v:rect id="_x0000_s3707" style="position:absolute;left:5341;top:2973;width:166;height:47" fillcolor="black" strokeweight=".05pt">
                <v:stroke joinstyle="round"/>
              </v:rect>
              <v:rect id="_x0000_s3708" style="position:absolute;left:5341;top:3439;width:166;height:47" fillcolor="black" strokeweight=".05pt">
                <v:stroke joinstyle="round"/>
              </v:rect>
              <v:rect id="_x0000_s3709" style="position:absolute;left:5162;top:3206;width:177;height:47" fillcolor="black" strokeweight=".05pt">
                <v:stroke joinstyle="round"/>
              </v:rect>
              <v:rect id="_x0000_s3710" style="position:absolute;left:3336;top:3618;width:1826;height:466" stroked="f"/>
              <v:shape id="_x0000_s3711" style="position:absolute;left:3329;top:3610;width:1840;height:481" coordsize="2144,496" path="m,8hdc,4,4,,8,hal2136,hdc2141,,2144,4,2144,8hal2144,488hdc2144,493,2141,496,2136,496hal8,496hdc4,496,,493,,488hal,8hdxm16,488hal8,480r2128,l2128,488r,-480l2136,16,8,16,16,8r,480hdxe" fillcolor="black" strokeweight=".05pt">
                <v:path arrowok="t"/>
                <o:lock v:ext="edit" verticies="t"/>
              </v:shape>
              <v:rect id="_x0000_s3712" style="position:absolute;left:3553;top:3613;width:1550;height:244;mso-wrap-style:none" filled="f" stroked="f">
                <v:textbox style="mso-next-textbox:#_x0000_s3712;mso-fit-shape-to-text:t" inset="0,0,0,0">
                  <w:txbxContent>
                    <w:p w:rsidR="00E01243" w:rsidRDefault="00E01243" w:rsidP="0068257E">
                      <w:r>
                        <w:rPr>
                          <w:rFonts w:ascii="Calibri" w:hAnsi="Calibri" w:cs="Calibri"/>
                          <w:color w:val="000000"/>
                          <w:sz w:val="20"/>
                          <w:szCs w:val="20"/>
                        </w:rPr>
                        <w:t xml:space="preserve">Explosives Industry </w:t>
                      </w:r>
                    </w:p>
                  </w:txbxContent>
                </v:textbox>
              </v:rect>
              <v:rect id="_x0000_s3713" style="position:absolute;left:3841;top:3815;width:905;height:244;mso-wrap-style:none" filled="f" stroked="f">
                <v:textbox style="mso-next-textbox:#_x0000_s3713;mso-fit-shape-to-text:t" inset="0,0,0,0">
                  <w:txbxContent>
                    <w:p w:rsidR="00E01243" w:rsidRDefault="00E01243" w:rsidP="0068257E">
                      <w:r>
                        <w:rPr>
                          <w:rFonts w:ascii="Calibri" w:hAnsi="Calibri" w:cs="Calibri"/>
                          <w:color w:val="000000"/>
                          <w:sz w:val="20"/>
                          <w:szCs w:val="20"/>
                        </w:rPr>
                        <w:t>Operations</w:t>
                      </w:r>
                    </w:p>
                  </w:txbxContent>
                </v:textbox>
              </v:rect>
              <v:rect id="_x0000_s3714" style="position:absolute;left:5162;top:3858;width:333;height:47" fillcolor="black" strokeweight=".05pt">
                <v:stroke joinstyle="round"/>
              </v:rect>
              <v:rect id="_x0000_s3715" style="position:absolute;left:3336;top:4239;width:1826;height:667" stroked="f"/>
              <v:shape id="_x0000_s3716" style="position:absolute;left:3329;top:4231;width:1840;height:683" coordsize="2144,704" path="m,8hdc,4,4,,8,hal2136,hdc2141,,2144,4,2144,8hal2144,696hdc2144,701,2141,704,2136,704hal8,704hdc4,704,,701,,696hal,8hdxm16,696hal8,688r2128,l2128,696r,-688l2136,16,8,16,16,8r,688hdxe" fillcolor="black" strokeweight=".05pt">
                <v:path arrowok="t"/>
                <o:lock v:ext="edit" verticies="t"/>
              </v:shape>
              <v:rect id="_x0000_s3717" style="position:absolute;left:3718;top:4441;width:1178;height:244;mso-wrap-style:none" filled="f" stroked="f">
                <v:textbox style="mso-next-textbox:#_x0000_s3717;mso-fit-shape-to-text:t" inset="0,0,0,0">
                  <w:txbxContent>
                    <w:p w:rsidR="00E01243" w:rsidRDefault="00E01243" w:rsidP="0068257E">
                      <w:r>
                        <w:rPr>
                          <w:rFonts w:ascii="Calibri" w:hAnsi="Calibri" w:cs="Calibri"/>
                          <w:color w:val="000000"/>
                          <w:sz w:val="20"/>
                          <w:szCs w:val="20"/>
                        </w:rPr>
                        <w:t>Fire and Arson</w:t>
                      </w:r>
                    </w:p>
                  </w:txbxContent>
                </v:textbox>
              </v:rect>
              <v:rect id="_x0000_s3718" style="position:absolute;left:3336;top:5062;width:1826;height:341" stroked="f"/>
            </v:group>
            <v:shape id="_x0000_s3719" style="position:absolute;left:3329;top:5054;width:1840;height:357" coordsize="2144,368" path="m,8hdc,4,4,,8,hal2136,hdc2141,,2144,4,2144,8hal2144,360hdc2144,365,2141,368,2136,368hal8,368hdc4,368,,365,,360hal,8hdxm16,360hal8,352r2128,l2128,360r,-352l2136,16,8,16,16,8r,352hdxe" fillcolor="black" strokeweight=".05pt">
              <v:path arrowok="t"/>
              <o:lock v:ext="edit" verticies="t"/>
            </v:shape>
            <v:rect id="_x0000_s3720" style="position:absolute;left:3484;top:5098;width:1683;height:244;mso-wrap-style:none" filled="f" stroked="f">
              <v:textbox style="mso-next-textbox:#_x0000_s3720;mso-fit-shape-to-text:t" inset="0,0,0,0">
                <w:txbxContent>
                  <w:p w:rsidR="00E01243" w:rsidRDefault="00E01243" w:rsidP="0068257E">
                    <w:r>
                      <w:rPr>
                        <w:rFonts w:ascii="Calibri" w:hAnsi="Calibri" w:cs="Calibri"/>
                        <w:color w:val="000000"/>
                        <w:sz w:val="20"/>
                        <w:szCs w:val="20"/>
                      </w:rPr>
                      <w:t>Alcohol and Tobacco</w:t>
                    </w:r>
                  </w:p>
                </w:txbxContent>
              </v:textbox>
            </v:rect>
            <v:rect id="_x0000_s3721" style="position:absolute;left:5162;top:5225;width:333;height:46" fillcolor="black" strokeweight=".05pt">
              <v:stroke joinstyle="round"/>
            </v:rect>
            <v:rect id="_x0000_s3722" style="position:absolute;left:1181;top:5605;width:3995;height:326" stroked="f"/>
            <v:shape id="_x0000_s3723" style="position:absolute;left:1174;top:5597;width:4009;height:342" coordsize="4672,352" path="m,8hdc,4,4,,8,hal4664,hdc4669,,4672,4,4672,8hal4672,344hdc4672,349,4669,352,4664,352hal8,352hdc4,352,,349,,344hal,8hdxm16,344hal8,336r4656,l4656,344r,-336l4664,16,8,16,16,8r,336hdxe" fillcolor="black" strokeweight=".05pt">
              <v:path arrowok="t"/>
              <o:lock v:ext="edit" verticies="t"/>
            </v:shape>
            <v:rect id="_x0000_s3724" style="position:absolute;left:2630;top:5634;width:1201;height:244;mso-wrap-style:none" filled="f" stroked="f">
              <v:textbox style="mso-next-textbox:#_x0000_s3724;mso-fit-shape-to-text:t" inset="0,0,0,0">
                <w:txbxContent>
                  <w:p w:rsidR="00E01243" w:rsidRDefault="00E01243" w:rsidP="0068257E">
                    <w:r>
                      <w:rPr>
                        <w:rFonts w:ascii="Calibri" w:hAnsi="Calibri" w:cs="Calibri"/>
                        <w:color w:val="000000"/>
                        <w:sz w:val="20"/>
                        <w:szCs w:val="20"/>
                      </w:rPr>
                      <w:t>Modernization</w:t>
                    </w:r>
                  </w:p>
                </w:txbxContent>
              </v:textbox>
            </v:rect>
            <v:rect id="_x0000_s3725" style="position:absolute;left:1181;top:6024;width:3995;height:311" stroked="f"/>
            <v:shape id="_x0000_s3726" style="position:absolute;left:1174;top:6017;width:4009;height:326" coordsize="4672,336" path="m,8hdc,4,4,,8,hal4664,hdc4669,,4672,4,4672,8hal4672,328hdc4672,333,4669,336,4664,336hal8,336hdc4,336,,333,,328hal,8hdxm16,328hal8,320r4656,l4656,328r,-320l4664,16,8,16,16,8r,320hdxe" fillcolor="black" strokeweight=".05pt">
              <v:path arrowok="t"/>
              <o:lock v:ext="edit" verticies="t"/>
            </v:shape>
            <v:rect id="_x0000_s3727" style="position:absolute;left:2768;top:6049;width:865;height:244;mso-wrap-style:none" filled="f" stroked="f">
              <v:textbox style="mso-next-textbox:#_x0000_s3727;mso-fit-shape-to-text:t" inset="0,0,0,0">
                <w:txbxContent>
                  <w:p w:rsidR="00E01243" w:rsidRDefault="00E01243" w:rsidP="0068257E">
                    <w:r>
                      <w:rPr>
                        <w:rFonts w:ascii="Calibri" w:hAnsi="Calibri" w:cs="Calibri"/>
                        <w:color w:val="000000"/>
                        <w:sz w:val="20"/>
                        <w:szCs w:val="20"/>
                      </w:rPr>
                      <w:t>Workforce</w:t>
                    </w:r>
                  </w:p>
                </w:txbxContent>
              </v:textbox>
            </v:rect>
            <v:rect id="_x0000_s3728" style="position:absolute;left:1181;top:5062;width:1826;height:341" stroked="f"/>
            <v:shape id="_x0000_s3729" style="position:absolute;left:1174;top:5054;width:1839;height:357" coordsize="2144,368" path="m,8hdc,4,4,,8,hal2136,hdc2141,,2144,4,2144,8hal2144,360hdc2144,365,2141,368,2136,368hal8,368hdc4,368,,365,,360hal,8hdxm16,360hal8,352r2128,l2128,360r,-352l2136,16,8,16,16,8r,352hdxe" fillcolor="black" strokeweight=".05pt">
              <v:path arrowok="t"/>
              <o:lock v:ext="edit" verticies="t"/>
            </v:shape>
            <v:rect id="_x0000_s3730" style="position:absolute;left:1326;top:5097;width:1683;height:244;mso-wrap-style:none" filled="f" stroked="f">
              <v:textbox style="mso-next-textbox:#_x0000_s3730;mso-fit-shape-to-text:t" inset="0,0,0,0">
                <w:txbxContent>
                  <w:p w:rsidR="00E01243" w:rsidRDefault="00E01243" w:rsidP="0068257E">
                    <w:r>
                      <w:rPr>
                        <w:rFonts w:ascii="Calibri" w:hAnsi="Calibri" w:cs="Calibri"/>
                        <w:color w:val="000000"/>
                        <w:sz w:val="20"/>
                        <w:szCs w:val="20"/>
                      </w:rPr>
                      <w:t>Alcohol and Tobacco</w:t>
                    </w:r>
                  </w:p>
                </w:txbxContent>
              </v:textbox>
            </v:rect>
            <v:rect id="_x0000_s3731" style="position:absolute;left:5334;top:4316;width:41;height:490" fillcolor="black" strokeweight=".05pt">
              <v:stroke joinstyle="round"/>
            </v:rect>
            <v:rect id="_x0000_s3732" style="position:absolute;left:5341;top:4324;width:166;height:47" fillcolor="black" strokeweight=".05pt">
              <v:stroke joinstyle="round"/>
            </v:rect>
            <v:rect id="_x0000_s3733" style="position:absolute;left:5341;top:4790;width:166;height:47" fillcolor="black" strokeweight=".05pt">
              <v:stroke joinstyle="round"/>
            </v:rect>
            <v:rect id="_x0000_s3734" style="position:absolute;left:5162;top:4557;width:177;height:47" fillcolor="black" strokeweight=".05pt">
              <v:stroke joinstyle="round"/>
            </v:rect>
            <v:rect id="_x0000_s3735" style="position:absolute;left:5162;top:5737;width:333;height:47" fillcolor="black" strokeweight=".05pt">
              <v:stroke joinstyle="round"/>
            </v:rect>
            <v:rect id="_x0000_s3736" style="position:absolute;left:5162;top:6141;width:333;height:46" fillcolor="black" strokeweight=".05pt">
              <v:stroke joinstyle="round"/>
            </v:rect>
            <v:rect id="_x0000_s3737" style="position:absolute;left:3178;top:3152;width:41;height:1440" fillcolor="black" strokeweight=".05pt">
              <v:stroke joinstyle="round"/>
            </v:rect>
            <v:rect id="_x0000_s3738" style="position:absolute;left:3171;top:3129;width:167;height:46" fillcolor="black" strokeweight=".05pt">
              <v:stroke joinstyle="round"/>
            </v:rect>
            <v:rect id="_x0000_s3739" style="position:absolute;left:3171;top:4573;width:167;height:46" fillcolor="black" strokeweight=".05pt">
              <v:stroke joinstyle="round"/>
            </v:rect>
            <v:rect id="_x0000_s3740" style="position:absolute;left:3007;top:3812;width:333;height:46" fillcolor="black" strokeweight=".05pt">
              <v:stroke joinstyle="round"/>
            </v:rect>
            <v:rect id="_x0000_s3741" style="position:absolute;left:1181;top:2841;width:1826;height:2065" stroked="f"/>
            <v:shape id="_x0000_s3742" style="position:absolute;left:1174;top:2834;width:1839;height:2080" coordsize="2144,2144" path="m,8hdc,4,4,,8,hal2136,hdc2141,,2144,4,2144,8hal2144,2136hdc2144,2141,2141,2144,2136,2144hal8,2144hdc4,2144,,2141,,2136hal,8hdxm16,2136hal8,2128r2128,l2128,2136,2128,8r8,8l8,16,16,8r,2128hdxe" fillcolor="black" strokeweight=".05pt">
              <v:path arrowok="t"/>
              <o:lock v:ext="edit" verticies="t"/>
            </v:shape>
            <v:rect id="_x0000_s3743" style="position:absolute;left:1724;top:3622;width:826;height:244;mso-wrap-style:none" filled="f" stroked="f">
              <v:textbox style="mso-next-textbox:#_x0000_s3743;mso-fit-shape-to-text:t" inset="0,0,0,0">
                <w:txbxContent>
                  <w:p w:rsidR="00E01243" w:rsidRDefault="00E01243" w:rsidP="0068257E">
                    <w:r>
                      <w:rPr>
                        <w:rFonts w:ascii="Calibri" w:hAnsi="Calibri" w:cs="Calibri"/>
                        <w:color w:val="000000"/>
                        <w:sz w:val="20"/>
                        <w:szCs w:val="20"/>
                      </w:rPr>
                      <w:t xml:space="preserve">Arson and </w:t>
                    </w:r>
                  </w:p>
                </w:txbxContent>
              </v:textbox>
            </v:rect>
            <v:rect id="_x0000_s3744" style="position:absolute;left:1710;top:3871;width:833;height:244;mso-wrap-style:none" filled="f" stroked="f">
              <v:textbox style="mso-next-textbox:#_x0000_s3744;mso-fit-shape-to-text:t" inset="0,0,0,0">
                <w:txbxContent>
                  <w:p w:rsidR="00E01243" w:rsidRDefault="00E01243" w:rsidP="0068257E">
                    <w:r>
                      <w:rPr>
                        <w:rFonts w:ascii="Calibri" w:hAnsi="Calibri" w:cs="Calibri"/>
                        <w:color w:val="000000"/>
                        <w:sz w:val="20"/>
                        <w:szCs w:val="20"/>
                      </w:rPr>
                      <w:t>Explosives</w:t>
                    </w:r>
                  </w:p>
                </w:txbxContent>
              </v:textbox>
            </v:rect>
            <v:rect id="_x0000_s3745" style="position:absolute;left:3007;top:5209;width:333;height:47" fillcolor="black" strokeweight=".05pt">
              <v:stroke joinstyle="round"/>
            </v:rect>
            <v:rect id="_x0000_s3746" style="position:absolute;left:3178;top:326;width:41;height:2004" fillcolor="black" strokeweight=".05pt">
              <v:stroke joinstyle="round"/>
            </v:rect>
            <v:rect id="_x0000_s3747" style="position:absolute;left:3171;top:1064;width:167;height:46" fillcolor="black" strokeweight=".05pt">
              <v:stroke joinstyle="round"/>
            </v:rect>
            <v:rect id="_x0000_s3748" style="position:absolute;left:3171;top:2321;width:167;height:47" fillcolor="black" strokeweight=".05pt">
              <v:stroke joinstyle="round"/>
            </v:rect>
            <v:rect id="_x0000_s3749" style="position:absolute;left:1187;top:78;width:1826;height:2593" stroked="f"/>
            <v:shape id="_x0000_s3750" style="position:absolute;left:1174;top:70;width:1839;height:2608" coordsize="2144,2688" path="m,8hdc,4,4,,8,hal2136,hdc2141,,2144,4,2144,8hal2144,2680hdc2144,2685,2141,2688,2136,2688hal8,2688hdc4,2688,,2685,,2680hal,8hdxm16,2680hal8,2672r2128,l2128,2680,2128,8r8,8l8,16,16,8r,2672hdxe" fillcolor="black" strokeweight=".05pt">
              <v:path arrowok="t"/>
              <o:lock v:ext="edit" verticies="t"/>
            </v:shape>
            <v:rect id="_x0000_s3751" style="position:absolute;left:1724;top:1126;width:711;height:244;mso-wrap-style:none" filled="f" stroked="f">
              <v:textbox style="mso-next-textbox:#_x0000_s3751;mso-fit-shape-to-text:t" inset="0,0,0,0">
                <w:txbxContent>
                  <w:p w:rsidR="00E01243" w:rsidRDefault="00E01243" w:rsidP="0068257E">
                    <w:r>
                      <w:rPr>
                        <w:rFonts w:ascii="Calibri" w:hAnsi="Calibri" w:cs="Calibri"/>
                        <w:color w:val="000000"/>
                        <w:sz w:val="20"/>
                        <w:szCs w:val="20"/>
                      </w:rPr>
                      <w:t xml:space="preserve">Firearms </w:t>
                    </w:r>
                  </w:p>
                </w:txbxContent>
              </v:textbox>
            </v:rect>
            <v:rect id="_x0000_s3752" style="position:absolute;left:3171;top:318;width:167;height:47" fillcolor="black" strokeweight=".05pt">
              <v:stroke joinstyle="round"/>
            </v:rect>
            <v:rect id="_x0000_s3753" style="position:absolute;left:3171;top:1809;width:167;height:46" fillcolor="black" strokeweight=".05pt">
              <v:stroke joinstyle="round"/>
            </v:rect>
            <v:rect id="_x0000_s3754" style="position:absolute;left:3007;top:1498;width:176;height:47" fillcolor="black" strokeweight=".05pt">
              <v:stroke joinstyle="round"/>
            </v:rect>
            <v:rect id="_x0000_s3755" style="position:absolute;left:14;top:2205;width:837;height:1071" stroked="f"/>
            <v:shape id="_x0000_s3756" style="position:absolute;left:7;top:2197;width:851;height:1087" coordsize="992,1120" path="m,8hdc,4,4,,8,hal984,hdc989,,992,4,992,8hal992,1112hdc992,1117,989,1120,984,1120hal8,1120hdc4,1120,,1117,,1112hal,8hdxm16,1112hal8,1104r976,l976,1112,976,8r8,8l8,16,16,8r,1104hdxe" fillcolor="black" strokeweight=".05pt">
              <v:path arrowok="t"/>
              <o:lock v:ext="edit" verticies="t"/>
            </v:shape>
            <v:rect id="_x0000_s3757" style="position:absolute;left:288;top:2495;width:306;height:244;mso-wrap-style:none" filled="f" stroked="f">
              <v:textbox style="mso-next-textbox:#_x0000_s3757;mso-fit-shape-to-text:t" inset="0,0,0,0">
                <w:txbxContent>
                  <w:p w:rsidR="00E01243" w:rsidRDefault="00E01243" w:rsidP="0068257E">
                    <w:r>
                      <w:rPr>
                        <w:rFonts w:ascii="Calibri" w:hAnsi="Calibri" w:cs="Calibri"/>
                        <w:color w:val="000000"/>
                        <w:sz w:val="20"/>
                        <w:szCs w:val="20"/>
                      </w:rPr>
                      <w:t>ATF</w:t>
                    </w:r>
                  </w:p>
                </w:txbxContent>
              </v:textbox>
            </v:rect>
            <v:rect id="_x0000_s3758" style="position:absolute;left:178;top:2744;width:563;height:244;mso-wrap-style:none" filled="f" stroked="f">
              <v:textbox style="mso-next-textbox:#_x0000_s3758;mso-fit-shape-to-text:t" inset="0,0,0,0">
                <w:txbxContent>
                  <w:p w:rsidR="00E01243" w:rsidRDefault="00E01243" w:rsidP="0068257E">
                    <w:r>
                      <w:rPr>
                        <w:rFonts w:ascii="Calibri" w:hAnsi="Calibri" w:cs="Calibri"/>
                        <w:color w:val="000000"/>
                        <w:sz w:val="20"/>
                        <w:szCs w:val="20"/>
                      </w:rPr>
                      <w:t>Impact</w:t>
                    </w:r>
                  </w:p>
                </w:txbxContent>
              </v:textbox>
            </v:rect>
            <v:rect id="_x0000_s3759" style="position:absolute;left:1023;top:1397;width:41;height:3820" fillcolor="black" strokeweight=".05pt">
              <v:stroke joinstyle="round"/>
            </v:rect>
            <v:rect id="_x0000_s3760" style="position:absolute;left:1016;top:1374;width:166;height:47" fillcolor="black" strokeweight=".05pt">
              <v:stroke joinstyle="round"/>
            </v:rect>
            <v:rect id="_x0000_s3761" style="position:absolute;left:1016;top:5194;width:166;height:46" fillcolor="black" strokeweight=".05pt">
              <v:stroke joinstyle="round"/>
            </v:rect>
            <v:rect id="_x0000_s3762" style="position:absolute;left:851;top:2756;width:167;height:47" fillcolor="black" strokeweight=".05pt">
              <v:stroke joinstyle="round"/>
            </v:rect>
            <v:shape id="_x0000_s3763" style="position:absolute;left:1071;top:5520;width:8232;height:15" coordsize="8232,15" path="m,l56,r,15l,15,,xm97,r55,l152,15r-55,l97,xm193,r55,l248,15r-55,l193,xm289,r55,l344,15r-55,l289,xm385,r55,l440,15r-55,l385,xm481,r55,l536,15r-55,l481,xm577,r55,l632,15r-55,l577,xm673,r55,l728,15r-55,l673,xm770,r54,l824,15r-54,l770,xm866,r55,l921,15r-55,l866,xm963,r55,l1018,15r-55,l963,xm1059,r55,l1114,15r-55,l1059,xm1155,r55,l1210,15r-55,l1155,xm1251,r55,l1306,15r-55,l1251,xm1347,r55,l1402,15r-55,l1347,xm1443,r55,l1498,15r-55,l1443,xm1539,r55,l1594,15r-55,l1539,xm1635,r55,l1690,15r-55,l1635,xm1731,r56,l1787,15r-56,l1731,xm1828,r55,l1883,15r-55,l1828,xm1924,r55,l1979,15r-55,l1924,xm2021,r54,l2075,15r-54,l2021,xm2117,r55,l2172,15r-55,l2117,xm2213,r55,l2268,15r-55,l2213,xm2309,r55,l2364,15r-55,l2309,xm2405,r55,l2460,15r-55,l2405,xm2501,r55,l2556,15r-55,l2501,xm2597,r56,l2653,15r-56,l2597,xm2694,r55,l2749,15r-55,l2694,xm2790,r55,l2845,15r-55,l2790,xm2886,r55,l2941,15r-55,l2886,xm2982,r55,l3037,15r-55,l2982,xm3079,r54,l3133,15r-54,l3079,xm3175,r55,l3230,15r-55,l3175,xm3271,r55,l3326,15r-55,l3271,xm3367,r55,l3422,15r-55,l3367,xm3464,r55,l3519,15r-55,l3464,xm3560,r55,l3615,15r-55,l3560,xm3656,r55,l3711,15r-55,l3656,xm3752,r55,l3807,15r-55,l3752,xm3848,r55,l3903,15r-55,l3848,xm3944,r55,l3999,15r-55,l3944,xm4040,r55,l4095,15r-55,l4040,xm4137,r54,l4191,15r-54,l4137,xm4233,r55,l4288,15r-55,l4233,xm4330,r55,l4385,15r-55,l4330,xm4426,r55,l4481,15r-55,l4426,xm4522,r55,l4577,15r-55,l4522,xm4618,r55,l4673,15r-55,l4618,xm4714,r55,l4769,15r-55,l4714,xm4810,r55,l4865,15r-55,l4810,xm4906,r55,l4961,15r-55,l4906,xm5002,r55,l5057,15r-55,l5002,xm5098,r55,l5153,15r-55,l5098,xm5195,r55,l5250,15r-55,l5195,xm5291,r55,l5346,15r-55,l5291,xm5388,r54,l5442,15r-54,l5388,xm5484,r55,l5539,15r-55,l5484,xm5580,r55,l5635,15r-55,l5580,xm5676,r55,l5731,15r-55,l5676,xm5772,r55,l5827,15r-55,l5772,xm5868,r55,l5923,15r-55,l5868,xm5964,r55,l6019,15r-55,l5964,xm6061,r55,l6116,15r-55,l6061,xm6157,r55,l6212,15r-55,l6157,xm6253,r55,l6308,15r-55,l6253,xm6349,r55,l6404,15r-55,l6349,xm6446,r54,l6500,15r-54,l6446,xm6542,r55,l6597,15r-55,l6542,xm6638,r55,l6693,15r-55,l6638,xm6734,r55,l6789,15r-55,l6734,xm6830,r56,l6886,15r-56,l6830,xm6927,r55,l6982,15r-55,l6927,xm7023,r55,l7078,15r-55,l7023,xm7119,r55,l7174,15r-55,l7119,xm7215,r55,l7270,15r-55,l7215,xm7311,r55,l7366,15r-55,l7311,xm7407,r55,l7462,15r-55,l7407,xm7504,r54,l7558,15r-54,l7504,xm7600,r55,l7655,15r-55,l7600,xm7696,r56,l7752,15r-56,l7696,xm7793,r55,l7848,15r-55,l7793,xm7889,r55,l7944,15r-55,l7889,xm7985,r55,l8040,15r-55,l7985,xm8081,r55,l8136,15r-55,l8081,xm8177,r55,l8232,15r-55,l8177,xe" fillcolor="black" strokeweight=".05pt">
              <v:path arrowok="t"/>
              <o:lock v:ext="edit" verticies="t"/>
            </v:shape>
            <v:shape id="_x0000_s3764" style="position:absolute;left:1071;top:2756;width:8232;height:16" coordsize="8232,16" path="m,l56,r,16l,16,,xm97,r55,l152,16r-55,l97,xm193,r55,l248,16r-55,l193,xm289,r55,l344,16r-55,l289,xm385,r55,l440,16r-55,l385,xm481,r55,l536,16r-55,l481,xm577,r55,l632,16r-55,l577,xm673,r55,l728,16r-55,l673,xm770,r54,l824,16r-54,l770,xm866,r55,l921,16r-55,l866,xm963,r55,l1018,16r-55,l963,xm1059,r55,l1114,16r-55,l1059,xm1155,r55,l1210,16r-55,l1155,xm1251,r55,l1306,16r-55,l1251,xm1347,r55,l1402,16r-55,l1347,xm1443,r55,l1498,16r-55,l1443,xm1539,r55,l1594,16r-55,l1539,xm1635,r55,l1690,16r-55,l1635,xm1731,r56,l1787,16r-56,l1731,xm1828,r55,l1883,16r-55,l1828,xm1924,r55,l1979,16r-55,l1924,xm2021,r54,l2075,16r-54,l2021,xm2117,r55,l2172,16r-55,l2117,xm2213,r55,l2268,16r-55,l2213,xm2309,r55,l2364,16r-55,l2309,xm2405,r55,l2460,16r-55,l2405,xm2501,r55,l2556,16r-55,l2501,xm2597,r56,l2653,16r-56,l2597,xm2694,r55,l2749,16r-55,l2694,xm2790,r55,l2845,16r-55,l2790,xm2886,r55,l2941,16r-55,l2886,xm2982,r55,l3037,16r-55,l2982,xm3079,r54,l3133,16r-54,l3079,xm3175,r55,l3230,16r-55,l3175,xm3271,r55,l3326,16r-55,l3271,xm3367,r55,l3422,16r-55,l3367,xm3464,r55,l3519,16r-55,l3464,xm3560,r55,l3615,16r-55,l3560,xm3656,r55,l3711,16r-55,l3656,xm3752,r55,l3807,16r-55,l3752,xm3848,r55,l3903,16r-55,l3848,xm3944,r55,l3999,16r-55,l3944,xm4040,r55,l4095,16r-55,l4040,xm4137,r54,l4191,16r-54,l4137,xm4233,r55,l4288,16r-55,l4233,xm4330,r55,l4385,16r-55,l4330,xm4426,r55,l4481,16r-55,l4426,xm4522,r55,l4577,16r-55,l4522,xm4618,r55,l4673,16r-55,l4618,xm4714,r55,l4769,16r-55,l4714,xm4810,r55,l4865,16r-55,l4810,xm4906,r55,l4961,16r-55,l4906,xm5002,r55,l5057,16r-55,l5002,xm5098,r55,l5153,16r-55,l5098,xm5195,r55,l5250,16r-55,l5195,xm5291,r55,l5346,16r-55,l5291,xm5388,r54,l5442,16r-54,l5388,xm5484,r55,l5539,16r-55,l5484,xm5580,r55,l5635,16r-55,l5580,xm5676,r55,l5731,16r-55,l5676,xm5772,r55,l5827,16r-55,l5772,xm5868,r55,l5923,16r-55,l5868,xm5964,r55,l6019,16r-55,l5964,xm6061,r55,l6116,16r-55,l6061,xm6157,r55,l6212,16r-55,l6157,xm6253,r55,l6308,16r-55,l6253,xm6349,r55,l6404,16r-55,l6349,xm6446,r54,l6500,16r-54,l6446,xm6542,r55,l6597,16r-55,l6542,xm6638,r55,l6693,16r-55,l6638,xm6734,r55,l6789,16r-55,l6734,xm6830,r56,l6886,16r-56,l6830,xm6927,r55,l6982,16r-55,l6927,xm7023,r55,l7078,16r-55,l7023,xm7119,r55,l7174,16r-55,l7119,xm7215,r55,l7270,16r-55,l7215,xm7311,r55,l7366,16r-55,l7311,xm7407,r55,l7462,16r-55,l7407,xm7504,r54,l7558,16r-54,l7504,xm7600,r55,l7655,16r-55,l7600,xm7696,r56,l7752,16r-56,l7696,xm7793,r55,l7848,16r-55,l7793,xm7889,r55,l7944,16r-55,l7889,xm7985,r55,l8040,16r-55,l7985,xm8081,r55,l8136,16r-55,l8081,xm8177,r55,l8232,16r-55,l8177,xe" fillcolor="black" strokeweight=".05pt">
              <v:path arrowok="t"/>
              <o:lock v:ext="edit" verticies="t"/>
            </v:shape>
            <v:rect id="_x0000_s3765" style="position:absolute;left:1016;top:3812;width:166;height:46" fillcolor="black" strokeweight=".05pt">
              <v:stroke joinstyle="round"/>
            </v:rect>
            <w10:wrap type="none"/>
            <w10:anchorlock/>
          </v:group>
        </w:pict>
      </w:r>
    </w:p>
    <w:p w:rsidR="0068257E" w:rsidRPr="00D00B6D" w:rsidRDefault="0068257E" w:rsidP="0068257E"/>
    <w:p w:rsidR="0068257E" w:rsidRPr="00D00B6D" w:rsidRDefault="0068257E" w:rsidP="00C34B7D">
      <w:pPr>
        <w:ind w:left="720"/>
      </w:pPr>
      <w:r w:rsidRPr="00D00B6D">
        <w:t>Applying an index to gauge performance is a widely accepted practice for compiling multiple performance indicators into a single number.  As used at ATF, the Index number moves up or down and portrays the progress made against pre-established performance goal statements.</w:t>
      </w:r>
    </w:p>
    <w:p w:rsidR="0068257E" w:rsidRPr="00D00B6D" w:rsidRDefault="00C34B7D" w:rsidP="0068257E">
      <w:r>
        <w:tab/>
      </w:r>
    </w:p>
    <w:p w:rsidR="0068257E" w:rsidRPr="00D00B6D" w:rsidRDefault="0068257E" w:rsidP="00C34B7D">
      <w:pPr>
        <w:ind w:left="720"/>
      </w:pPr>
      <w:r w:rsidRPr="00D00B6D">
        <w:t xml:space="preserve">The Index measures progress against quantifiable goals or targets.  </w:t>
      </w:r>
      <w:r w:rsidR="007C5127" w:rsidRPr="00D00B6D">
        <w:t xml:space="preserve">ATF has established a current or anticipated operating environment.  </w:t>
      </w:r>
      <w:r w:rsidRPr="00D00B6D">
        <w:t>Each element of the Index (performance indicator, strategic objective, performance goal statement, and mission area) is assigned a weight to show its strength relative to the overall Index.  The weight assigned to each of the performance indicators is based on the indicator’s effectiveness as a measure of its respective performance goal statement.  The weight of each strategic objective is the sum of the weights of the performance indicators that comprise it.  The performance goal statements are weighted according to two criteria: impact on mission (e.g., the impact of Illegal Firearms Trafficking on ATF’s firearms mission), and ATF’s current capabilities in the area of the performance goal statement.  Weights are assigned to ATF’s mission areas (firearms, arson and explosives, and alcohol and tobacco) in accordance with mission priorities established via the Frontline business process.</w:t>
      </w:r>
    </w:p>
    <w:p w:rsidR="0068257E" w:rsidRPr="00D00B6D" w:rsidRDefault="0068257E" w:rsidP="0068257E"/>
    <w:p w:rsidR="0068257E" w:rsidRPr="00D00B6D" w:rsidRDefault="0068257E" w:rsidP="00C34B7D">
      <w:pPr>
        <w:ind w:left="720"/>
      </w:pPr>
      <w:r w:rsidRPr="00D00B6D">
        <w:t>The Index compiles mathematical calculations that combine ATF’s actual progress toward targets, and the weight of the performance indicator, strategic objective, performance goal statement, and mission priorities.  The calculations to determine the value for each level of ATF’s Performance Index is as follows:</w:t>
      </w:r>
    </w:p>
    <w:tbl>
      <w:tblPr>
        <w:tblW w:w="9288" w:type="dxa"/>
        <w:tblLook w:val="04A0"/>
      </w:tblPr>
      <w:tblGrid>
        <w:gridCol w:w="3258"/>
        <w:gridCol w:w="6030"/>
      </w:tblGrid>
      <w:tr w:rsidR="0068257E" w:rsidRPr="00D00B6D" w:rsidTr="00847FAB">
        <w:tc>
          <w:tcPr>
            <w:tcW w:w="3258" w:type="dxa"/>
          </w:tcPr>
          <w:p w:rsidR="0068257E" w:rsidRPr="00D00B6D" w:rsidRDefault="0068257E" w:rsidP="00847FAB"/>
          <w:p w:rsidR="0068257E" w:rsidRPr="00D00B6D" w:rsidRDefault="0068257E" w:rsidP="00847FAB">
            <w:r w:rsidRPr="00D00B6D">
              <w:t>Per Performance Indicator:</w:t>
            </w:r>
          </w:p>
        </w:tc>
        <w:tc>
          <w:tcPr>
            <w:tcW w:w="6030" w:type="dxa"/>
          </w:tcPr>
          <w:p w:rsidR="0068257E" w:rsidRPr="00D00B6D" w:rsidRDefault="0068257E" w:rsidP="00847FAB"/>
          <w:p w:rsidR="0068257E" w:rsidRPr="00D00B6D" w:rsidRDefault="0068257E" w:rsidP="00847FAB">
            <w:r w:rsidRPr="00D00B6D">
              <w:t>Actual ÷ Target x Weight of Performance Indicator</w:t>
            </w:r>
          </w:p>
        </w:tc>
      </w:tr>
      <w:tr w:rsidR="0068257E" w:rsidRPr="00D00B6D" w:rsidTr="00847FAB">
        <w:tc>
          <w:tcPr>
            <w:tcW w:w="3258" w:type="dxa"/>
          </w:tcPr>
          <w:p w:rsidR="0068257E" w:rsidRPr="00D00B6D" w:rsidRDefault="0068257E" w:rsidP="00847FAB">
            <w:r w:rsidRPr="00D00B6D">
              <w:t>Per Strategic Objective:</w:t>
            </w:r>
          </w:p>
        </w:tc>
        <w:tc>
          <w:tcPr>
            <w:tcW w:w="6030" w:type="dxa"/>
          </w:tcPr>
          <w:p w:rsidR="0068257E" w:rsidRPr="00D00B6D" w:rsidRDefault="0068257E" w:rsidP="00847FAB">
            <w:r w:rsidRPr="00D00B6D">
              <w:t>Sum of Performance Indicator Subtotals</w:t>
            </w:r>
          </w:p>
        </w:tc>
      </w:tr>
      <w:tr w:rsidR="0068257E" w:rsidRPr="00D00B6D" w:rsidTr="00847FAB">
        <w:tc>
          <w:tcPr>
            <w:tcW w:w="3258" w:type="dxa"/>
          </w:tcPr>
          <w:p w:rsidR="0068257E" w:rsidRPr="00D00B6D" w:rsidRDefault="0068257E" w:rsidP="00847FAB">
            <w:r w:rsidRPr="00D00B6D">
              <w:t>Per Performance Goal Statement:</w:t>
            </w:r>
          </w:p>
        </w:tc>
        <w:tc>
          <w:tcPr>
            <w:tcW w:w="6030" w:type="dxa"/>
          </w:tcPr>
          <w:p w:rsidR="0068257E" w:rsidRPr="00D00B6D" w:rsidRDefault="0068257E" w:rsidP="00847FAB">
            <w:pPr>
              <w:rPr>
                <w:rFonts w:cs="Arial"/>
                <w:b/>
                <w:bCs/>
                <w:lang w:val="en-GB"/>
              </w:rPr>
            </w:pPr>
            <w:r w:rsidRPr="00D00B6D">
              <w:t>Sum of Strategic Objective Totals x Weight of Performance Goal Statement</w:t>
            </w:r>
          </w:p>
        </w:tc>
      </w:tr>
      <w:tr w:rsidR="0068257E" w:rsidRPr="00D00B6D" w:rsidTr="00847FAB">
        <w:tc>
          <w:tcPr>
            <w:tcW w:w="3258" w:type="dxa"/>
          </w:tcPr>
          <w:p w:rsidR="0068257E" w:rsidRPr="00D00B6D" w:rsidRDefault="0068257E" w:rsidP="00847FAB">
            <w:r w:rsidRPr="00D00B6D">
              <w:t>Per Mission Area:</w:t>
            </w:r>
          </w:p>
        </w:tc>
        <w:tc>
          <w:tcPr>
            <w:tcW w:w="6030" w:type="dxa"/>
          </w:tcPr>
          <w:p w:rsidR="0068257E" w:rsidRPr="00D00B6D" w:rsidRDefault="0068257E" w:rsidP="00847FAB">
            <w:r w:rsidRPr="00D00B6D">
              <w:t xml:space="preserve">Sum of Performance Goal Statement Subtotals x Weight of </w:t>
            </w:r>
            <w:r>
              <w:t>Mission Area</w:t>
            </w:r>
          </w:p>
        </w:tc>
      </w:tr>
      <w:tr w:rsidR="0068257E" w:rsidRPr="00D00B6D" w:rsidTr="00847FAB">
        <w:tc>
          <w:tcPr>
            <w:tcW w:w="3258" w:type="dxa"/>
          </w:tcPr>
          <w:p w:rsidR="0068257E" w:rsidRPr="00D00B6D" w:rsidRDefault="0068257E" w:rsidP="00847FAB">
            <w:r w:rsidRPr="00D00B6D">
              <w:t>ATF Performance Index:</w:t>
            </w:r>
          </w:p>
        </w:tc>
        <w:tc>
          <w:tcPr>
            <w:tcW w:w="6030" w:type="dxa"/>
          </w:tcPr>
          <w:p w:rsidR="0068257E" w:rsidRPr="00D00B6D" w:rsidRDefault="0068257E" w:rsidP="00847FAB">
            <w:r w:rsidRPr="00D00B6D">
              <w:t>Sum of All Mission Area Subtotals</w:t>
            </w:r>
          </w:p>
        </w:tc>
      </w:tr>
    </w:tbl>
    <w:p w:rsidR="0068257E" w:rsidRPr="00D00B6D" w:rsidRDefault="0068257E" w:rsidP="0068257E"/>
    <w:p w:rsidR="0068257E" w:rsidRPr="00D00B6D" w:rsidRDefault="0068257E" w:rsidP="00C34B7D">
      <w:pPr>
        <w:ind w:left="720"/>
      </w:pPr>
      <w:r w:rsidRPr="00D00B6D">
        <w:t>The calculations at the performance indicator and strategic objective levels are displayed in the example below.</w:t>
      </w:r>
    </w:p>
    <w:p w:rsidR="0068257E" w:rsidRPr="00D00B6D" w:rsidRDefault="00C34B7D" w:rsidP="0068257E">
      <w:r>
        <w:tab/>
      </w:r>
    </w:p>
    <w:tbl>
      <w:tblPr>
        <w:tblW w:w="9180" w:type="dxa"/>
        <w:jc w:val="center"/>
        <w:tblInd w:w="144" w:type="dxa"/>
        <w:tblLayout w:type="fixed"/>
        <w:tblCellMar>
          <w:left w:w="0" w:type="dxa"/>
          <w:right w:w="0" w:type="dxa"/>
        </w:tblCellMar>
        <w:tblLook w:val="04A0"/>
      </w:tblPr>
      <w:tblGrid>
        <w:gridCol w:w="1890"/>
        <w:gridCol w:w="1080"/>
        <w:gridCol w:w="1260"/>
        <w:gridCol w:w="1440"/>
        <w:gridCol w:w="1530"/>
        <w:gridCol w:w="1980"/>
      </w:tblGrid>
      <w:tr w:rsidR="0068257E" w:rsidRPr="00D00B6D" w:rsidTr="00847FAB">
        <w:trPr>
          <w:trHeight w:val="160"/>
          <w:jc w:val="center"/>
        </w:trPr>
        <w:tc>
          <w:tcPr>
            <w:tcW w:w="9180" w:type="dxa"/>
            <w:gridSpan w:val="6"/>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68257E" w:rsidRPr="00D00B6D" w:rsidRDefault="0068257E" w:rsidP="00847FAB">
            <w:pPr>
              <w:rPr>
                <w:rFonts w:cs="Arial"/>
                <w:b/>
                <w:bCs/>
                <w:lang w:val="en-GB"/>
              </w:rPr>
            </w:pPr>
            <w:r w:rsidRPr="00D00B6D">
              <w:rPr>
                <w:b/>
                <w:bCs/>
              </w:rPr>
              <w:t>Example Strategic Objective Calculation</w:t>
            </w:r>
          </w:p>
        </w:tc>
      </w:tr>
      <w:tr w:rsidR="0068257E" w:rsidRPr="00D00B6D" w:rsidTr="00847FAB">
        <w:trPr>
          <w:trHeight w:val="538"/>
          <w:jc w:val="center"/>
        </w:trPr>
        <w:tc>
          <w:tcPr>
            <w:tcW w:w="189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vAlign w:val="center"/>
          </w:tcPr>
          <w:p w:rsidR="0068257E" w:rsidRPr="00D00B6D" w:rsidRDefault="0068257E" w:rsidP="00847FAB">
            <w:r w:rsidRPr="00D00B6D">
              <w:rPr>
                <w:b/>
                <w:bCs/>
              </w:rPr>
              <w:t>Performance Indicator</w:t>
            </w:r>
          </w:p>
        </w:tc>
        <w:tc>
          <w:tcPr>
            <w:tcW w:w="10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vAlign w:val="center"/>
          </w:tcPr>
          <w:p w:rsidR="0068257E" w:rsidRPr="00D00B6D" w:rsidRDefault="0068257E" w:rsidP="00847FAB">
            <w:r w:rsidRPr="00D00B6D">
              <w:rPr>
                <w:b/>
                <w:bCs/>
              </w:rPr>
              <w:t>Actual</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vAlign w:val="center"/>
          </w:tcPr>
          <w:p w:rsidR="0068257E" w:rsidRPr="00D00B6D" w:rsidRDefault="0068257E" w:rsidP="00847FAB">
            <w:r w:rsidRPr="00D00B6D">
              <w:rPr>
                <w:b/>
                <w:bCs/>
              </w:rPr>
              <w:t>Target</w:t>
            </w:r>
          </w:p>
        </w:tc>
        <w:tc>
          <w:tcPr>
            <w:tcW w:w="144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vAlign w:val="center"/>
          </w:tcPr>
          <w:p w:rsidR="0068257E" w:rsidRPr="00D00B6D" w:rsidRDefault="0068257E" w:rsidP="00847FAB">
            <w:r w:rsidRPr="00D00B6D">
              <w:rPr>
                <w:b/>
                <w:bCs/>
              </w:rPr>
              <w:t>Score</w:t>
            </w:r>
          </w:p>
          <w:p w:rsidR="0068257E" w:rsidRPr="00D00B6D" w:rsidRDefault="0068257E" w:rsidP="00847FAB">
            <w:r w:rsidRPr="00D00B6D">
              <w:rPr>
                <w:b/>
                <w:bCs/>
              </w:rPr>
              <w:t>(Actual / Target)</w:t>
            </w:r>
          </w:p>
        </w:tc>
        <w:tc>
          <w:tcPr>
            <w:tcW w:w="1530" w:type="dxa"/>
            <w:tcBorders>
              <w:top w:val="single" w:sz="8" w:space="0" w:color="auto"/>
              <w:left w:val="single" w:sz="18" w:space="0" w:color="auto"/>
              <w:bottom w:val="single" w:sz="8" w:space="0" w:color="auto"/>
              <w:right w:val="single" w:sz="18" w:space="0" w:color="auto"/>
            </w:tcBorders>
            <w:shd w:val="clear" w:color="auto" w:fill="FFFFFF"/>
            <w:tcMar>
              <w:top w:w="72" w:type="dxa"/>
              <w:left w:w="144" w:type="dxa"/>
              <w:bottom w:w="72" w:type="dxa"/>
              <w:right w:w="144" w:type="dxa"/>
            </w:tcMar>
            <w:vAlign w:val="center"/>
          </w:tcPr>
          <w:p w:rsidR="0068257E" w:rsidRPr="00D00B6D" w:rsidRDefault="0068257E" w:rsidP="00847FAB">
            <w:r w:rsidRPr="00D00B6D">
              <w:rPr>
                <w:b/>
                <w:bCs/>
              </w:rPr>
              <w:t>Weight</w:t>
            </w:r>
          </w:p>
          <w:p w:rsidR="0068257E" w:rsidRPr="00D00B6D" w:rsidRDefault="0068257E" w:rsidP="00847FAB">
            <w:r w:rsidRPr="00D00B6D">
              <w:rPr>
                <w:b/>
                <w:bCs/>
              </w:rPr>
              <w:t>(Percent)</w:t>
            </w:r>
          </w:p>
        </w:tc>
        <w:tc>
          <w:tcPr>
            <w:tcW w:w="19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vAlign w:val="center"/>
          </w:tcPr>
          <w:p w:rsidR="0068257E" w:rsidRPr="00D00B6D" w:rsidRDefault="0068257E" w:rsidP="00847FAB">
            <w:r w:rsidRPr="00D00B6D">
              <w:rPr>
                <w:b/>
                <w:bCs/>
              </w:rPr>
              <w:t>Subtotal</w:t>
            </w:r>
          </w:p>
          <w:p w:rsidR="0068257E" w:rsidRPr="00D00B6D" w:rsidRDefault="0068257E" w:rsidP="00847FAB">
            <w:r w:rsidRPr="00D00B6D">
              <w:rPr>
                <w:b/>
                <w:bCs/>
              </w:rPr>
              <w:t>(Score x Weight)</w:t>
            </w:r>
          </w:p>
        </w:tc>
      </w:tr>
      <w:tr w:rsidR="0068257E" w:rsidRPr="00D00B6D" w:rsidTr="00847FAB">
        <w:trPr>
          <w:trHeight w:val="124"/>
          <w:jc w:val="center"/>
        </w:trPr>
        <w:tc>
          <w:tcPr>
            <w:tcW w:w="189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68257E" w:rsidRPr="00D00B6D" w:rsidRDefault="0068257E" w:rsidP="00847FAB">
            <w:pPr>
              <w:jc w:val="center"/>
            </w:pPr>
            <w:r w:rsidRPr="00D00B6D">
              <w:t>A</w:t>
            </w:r>
          </w:p>
        </w:tc>
        <w:tc>
          <w:tcPr>
            <w:tcW w:w="10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65</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100</w:t>
            </w:r>
          </w:p>
        </w:tc>
        <w:tc>
          <w:tcPr>
            <w:tcW w:w="144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0.65</w:t>
            </w:r>
          </w:p>
        </w:tc>
        <w:tc>
          <w:tcPr>
            <w:tcW w:w="1530" w:type="dxa"/>
            <w:tcBorders>
              <w:top w:val="single" w:sz="8" w:space="0" w:color="auto"/>
              <w:left w:val="single" w:sz="18" w:space="0" w:color="auto"/>
              <w:bottom w:val="single" w:sz="8" w:space="0" w:color="auto"/>
              <w:right w:val="single" w:sz="1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0.15</w:t>
            </w:r>
          </w:p>
        </w:tc>
        <w:tc>
          <w:tcPr>
            <w:tcW w:w="19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0.0975</w:t>
            </w:r>
          </w:p>
        </w:tc>
      </w:tr>
      <w:tr w:rsidR="0068257E" w:rsidRPr="00D00B6D" w:rsidTr="00847FAB">
        <w:trPr>
          <w:trHeight w:val="124"/>
          <w:jc w:val="center"/>
        </w:trPr>
        <w:tc>
          <w:tcPr>
            <w:tcW w:w="189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68257E" w:rsidRPr="00D00B6D" w:rsidRDefault="0068257E" w:rsidP="00847FAB">
            <w:pPr>
              <w:jc w:val="center"/>
            </w:pPr>
            <w:r w:rsidRPr="00D00B6D">
              <w:t>B</w:t>
            </w:r>
          </w:p>
        </w:tc>
        <w:tc>
          <w:tcPr>
            <w:tcW w:w="10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180</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200</w:t>
            </w:r>
          </w:p>
        </w:tc>
        <w:tc>
          <w:tcPr>
            <w:tcW w:w="144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0.90</w:t>
            </w:r>
          </w:p>
        </w:tc>
        <w:tc>
          <w:tcPr>
            <w:tcW w:w="1530" w:type="dxa"/>
            <w:tcBorders>
              <w:top w:val="single" w:sz="8" w:space="0" w:color="auto"/>
              <w:left w:val="single" w:sz="18" w:space="0" w:color="auto"/>
              <w:bottom w:val="single" w:sz="8" w:space="0" w:color="auto"/>
              <w:right w:val="single" w:sz="1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0.75</w:t>
            </w:r>
          </w:p>
        </w:tc>
        <w:tc>
          <w:tcPr>
            <w:tcW w:w="19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0.675</w:t>
            </w:r>
          </w:p>
        </w:tc>
      </w:tr>
      <w:tr w:rsidR="0068257E" w:rsidRPr="00D00B6D" w:rsidTr="00847FAB">
        <w:trPr>
          <w:trHeight w:val="124"/>
          <w:jc w:val="center"/>
        </w:trPr>
        <w:tc>
          <w:tcPr>
            <w:tcW w:w="189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68257E" w:rsidRPr="00D00B6D" w:rsidRDefault="0068257E" w:rsidP="00847FAB">
            <w:pPr>
              <w:jc w:val="center"/>
            </w:pPr>
            <w:r w:rsidRPr="00D00B6D">
              <w:t>C</w:t>
            </w:r>
          </w:p>
        </w:tc>
        <w:tc>
          <w:tcPr>
            <w:tcW w:w="10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50</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250</w:t>
            </w:r>
          </w:p>
        </w:tc>
        <w:tc>
          <w:tcPr>
            <w:tcW w:w="144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0.20</w:t>
            </w:r>
          </w:p>
        </w:tc>
        <w:tc>
          <w:tcPr>
            <w:tcW w:w="1530" w:type="dxa"/>
            <w:tcBorders>
              <w:top w:val="single" w:sz="8" w:space="0" w:color="auto"/>
              <w:left w:val="single" w:sz="18" w:space="0" w:color="auto"/>
              <w:bottom w:val="single" w:sz="8" w:space="0" w:color="auto"/>
              <w:right w:val="single" w:sz="1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0.10</w:t>
            </w:r>
          </w:p>
        </w:tc>
        <w:tc>
          <w:tcPr>
            <w:tcW w:w="19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68257E" w:rsidRPr="00D00B6D" w:rsidRDefault="0068257E" w:rsidP="00847FAB">
            <w:pPr>
              <w:jc w:val="right"/>
            </w:pPr>
            <w:r w:rsidRPr="00D00B6D">
              <w:t>0.02</w:t>
            </w:r>
          </w:p>
        </w:tc>
      </w:tr>
      <w:tr w:rsidR="0068257E" w:rsidRPr="00D00B6D" w:rsidTr="00847FAB">
        <w:trPr>
          <w:trHeight w:val="70"/>
          <w:jc w:val="center"/>
        </w:trPr>
        <w:tc>
          <w:tcPr>
            <w:tcW w:w="7200" w:type="dxa"/>
            <w:gridSpan w:val="5"/>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68257E" w:rsidRPr="00D00B6D" w:rsidRDefault="0068257E" w:rsidP="00847FAB">
            <w:r w:rsidRPr="00D00B6D">
              <w:t xml:space="preserve">Sum of Subtotals = </w:t>
            </w:r>
          </w:p>
        </w:tc>
        <w:tc>
          <w:tcPr>
            <w:tcW w:w="1980" w:type="dxa"/>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68257E" w:rsidRPr="00D00B6D" w:rsidRDefault="0068257E" w:rsidP="00847FAB">
            <w:pPr>
              <w:jc w:val="right"/>
            </w:pPr>
            <w:r w:rsidRPr="00D00B6D">
              <w:t xml:space="preserve">0.7925 </w:t>
            </w:r>
          </w:p>
        </w:tc>
      </w:tr>
      <w:tr w:rsidR="0068257E" w:rsidRPr="00D00B6D" w:rsidTr="00847FAB">
        <w:trPr>
          <w:trHeight w:val="3"/>
          <w:jc w:val="center"/>
        </w:trPr>
        <w:tc>
          <w:tcPr>
            <w:tcW w:w="7200" w:type="dxa"/>
            <w:gridSpan w:val="5"/>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68257E" w:rsidRPr="00D00B6D" w:rsidRDefault="0068257E" w:rsidP="00847FAB">
            <w:pPr>
              <w:rPr>
                <w:rFonts w:cs="Arial"/>
                <w:b/>
                <w:bCs/>
                <w:lang w:val="en-GB"/>
              </w:rPr>
            </w:pPr>
            <w:r w:rsidRPr="00D00B6D">
              <w:rPr>
                <w:b/>
              </w:rPr>
              <w:t xml:space="preserve">Example Strategic Objective Value (Sum x 100) = </w:t>
            </w:r>
          </w:p>
        </w:tc>
        <w:tc>
          <w:tcPr>
            <w:tcW w:w="1980" w:type="dxa"/>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68257E" w:rsidRPr="00D00B6D" w:rsidRDefault="0068257E" w:rsidP="00847FAB">
            <w:pPr>
              <w:jc w:val="right"/>
              <w:rPr>
                <w:b/>
              </w:rPr>
            </w:pPr>
            <w:r w:rsidRPr="00D00B6D">
              <w:rPr>
                <w:b/>
              </w:rPr>
              <w:t>79.25 %</w:t>
            </w:r>
          </w:p>
        </w:tc>
      </w:tr>
    </w:tbl>
    <w:p w:rsidR="0068257E" w:rsidRPr="00D00B6D" w:rsidRDefault="0068257E" w:rsidP="0068257E"/>
    <w:p w:rsidR="0068257E" w:rsidRPr="00D00B6D" w:rsidRDefault="0068257E" w:rsidP="00C34B7D">
      <w:pPr>
        <w:ind w:left="720"/>
      </w:pPr>
      <w:r w:rsidRPr="00D00B6D">
        <w:t xml:space="preserve">The sum of the strategic objectives respective to each performance goal statement is then multiplied by the weight assigned to the performance goal statement.  The sum of the mission area subtotals establishes the score of the ATF Performance Index.  </w:t>
      </w:r>
    </w:p>
    <w:p w:rsidR="00847FAB" w:rsidRDefault="00847FAB">
      <w:pPr>
        <w:rPr>
          <w:b/>
        </w:rPr>
      </w:pPr>
    </w:p>
    <w:p w:rsidR="00504A36" w:rsidRDefault="00F00853">
      <w:pPr>
        <w:pStyle w:val="Header"/>
        <w:numPr>
          <w:ilvl w:val="0"/>
          <w:numId w:val="2"/>
        </w:numPr>
        <w:rPr>
          <w:b/>
        </w:rPr>
      </w:pPr>
      <w:r w:rsidRPr="00762F09">
        <w:rPr>
          <w:b/>
        </w:rPr>
        <w:t>Strategies to Accomplish Outcomes</w:t>
      </w:r>
    </w:p>
    <w:p w:rsidR="00A905B4" w:rsidRDefault="00A905B4">
      <w:pPr>
        <w:pStyle w:val="Header"/>
        <w:ind w:left="360"/>
        <w:rPr>
          <w:b/>
          <w:bCs/>
        </w:rPr>
      </w:pPr>
    </w:p>
    <w:p w:rsidR="002D27DC" w:rsidRPr="00D00B6D" w:rsidRDefault="00915D59" w:rsidP="00C34B7D">
      <w:pPr>
        <w:ind w:left="720"/>
      </w:pPr>
      <w:r w:rsidRPr="00D00B6D">
        <w:t>ATF’s strategies to investigate and prevent violent crime are focused under t</w:t>
      </w:r>
      <w:r>
        <w:t xml:space="preserve">he Frontline business model so </w:t>
      </w:r>
      <w:r w:rsidRPr="00D00B6D">
        <w:t xml:space="preserve">field-level strategies are intelligence-driven and align with </w:t>
      </w:r>
      <w:r>
        <w:t xml:space="preserve">the priorities articulated in </w:t>
      </w:r>
      <w:r w:rsidRPr="00D00B6D">
        <w:t xml:space="preserve">ATF’s Strategic Plan.  </w:t>
      </w:r>
      <w:r w:rsidR="002D27DC" w:rsidRPr="00D00B6D">
        <w:t xml:space="preserve">ATF develops customized strategies within each of its 25 field divisions </w:t>
      </w:r>
      <w:r w:rsidR="002D27DC">
        <w:t xml:space="preserve">based on </w:t>
      </w:r>
      <w:r w:rsidR="002D27DC" w:rsidRPr="00D00B6D">
        <w:t xml:space="preserve">assessments </w:t>
      </w:r>
      <w:r w:rsidR="002D27DC">
        <w:t xml:space="preserve">of the most significant </w:t>
      </w:r>
      <w:r w:rsidR="002D27DC" w:rsidRPr="00D00B6D">
        <w:t xml:space="preserve">violent crime threats within </w:t>
      </w:r>
      <w:r w:rsidR="002D27DC">
        <w:t xml:space="preserve">their </w:t>
      </w:r>
      <w:r w:rsidR="002D27DC" w:rsidRPr="00D00B6D">
        <w:t>area</w:t>
      </w:r>
      <w:r w:rsidR="002D27DC">
        <w:t>s</w:t>
      </w:r>
      <w:r w:rsidR="002D27DC" w:rsidRPr="00D00B6D">
        <w:t xml:space="preserve"> of responsibility.  </w:t>
      </w:r>
      <w:r w:rsidR="002D27DC">
        <w:t>The assessments factor in e</w:t>
      </w:r>
      <w:r w:rsidR="002D27DC" w:rsidRPr="00D00B6D">
        <w:t>merging crim</w:t>
      </w:r>
      <w:r w:rsidR="002D27DC">
        <w:t>e</w:t>
      </w:r>
      <w:r w:rsidR="002D27DC" w:rsidRPr="00D00B6D">
        <w:t xml:space="preserve"> trends, significant criminal activity, issues faced by local industry members, the proximity and priorities of </w:t>
      </w:r>
      <w:r w:rsidR="002E3EAB">
        <w:t>Federal</w:t>
      </w:r>
      <w:r w:rsidR="002D27DC" w:rsidRPr="00D00B6D">
        <w:t xml:space="preserve">, </w:t>
      </w:r>
      <w:r w:rsidR="00B83B8F">
        <w:t>State</w:t>
      </w:r>
      <w:r w:rsidR="002D27DC" w:rsidRPr="00D00B6D">
        <w:t xml:space="preserve">, local and other external partners, available ATF resources, as well as, unique data and intelligence developed </w:t>
      </w:r>
      <w:r w:rsidR="002D27DC">
        <w:t>by ATF</w:t>
      </w:r>
      <w:r w:rsidR="002D27DC" w:rsidRPr="00D00B6D">
        <w:t xml:space="preserve">, and other intelligence and crime–related data available through </w:t>
      </w:r>
      <w:r w:rsidR="002E3EAB">
        <w:t>Federal</w:t>
      </w:r>
      <w:r w:rsidR="002D27DC" w:rsidRPr="00D00B6D">
        <w:t xml:space="preserve">, </w:t>
      </w:r>
      <w:r w:rsidR="00B83B8F">
        <w:t>State</w:t>
      </w:r>
      <w:r w:rsidR="002D27DC" w:rsidRPr="00D00B6D">
        <w:t xml:space="preserve"> and local partners.  </w:t>
      </w:r>
      <w:r w:rsidR="002D27DC" w:rsidRPr="00D00B6D">
        <w:lastRenderedPageBreak/>
        <w:t xml:space="preserve">All of this information is used to </w:t>
      </w:r>
      <w:r w:rsidR="002D27DC">
        <w:t>plan</w:t>
      </w:r>
      <w:r w:rsidR="002D27DC" w:rsidRPr="00D00B6D">
        <w:t xml:space="preserve"> the best use of resources at the local and </w:t>
      </w:r>
      <w:r w:rsidR="00BD50E0">
        <w:t>n</w:t>
      </w:r>
      <w:r w:rsidR="002D27DC" w:rsidRPr="00D00B6D">
        <w:t xml:space="preserve">ational level for the greatest impact.  These efforts are intelligence-driven and risk-based to ensure </w:t>
      </w:r>
      <w:r w:rsidR="00C555BF">
        <w:t xml:space="preserve">that </w:t>
      </w:r>
      <w:r w:rsidR="002D27DC" w:rsidRPr="00D00B6D">
        <w:t xml:space="preserve">resources are applied </w:t>
      </w:r>
      <w:r w:rsidR="00BD50E0">
        <w:t>effectively so that</w:t>
      </w:r>
      <w:r w:rsidR="002D27DC" w:rsidRPr="00D00B6D">
        <w:t xml:space="preserve"> they have the greatest ability to reduce </w:t>
      </w:r>
      <w:r w:rsidR="002D27DC">
        <w:t xml:space="preserve">violent </w:t>
      </w:r>
      <w:r w:rsidR="002D27DC" w:rsidRPr="00D00B6D">
        <w:t xml:space="preserve">crime and safeguard the public.  </w:t>
      </w:r>
    </w:p>
    <w:p w:rsidR="002D27DC" w:rsidRPr="00D00B6D" w:rsidRDefault="002D27DC" w:rsidP="002D27DC">
      <w:pPr>
        <w:ind w:left="720"/>
      </w:pPr>
    </w:p>
    <w:p w:rsidR="00C45799" w:rsidRDefault="002D27DC" w:rsidP="00C34B7D">
      <w:pPr>
        <w:ind w:left="720"/>
      </w:pPr>
      <w:r>
        <w:t xml:space="preserve">Once priorities are established, </w:t>
      </w:r>
      <w:r w:rsidRPr="00D00B6D">
        <w:t>Frontline requires supervisory personnel to evaluate each inspection and investigation</w:t>
      </w:r>
      <w:r>
        <w:t>,</w:t>
      </w:r>
      <w:r w:rsidRPr="00D00B6D">
        <w:t xml:space="preserve"> prior to </w:t>
      </w:r>
      <w:r>
        <w:t xml:space="preserve">its </w:t>
      </w:r>
      <w:r w:rsidRPr="00D00B6D">
        <w:t>initiation</w:t>
      </w:r>
      <w:r>
        <w:t>,</w:t>
      </w:r>
      <w:r w:rsidRPr="00D00B6D">
        <w:t xml:space="preserve"> to determine that the </w:t>
      </w:r>
      <w:r>
        <w:t xml:space="preserve">specific </w:t>
      </w:r>
      <w:r w:rsidRPr="00D00B6D">
        <w:t xml:space="preserve">activity is </w:t>
      </w:r>
      <w:r>
        <w:t xml:space="preserve">consistent </w:t>
      </w:r>
      <w:r w:rsidRPr="00D00B6D">
        <w:t xml:space="preserve">with the field division’s priorities.  Throughout the course of investigations and inspections, field supervisors monitor progress and performance to ensure resources </w:t>
      </w:r>
      <w:r>
        <w:t>continue to be</w:t>
      </w:r>
      <w:r w:rsidRPr="00D00B6D">
        <w:t xml:space="preserve"> applied appropriately and effectively.  At the conclusion of each investigation and inspection, case agents and investigators develop final impact statements, self-assessing whether they have met established goals</w:t>
      </w:r>
      <w:r>
        <w:t>.</w:t>
      </w:r>
      <w:r w:rsidRPr="00D00B6D">
        <w:t xml:space="preserve">  First level supervisors engage in periodic </w:t>
      </w:r>
      <w:r>
        <w:t>p</w:t>
      </w:r>
      <w:r w:rsidRPr="00D00B6D">
        <w:t xml:space="preserve">erformance </w:t>
      </w:r>
      <w:r>
        <w:t>r</w:t>
      </w:r>
      <w:r w:rsidRPr="00D00B6D">
        <w:t xml:space="preserve">eview sessions with their peer supervisors, ASACs and SACs.  SACs then participate in performance review sessions with Headquarters’ deputy assistant directors, who collaborate to evaluate field-wide performance and provide </w:t>
      </w:r>
      <w:r>
        <w:t>resources, programmatic support and direction</w:t>
      </w:r>
      <w:r w:rsidRPr="00D00B6D">
        <w:t xml:space="preserve"> to the field.</w:t>
      </w:r>
      <w:r>
        <w:t xml:space="preserve">  </w:t>
      </w:r>
    </w:p>
    <w:p w:rsidR="004231CC" w:rsidRDefault="00C45799">
      <w:r>
        <w:br w:type="page"/>
      </w:r>
    </w:p>
    <w:p w:rsidR="00127CE8" w:rsidRDefault="00127CE8" w:rsidP="00127CE8">
      <w:pPr>
        <w:rPr>
          <w:b/>
          <w:bCs/>
        </w:rPr>
      </w:pPr>
      <w:r>
        <w:rPr>
          <w:b/>
          <w:bCs/>
        </w:rPr>
        <w:lastRenderedPageBreak/>
        <w:t>V. Program Increases by Item</w:t>
      </w:r>
    </w:p>
    <w:p w:rsidR="00127CE8" w:rsidRDefault="00127CE8" w:rsidP="00127CE8">
      <w:pPr>
        <w:rPr>
          <w:b/>
          <w:bCs/>
        </w:rPr>
      </w:pPr>
    </w:p>
    <w:p w:rsidR="00127CE8" w:rsidRPr="00472EA7" w:rsidRDefault="00127CE8" w:rsidP="00127CE8">
      <w:r w:rsidRPr="00472EA7">
        <w:rPr>
          <w:b/>
          <w:bCs/>
        </w:rPr>
        <w:t>Item Name:</w:t>
      </w:r>
      <w:r w:rsidRPr="00472EA7">
        <w:t>                                      </w:t>
      </w:r>
      <w:r w:rsidR="00EA5C14">
        <w:rPr>
          <w:b/>
        </w:rPr>
        <w:t>Enforcement</w:t>
      </w:r>
      <w:r>
        <w:rPr>
          <w:b/>
        </w:rPr>
        <w:t>, Inspections</w:t>
      </w:r>
      <w:r w:rsidR="00EA5C14">
        <w:rPr>
          <w:b/>
        </w:rPr>
        <w:t xml:space="preserve"> and Tracing</w:t>
      </w:r>
    </w:p>
    <w:p w:rsidR="00127CE8" w:rsidRPr="00472EA7" w:rsidRDefault="00127CE8" w:rsidP="00127CE8"/>
    <w:p w:rsidR="00127CE8" w:rsidRPr="00D72FDB" w:rsidRDefault="00127CE8" w:rsidP="00127CE8">
      <w:pPr>
        <w:ind w:left="3510" w:hanging="3510"/>
      </w:pPr>
      <w:r w:rsidRPr="00D72FDB">
        <w:rPr>
          <w:bCs/>
        </w:rPr>
        <w:t>Budget Decision Unit(s):</w:t>
      </w:r>
      <w:r w:rsidRPr="00D72FDB">
        <w:t>                  </w:t>
      </w:r>
      <w:r>
        <w:t>Law Enforcement Operations and Investigative Support Services</w:t>
      </w:r>
    </w:p>
    <w:p w:rsidR="00127CE8" w:rsidRPr="00D72FDB" w:rsidRDefault="00127CE8" w:rsidP="00127CE8"/>
    <w:p w:rsidR="00127CE8" w:rsidRPr="00D72FDB" w:rsidRDefault="00127CE8" w:rsidP="00127CE8">
      <w:pPr>
        <w:pStyle w:val="xl19"/>
        <w:ind w:left="3600" w:hanging="3600"/>
      </w:pPr>
      <w:r w:rsidRPr="00D72FDB">
        <w:rPr>
          <w:bCs/>
        </w:rPr>
        <w:t>Strategic Goal(s) and Objective(s):</w:t>
      </w:r>
      <w:r w:rsidRPr="00D72FDB">
        <w:t> </w:t>
      </w:r>
      <w:r>
        <w:t xml:space="preserve">   </w:t>
      </w:r>
      <w:r w:rsidRPr="00D72FDB">
        <w:t>Strategic Goal 1:  Prevent Terrorism and Promote the Nation’s Security, Objectives 1.1 and 1.2</w:t>
      </w:r>
    </w:p>
    <w:p w:rsidR="00127CE8" w:rsidRPr="00D72FDB" w:rsidRDefault="00127CE8" w:rsidP="00127CE8">
      <w:pPr>
        <w:pStyle w:val="xl19"/>
      </w:pPr>
    </w:p>
    <w:p w:rsidR="00127CE8" w:rsidRPr="00D72FDB" w:rsidRDefault="00127CE8" w:rsidP="00127CE8">
      <w:pPr>
        <w:ind w:left="3600"/>
      </w:pPr>
      <w:r w:rsidRPr="00D72FDB">
        <w:t>Strategic Goal 2:  Prevent Crime, Enforce Federal Laws, and Represent the Rights and Interests of the American People, Objectives 2.1 and 2.2</w:t>
      </w:r>
    </w:p>
    <w:p w:rsidR="00127CE8" w:rsidRPr="00D72FDB" w:rsidRDefault="00127CE8" w:rsidP="00127CE8"/>
    <w:p w:rsidR="00127CE8" w:rsidRPr="00D72FDB" w:rsidRDefault="00127CE8" w:rsidP="00127CE8">
      <w:pPr>
        <w:pStyle w:val="xl19"/>
      </w:pPr>
      <w:r w:rsidRPr="00D72FDB">
        <w:rPr>
          <w:bCs/>
        </w:rPr>
        <w:t>Component Ranking of Item</w:t>
      </w:r>
      <w:r>
        <w:rPr>
          <w:bCs/>
        </w:rPr>
        <w:t xml:space="preserve">:  </w:t>
      </w:r>
      <w:r>
        <w:rPr>
          <w:bCs/>
        </w:rPr>
        <w:tab/>
        <w:t>Item 1</w:t>
      </w:r>
      <w:r w:rsidR="00EA5C14">
        <w:rPr>
          <w:bCs/>
        </w:rPr>
        <w:t xml:space="preserve"> </w:t>
      </w:r>
      <w:r>
        <w:rPr>
          <w:bCs/>
        </w:rPr>
        <w:t xml:space="preserve">of </w:t>
      </w:r>
      <w:r w:rsidR="00EA5C14">
        <w:rPr>
          <w:bCs/>
        </w:rPr>
        <w:t>2</w:t>
      </w:r>
    </w:p>
    <w:p w:rsidR="00127CE8" w:rsidRPr="00D72FDB" w:rsidRDefault="00127CE8" w:rsidP="00127CE8"/>
    <w:p w:rsidR="00127CE8" w:rsidRPr="008B7C3C" w:rsidRDefault="00127CE8" w:rsidP="00127CE8">
      <w:r w:rsidRPr="008B7C3C">
        <w:rPr>
          <w:bCs/>
        </w:rPr>
        <w:t>Program Increase:</w:t>
      </w:r>
      <w:r w:rsidRPr="008B7C3C">
        <w:t>  Positions</w:t>
      </w:r>
      <w:r>
        <w:t xml:space="preserve">: </w:t>
      </w:r>
      <w:r>
        <w:rPr>
          <w:u w:val="single"/>
        </w:rPr>
        <w:t>255</w:t>
      </w:r>
      <w:r>
        <w:t>;</w:t>
      </w:r>
      <w:r w:rsidRPr="00D048E8">
        <w:t xml:space="preserve"> </w:t>
      </w:r>
      <w:r w:rsidRPr="008572B2">
        <w:t>Agent</w:t>
      </w:r>
      <w:r>
        <w:t>s:</w:t>
      </w:r>
      <w:r w:rsidRPr="008572B2">
        <w:t xml:space="preserve"> </w:t>
      </w:r>
      <w:r w:rsidRPr="009A5F26">
        <w:rPr>
          <w:u w:val="single"/>
        </w:rPr>
        <w:t>16</w:t>
      </w:r>
      <w:r w:rsidRPr="000D13E0">
        <w:rPr>
          <w:u w:val="single"/>
        </w:rPr>
        <w:t>0</w:t>
      </w:r>
      <w:r>
        <w:t>;</w:t>
      </w:r>
      <w:r w:rsidRPr="008572B2">
        <w:t xml:space="preserve"> FTE</w:t>
      </w:r>
      <w:r>
        <w:t>:</w:t>
      </w:r>
      <w:r w:rsidRPr="008572B2">
        <w:t xml:space="preserve"> </w:t>
      </w:r>
      <w:r w:rsidRPr="009A5F26">
        <w:rPr>
          <w:u w:val="single"/>
        </w:rPr>
        <w:t>128</w:t>
      </w:r>
      <w:r w:rsidRPr="008572B2">
        <w:t>;</w:t>
      </w:r>
      <w:r w:rsidRPr="00977714">
        <w:t xml:space="preserve"> Dollars</w:t>
      </w:r>
      <w:r w:rsidRPr="008B7C3C">
        <w:t xml:space="preserve">: </w:t>
      </w:r>
      <w:r w:rsidRPr="008B7C3C">
        <w:rPr>
          <w:u w:val="single"/>
        </w:rPr>
        <w:t>$</w:t>
      </w:r>
      <w:r>
        <w:rPr>
          <w:u w:val="single"/>
        </w:rPr>
        <w:t>5</w:t>
      </w:r>
      <w:r w:rsidR="00EA5C14">
        <w:rPr>
          <w:u w:val="single"/>
        </w:rPr>
        <w:t>1</w:t>
      </w:r>
      <w:r>
        <w:rPr>
          <w:u w:val="single"/>
        </w:rPr>
        <w:t>,078,000</w:t>
      </w:r>
    </w:p>
    <w:p w:rsidR="00127CE8" w:rsidRPr="008B7C3C" w:rsidRDefault="00127CE8" w:rsidP="00127CE8">
      <w:pPr>
        <w:rPr>
          <w:u w:val="single"/>
        </w:rPr>
      </w:pPr>
    </w:p>
    <w:p w:rsidR="00127CE8" w:rsidRPr="00E91805" w:rsidRDefault="00127CE8" w:rsidP="00127CE8">
      <w:pPr>
        <w:rPr>
          <w:b/>
          <w:bCs/>
          <w:u w:val="single"/>
        </w:rPr>
      </w:pPr>
      <w:r w:rsidRPr="00E91805">
        <w:rPr>
          <w:b/>
          <w:bCs/>
          <w:u w:val="single"/>
        </w:rPr>
        <w:t xml:space="preserve">Description of Item: </w:t>
      </w:r>
    </w:p>
    <w:p w:rsidR="00127CE8" w:rsidRPr="008B7C3C" w:rsidRDefault="00127CE8" w:rsidP="00127CE8"/>
    <w:p w:rsidR="00127CE8" w:rsidRDefault="00127CE8" w:rsidP="00127CE8">
      <w:pPr>
        <w:rPr>
          <w:bCs/>
        </w:rPr>
      </w:pPr>
      <w:r>
        <w:t>ATF requests $5</w:t>
      </w:r>
      <w:r w:rsidR="004E2645">
        <w:t>1</w:t>
      </w:r>
      <w:r>
        <w:t>,078,000</w:t>
      </w:r>
      <w:r w:rsidRPr="008B7C3C">
        <w:rPr>
          <w:b/>
        </w:rPr>
        <w:t xml:space="preserve"> </w:t>
      </w:r>
      <w:r>
        <w:t xml:space="preserve">to </w:t>
      </w:r>
      <w:r w:rsidRPr="00F4311D">
        <w:t>suppor</w:t>
      </w:r>
      <w:r>
        <w:t xml:space="preserve">t </w:t>
      </w:r>
      <w:r w:rsidR="008F5544">
        <w:t xml:space="preserve">the President’s Gun Safety Initiative and </w:t>
      </w:r>
      <w:r>
        <w:t>increased violent crime reduction efforts and inspection</w:t>
      </w:r>
      <w:r w:rsidRPr="00F4311D">
        <w:t xml:space="preserve"> capabilities for ATF, as well as enhance</w:t>
      </w:r>
      <w:r>
        <w:t>d</w:t>
      </w:r>
      <w:r w:rsidRPr="00F4311D">
        <w:t xml:space="preserve"> crime gun tracing activities at ATF’s National Tracing Center.</w:t>
      </w:r>
      <w:r>
        <w:rPr>
          <w:rFonts w:ascii="Arial" w:hAnsi="Arial" w:cs="Arial"/>
          <w:sz w:val="18"/>
          <w:szCs w:val="18"/>
        </w:rPr>
        <w:t xml:space="preserve">  </w:t>
      </w:r>
    </w:p>
    <w:p w:rsidR="00127CE8" w:rsidRPr="008B7C3C" w:rsidRDefault="00127CE8" w:rsidP="00127CE8"/>
    <w:p w:rsidR="00127CE8" w:rsidRPr="00E91805" w:rsidRDefault="00127CE8" w:rsidP="00127CE8">
      <w:pPr>
        <w:rPr>
          <w:b/>
          <w:bCs/>
          <w:u w:val="single"/>
        </w:rPr>
      </w:pPr>
      <w:r w:rsidRPr="00E91805">
        <w:rPr>
          <w:b/>
          <w:bCs/>
          <w:u w:val="single"/>
        </w:rPr>
        <w:t xml:space="preserve">Justification:  </w:t>
      </w:r>
    </w:p>
    <w:p w:rsidR="00127CE8" w:rsidRDefault="00127CE8" w:rsidP="00127CE8">
      <w:pPr>
        <w:rPr>
          <w:bCs/>
          <w:u w:val="single"/>
        </w:rPr>
      </w:pPr>
    </w:p>
    <w:p w:rsidR="00127CE8" w:rsidRDefault="00127CE8" w:rsidP="00127CE8">
      <w:pPr>
        <w:rPr>
          <w:bCs/>
        </w:rPr>
      </w:pPr>
      <w:r>
        <w:t>This request includes funding</w:t>
      </w:r>
      <w:r w:rsidR="00C555BF">
        <w:t xml:space="preserve"> of $37.3 million</w:t>
      </w:r>
      <w:r>
        <w:t xml:space="preserve"> for 160 additional special agents and 25 intelligence research specialists</w:t>
      </w:r>
      <w:r w:rsidR="008F5544">
        <w:t xml:space="preserve"> and supports the President’s Gun Safety Initiative</w:t>
      </w:r>
      <w:r>
        <w:t xml:space="preserve">.  </w:t>
      </w:r>
      <w:r w:rsidR="00FC145F">
        <w:t xml:space="preserve">Through this initiative, </w:t>
      </w:r>
      <w:r>
        <w:t>ATF will continue to implement, manage and</w:t>
      </w:r>
      <w:r w:rsidRPr="008B7C3C">
        <w:t xml:space="preserve"> coordinate </w:t>
      </w:r>
      <w:r>
        <w:t xml:space="preserve">targeted violent crime reduction operations to address areas of escalating firearms violence throughout the U.S.  </w:t>
      </w:r>
      <w:r w:rsidRPr="00982D89">
        <w:rPr>
          <w:bCs/>
        </w:rPr>
        <w:t xml:space="preserve">As </w:t>
      </w:r>
      <w:r>
        <w:rPr>
          <w:bCs/>
        </w:rPr>
        <w:t>one of the primary Federal agencies</w:t>
      </w:r>
      <w:r w:rsidRPr="00982D89">
        <w:rPr>
          <w:bCs/>
        </w:rPr>
        <w:t xml:space="preserve"> that focus on violent crime, </w:t>
      </w:r>
      <w:r>
        <w:rPr>
          <w:bCs/>
        </w:rPr>
        <w:t>ATF’s core functions address</w:t>
      </w:r>
      <w:r w:rsidRPr="00982D89">
        <w:rPr>
          <w:bCs/>
        </w:rPr>
        <w:t xml:space="preserve"> criminal groups a</w:t>
      </w:r>
      <w:r>
        <w:rPr>
          <w:bCs/>
        </w:rPr>
        <w:t>nd gangs and the violence perpetrated by these offenders.  As such, ATF will</w:t>
      </w:r>
      <w:r w:rsidRPr="00982D89">
        <w:rPr>
          <w:bCs/>
        </w:rPr>
        <w:t xml:space="preserve"> focus its distinct investigative resources on identifying </w:t>
      </w:r>
      <w:r>
        <w:rPr>
          <w:bCs/>
        </w:rPr>
        <w:t>and responding to</w:t>
      </w:r>
      <w:r w:rsidRPr="00982D89">
        <w:rPr>
          <w:bCs/>
        </w:rPr>
        <w:t xml:space="preserve"> areas experiencing </w:t>
      </w:r>
      <w:r>
        <w:rPr>
          <w:bCs/>
        </w:rPr>
        <w:t xml:space="preserve">significant increases in firearms violence.  </w:t>
      </w:r>
    </w:p>
    <w:p w:rsidR="00127CE8" w:rsidRDefault="00127CE8" w:rsidP="00127CE8">
      <w:pPr>
        <w:rPr>
          <w:bCs/>
        </w:rPr>
      </w:pPr>
    </w:p>
    <w:p w:rsidR="00127CE8" w:rsidRDefault="00127CE8" w:rsidP="00127CE8">
      <w:r>
        <w:t xml:space="preserve">ATF seeks to focus </w:t>
      </w:r>
      <w:r w:rsidRPr="00265432">
        <w:t>its</w:t>
      </w:r>
      <w:r>
        <w:t xml:space="preserve"> extensive and distinct</w:t>
      </w:r>
      <w:r w:rsidRPr="00265432">
        <w:t xml:space="preserve"> investigative resources on </w:t>
      </w:r>
      <w:r>
        <w:t xml:space="preserve">assessing violent crime activity across the country and </w:t>
      </w:r>
      <w:r w:rsidRPr="00265432">
        <w:t>identifying areas experiencing the most violent crime</w:t>
      </w:r>
      <w:r>
        <w:t>. ATF will partner with other Federal, s</w:t>
      </w:r>
      <w:r w:rsidRPr="00265432">
        <w:t xml:space="preserve">tate and local law enforcement agencies to </w:t>
      </w:r>
      <w:r>
        <w:t>disrupt</w:t>
      </w:r>
      <w:r w:rsidRPr="00265432">
        <w:t xml:space="preserve"> and dismantle armed violent criminal organizations in select ‘</w:t>
      </w:r>
      <w:r>
        <w:t>targeted</w:t>
      </w:r>
      <w:r w:rsidRPr="00265432">
        <w:t>’ areas and the “worst of the worst” operating within them.  In these selected areas A</w:t>
      </w:r>
      <w:r>
        <w:t>TF will, in collaboration with state and l</w:t>
      </w:r>
      <w:r w:rsidRPr="00265432">
        <w:t>ocal authorities, create a localized strategy and implementation plan</w:t>
      </w:r>
      <w:r>
        <w:t>.</w:t>
      </w:r>
      <w:r w:rsidRPr="00265432">
        <w:t xml:space="preserve"> </w:t>
      </w:r>
      <w:r>
        <w:t xml:space="preserve">This plan will detail how the </w:t>
      </w:r>
      <w:r w:rsidRPr="00265432">
        <w:t xml:space="preserve">violent crime activity will be measured </w:t>
      </w:r>
      <w:r>
        <w:t>and use</w:t>
      </w:r>
      <w:r w:rsidRPr="00265432">
        <w:t xml:space="preserve"> standardized metrics to ensure that ATF is effectively and efficiently focusing its investigative efforts where they are most</w:t>
      </w:r>
      <w:r w:rsidRPr="005E2A4F">
        <w:t xml:space="preserve"> needed</w:t>
      </w:r>
      <w:r>
        <w:t>.</w:t>
      </w:r>
    </w:p>
    <w:p w:rsidR="00127CE8" w:rsidRDefault="00127CE8" w:rsidP="00127CE8"/>
    <w:p w:rsidR="00127CE8" w:rsidRDefault="00127CE8" w:rsidP="00127CE8">
      <w:r>
        <w:t xml:space="preserve">Under the Frontline business model ATF will be planning and executing the appropriate responses to intelligence-derived assessments, which will culminate in ATF conducting </w:t>
      </w:r>
      <w:r>
        <w:lastRenderedPageBreak/>
        <w:t xml:space="preserve">intelligence-led investigations and inspections consistently throughout the field.  This approach is the essence of ATF’s Frontline business model.  Targeted, focused investigations and inspections will allow ATF field offices to prioritize their enforcement efforts across the nation in accordance with established strategic goals and plans. These efforts include reinforcing the intelligence capacity in ATF’s field divisions.   </w:t>
      </w:r>
      <w:r>
        <w:rPr>
          <w:bCs/>
        </w:rPr>
        <w:t xml:space="preserve">Under the intelligence-led approach and Frontline business model, these resources will be strategically deployed to address identified threats across the nation.  </w:t>
      </w:r>
      <w:r w:rsidDel="0013177A">
        <w:rPr>
          <w:bCs/>
        </w:rPr>
        <w:t xml:space="preserve"> </w:t>
      </w:r>
    </w:p>
    <w:p w:rsidR="00127CE8" w:rsidRDefault="00127CE8" w:rsidP="00127CE8"/>
    <w:p w:rsidR="00127CE8" w:rsidRDefault="00127CE8" w:rsidP="00127CE8">
      <w:r>
        <w:t>Funding of $</w:t>
      </w:r>
      <w:r w:rsidR="004E2645">
        <w:t>8</w:t>
      </w:r>
      <w:r>
        <w:t xml:space="preserve"> million in this request will provide enhanced tracing capabilities at ATF’s National Tracing Center,</w:t>
      </w:r>
      <w:r w:rsidRPr="0032011B">
        <w:t xml:space="preserve"> another key component in fighting violent crime.  Each year, the NTC traces hundreds of thousands of recovered crime guns for law enforcement.  The NTC is the only repository of crime gun trace data, multiple handgun sales information, </w:t>
      </w:r>
      <w:r>
        <w:t>demand letter information, FFL theft information, interstate t</w:t>
      </w:r>
      <w:r w:rsidRPr="0032011B">
        <w:t xml:space="preserve">heft information, suspect gun information, and firearms transaction records from out-of-business FFLs. </w:t>
      </w:r>
      <w:r>
        <w:t xml:space="preserve">  </w:t>
      </w:r>
      <w:r w:rsidRPr="0032011B">
        <w:t xml:space="preserve">The trace information allows ATF to link suspects to firearms in criminal investigations for </w:t>
      </w:r>
      <w:r>
        <w:t>Federal</w:t>
      </w:r>
      <w:r w:rsidRPr="0032011B">
        <w:t xml:space="preserve">, state, and local law enforcement agencies making the trace requests; to identify illegal firearms traffickers through recurring patterns and trends indicative of illegal firearms trafficking; and provides ATF a means through analysis of the aggregate trace data to help communities develop focused strategies and programs that address specific factors that contribute to armed crime.  </w:t>
      </w:r>
    </w:p>
    <w:p w:rsidR="00127CE8" w:rsidRPr="00B2482E" w:rsidRDefault="00127CE8" w:rsidP="00127CE8">
      <w:pPr>
        <w:pStyle w:val="BodyText"/>
        <w:spacing w:before="100" w:beforeAutospacing="1" w:after="100" w:afterAutospacing="1"/>
      </w:pPr>
      <w:r>
        <w:t>The requested funding will enhance ATF’s ability to conduct fair and effective regulation the firearms industry.  The request includes</w:t>
      </w:r>
      <w:r w:rsidR="00EB0392">
        <w:t xml:space="preserve"> $4.9 million and</w:t>
      </w:r>
      <w:r>
        <w:t xml:space="preserve"> 60 additional Industry Operations Investigators (IOIs) that will support Federal Firearms Licensee (FFL) application and compliance inspections, which </w:t>
      </w:r>
      <w:r w:rsidRPr="00A16EBA">
        <w:t>is a key component of ATF’s firearms enf</w:t>
      </w:r>
      <w:r>
        <w:t xml:space="preserve">orcement efforts.  </w:t>
      </w:r>
      <w:r w:rsidRPr="00A16EBA">
        <w:t xml:space="preserve">ATF investigates FFL applicants to determine eligibility and to educate them </w:t>
      </w:r>
      <w:r>
        <w:t>on</w:t>
      </w:r>
      <w:r w:rsidRPr="00A16EBA">
        <w:t xml:space="preserve"> their recordkeeping responsibilities</w:t>
      </w:r>
      <w:r>
        <w:t>;</w:t>
      </w:r>
      <w:r w:rsidRPr="00A16EBA">
        <w:t xml:space="preserve"> conducts compliance </w:t>
      </w:r>
      <w:r>
        <w:t>inspection</w:t>
      </w:r>
      <w:r w:rsidRPr="00A16EBA">
        <w:t>s of current FFLs</w:t>
      </w:r>
      <w:r>
        <w:t>;</w:t>
      </w:r>
      <w:r w:rsidRPr="00A16EBA">
        <w:t xml:space="preserve"> and</w:t>
      </w:r>
      <w:r>
        <w:t>,</w:t>
      </w:r>
      <w:r w:rsidRPr="00A16EBA">
        <w:t xml:space="preserve"> collaborates with industry on voluntary compliance efforts.  </w:t>
      </w:r>
      <w:r>
        <w:rPr>
          <w:color w:val="000000"/>
        </w:rPr>
        <w:t>ATF I</w:t>
      </w:r>
      <w:r w:rsidRPr="00A16EBA">
        <w:rPr>
          <w:color w:val="000000"/>
        </w:rPr>
        <w:t xml:space="preserve">OIs conduct </w:t>
      </w:r>
      <w:r>
        <w:rPr>
          <w:color w:val="000000"/>
        </w:rPr>
        <w:t>inspection</w:t>
      </w:r>
      <w:r w:rsidRPr="00A16EBA">
        <w:rPr>
          <w:color w:val="000000"/>
        </w:rPr>
        <w:t>s of FFLs to ensure compliance with the law and regulations and assist with business practices designed to improve compliance with the G</w:t>
      </w:r>
      <w:r>
        <w:rPr>
          <w:color w:val="000000"/>
        </w:rPr>
        <w:t>un Control Act (G</w:t>
      </w:r>
      <w:r w:rsidRPr="00A16EBA">
        <w:rPr>
          <w:color w:val="000000"/>
        </w:rPr>
        <w:t>CA</w:t>
      </w:r>
      <w:r>
        <w:rPr>
          <w:color w:val="000000"/>
        </w:rPr>
        <w:t>)</w:t>
      </w:r>
      <w:r w:rsidRPr="00A16EBA">
        <w:rPr>
          <w:color w:val="000000"/>
        </w:rPr>
        <w:t xml:space="preserve">.  </w:t>
      </w:r>
    </w:p>
    <w:p w:rsidR="00127CE8" w:rsidRDefault="00127CE8" w:rsidP="00127CE8">
      <w:pPr>
        <w:rPr>
          <w:b/>
          <w:bCs/>
          <w:u w:val="single"/>
        </w:rPr>
      </w:pPr>
      <w:r>
        <w:rPr>
          <w:b/>
          <w:bCs/>
          <w:u w:val="single"/>
        </w:rPr>
        <w:t>Impact on Performance:</w:t>
      </w:r>
    </w:p>
    <w:p w:rsidR="00127CE8" w:rsidRDefault="00127CE8" w:rsidP="00127CE8">
      <w:pPr>
        <w:ind w:left="1080"/>
      </w:pPr>
    </w:p>
    <w:p w:rsidR="00127CE8" w:rsidRDefault="00127CE8" w:rsidP="00127CE8">
      <w:r>
        <w:t>A</w:t>
      </w:r>
      <w:r w:rsidRPr="002F788D">
        <w:t xml:space="preserve">s part of ATF’s </w:t>
      </w:r>
      <w:r>
        <w:t>Frontline</w:t>
      </w:r>
      <w:r w:rsidRPr="009F2A76">
        <w:rPr>
          <w:b/>
          <w:i/>
        </w:rPr>
        <w:t xml:space="preserve"> </w:t>
      </w:r>
      <w:r>
        <w:t>business model</w:t>
      </w:r>
      <w:r w:rsidRPr="002F788D">
        <w:t xml:space="preserve">, ATF </w:t>
      </w:r>
      <w:r>
        <w:t xml:space="preserve">will </w:t>
      </w:r>
      <w:r w:rsidRPr="002F788D">
        <w:t>conduct comprehensive violent crime assessments for each field division</w:t>
      </w:r>
      <w:r>
        <w:t xml:space="preserve"> area of responsibility and</w:t>
      </w:r>
      <w:r w:rsidRPr="002F788D">
        <w:t xml:space="preserve"> develop </w:t>
      </w:r>
      <w:r>
        <w:t xml:space="preserve">intelligence led </w:t>
      </w:r>
      <w:r w:rsidRPr="002F788D">
        <w:t>regional enforcement and deployment strategies</w:t>
      </w:r>
      <w:r>
        <w:t xml:space="preserve"> to address the entire threat matrix – violent gangs, firearms trafficking, criminal possession and use of firearms and bombings and explosives.  </w:t>
      </w:r>
    </w:p>
    <w:p w:rsidR="00127CE8" w:rsidRDefault="00127CE8" w:rsidP="00127CE8"/>
    <w:p w:rsidR="00127CE8" w:rsidRDefault="00127CE8" w:rsidP="00127CE8">
      <w:r>
        <w:t xml:space="preserve">ATF’s crime gun tracing capabilities will be increased with additional capacity and shorter average trace times (in days).  Additionally, ATF’s ability to address the increasing number of trace requests each year will be enhanced. </w:t>
      </w:r>
    </w:p>
    <w:p w:rsidR="00127CE8" w:rsidRDefault="00127CE8" w:rsidP="00127CE8"/>
    <w:p w:rsidR="00127CE8" w:rsidRPr="00B2482E" w:rsidRDefault="00127CE8" w:rsidP="00127CE8">
      <w:r>
        <w:t>Resources associated with ATF’s industry inspection activities will increase FFL and pawnbroker compliance and deny prohibited persons and terrorists access to firearms.  This initiative will enhance public safety by addressing potential interstate trafficking in firearms and the diversion of firearms from legal commerce to prohibited persons.</w:t>
      </w:r>
    </w:p>
    <w:p w:rsidR="00127CE8" w:rsidRDefault="00127CE8" w:rsidP="00127CE8">
      <w:pPr>
        <w:jc w:val="center"/>
        <w:rPr>
          <w:b/>
          <w:bCs/>
        </w:rPr>
      </w:pPr>
    </w:p>
    <w:p w:rsidR="00127CE8" w:rsidRDefault="00127CE8" w:rsidP="00127CE8">
      <w:pPr>
        <w:jc w:val="center"/>
        <w:rPr>
          <w:b/>
          <w:bCs/>
        </w:rPr>
      </w:pPr>
    </w:p>
    <w:p w:rsidR="00127CE8" w:rsidRPr="00472EA7" w:rsidRDefault="00127CE8" w:rsidP="00127CE8">
      <w:pPr>
        <w:jc w:val="center"/>
        <w:rPr>
          <w:b/>
          <w:bCs/>
        </w:rPr>
      </w:pPr>
      <w:r w:rsidRPr="008572B2">
        <w:rPr>
          <w:b/>
          <w:bCs/>
        </w:rPr>
        <w:t>Funding</w:t>
      </w:r>
    </w:p>
    <w:p w:rsidR="00127CE8" w:rsidRPr="00472EA7" w:rsidRDefault="00127CE8" w:rsidP="00127CE8">
      <w:pPr>
        <w:pStyle w:val="Header"/>
        <w:rPr>
          <w:u w:val="single"/>
        </w:rPr>
      </w:pPr>
      <w:r w:rsidRPr="00472EA7">
        <w:rPr>
          <w:u w:val="single"/>
        </w:rPr>
        <w:t>Base Funding</w:t>
      </w:r>
    </w:p>
    <w:p w:rsidR="00127CE8" w:rsidRPr="00472EA7" w:rsidRDefault="00127CE8" w:rsidP="00127CE8">
      <w:pPr>
        <w:pStyle w:val="Header"/>
        <w:rPr>
          <w:u w:val="single"/>
        </w:rPr>
      </w:pPr>
    </w:p>
    <w:tbl>
      <w:tblPr>
        <w:tblW w:w="0" w:type="auto"/>
        <w:tblInd w:w="-252" w:type="dxa"/>
        <w:tblCellMar>
          <w:left w:w="0" w:type="dxa"/>
          <w:right w:w="0" w:type="dxa"/>
        </w:tblCellMar>
        <w:tblLook w:val="0000"/>
      </w:tblPr>
      <w:tblGrid>
        <w:gridCol w:w="676"/>
        <w:gridCol w:w="680"/>
        <w:gridCol w:w="699"/>
        <w:gridCol w:w="1147"/>
        <w:gridCol w:w="676"/>
        <w:gridCol w:w="680"/>
        <w:gridCol w:w="828"/>
        <w:gridCol w:w="1035"/>
        <w:gridCol w:w="676"/>
        <w:gridCol w:w="810"/>
        <w:gridCol w:w="864"/>
        <w:gridCol w:w="1057"/>
      </w:tblGrid>
      <w:tr w:rsidR="007C6619" w:rsidRPr="00472EA7" w:rsidTr="00D7575E">
        <w:tc>
          <w:tcPr>
            <w:tcW w:w="3420"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127CE8" w:rsidRPr="00692A6E" w:rsidRDefault="00127CE8" w:rsidP="00D7575E">
            <w:pPr>
              <w:pStyle w:val="Heading7"/>
              <w:rPr>
                <w:b w:val="0"/>
                <w:szCs w:val="24"/>
              </w:rPr>
            </w:pPr>
            <w:r w:rsidRPr="00692A6E">
              <w:rPr>
                <w:b w:val="0"/>
                <w:szCs w:val="24"/>
              </w:rPr>
              <w:t>FY 20</w:t>
            </w:r>
            <w:r>
              <w:rPr>
                <w:b w:val="0"/>
                <w:szCs w:val="24"/>
              </w:rPr>
              <w:t>12</w:t>
            </w:r>
            <w:r w:rsidRPr="00692A6E">
              <w:rPr>
                <w:b w:val="0"/>
                <w:szCs w:val="24"/>
              </w:rPr>
              <w:t xml:space="preserve"> Enacted </w:t>
            </w:r>
          </w:p>
        </w:tc>
        <w:tc>
          <w:tcPr>
            <w:tcW w:w="3420" w:type="dxa"/>
            <w:gridSpan w:val="4"/>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127CE8" w:rsidRPr="00692A6E" w:rsidRDefault="00127CE8" w:rsidP="00D7575E">
            <w:pPr>
              <w:pStyle w:val="Heading7"/>
              <w:rPr>
                <w:b w:val="0"/>
                <w:szCs w:val="24"/>
              </w:rPr>
            </w:pPr>
            <w:r w:rsidRPr="00692A6E">
              <w:rPr>
                <w:b w:val="0"/>
                <w:szCs w:val="24"/>
              </w:rPr>
              <w:t>FY 201</w:t>
            </w:r>
            <w:r>
              <w:rPr>
                <w:b w:val="0"/>
                <w:szCs w:val="24"/>
              </w:rPr>
              <w:t>3 President’s Budget</w:t>
            </w:r>
          </w:p>
        </w:tc>
        <w:tc>
          <w:tcPr>
            <w:tcW w:w="3600" w:type="dxa"/>
            <w:gridSpan w:val="4"/>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127CE8" w:rsidRPr="00692A6E" w:rsidRDefault="00127CE8" w:rsidP="00D7575E">
            <w:pPr>
              <w:pStyle w:val="Heading7"/>
              <w:rPr>
                <w:b w:val="0"/>
                <w:szCs w:val="24"/>
              </w:rPr>
            </w:pPr>
            <w:r w:rsidRPr="00692A6E">
              <w:rPr>
                <w:b w:val="0"/>
                <w:szCs w:val="24"/>
              </w:rPr>
              <w:t>FY 201</w:t>
            </w:r>
            <w:r>
              <w:rPr>
                <w:b w:val="0"/>
                <w:szCs w:val="24"/>
              </w:rPr>
              <w:t>4</w:t>
            </w:r>
            <w:r w:rsidRPr="00692A6E">
              <w:rPr>
                <w:b w:val="0"/>
                <w:szCs w:val="24"/>
              </w:rPr>
              <w:t xml:space="preserve"> Current Services</w:t>
            </w:r>
          </w:p>
        </w:tc>
      </w:tr>
      <w:tr w:rsidR="007C6619" w:rsidRPr="00472EA7" w:rsidTr="00D7575E">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7CE8" w:rsidRPr="00472EA7" w:rsidRDefault="00127CE8" w:rsidP="00D7575E">
            <w:pPr>
              <w:pStyle w:val="xl24"/>
              <w:jc w:val="center"/>
            </w:pPr>
            <w:r w:rsidRPr="00472EA7">
              <w:t>Pos</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27CE8" w:rsidRPr="00472EA7" w:rsidRDefault="00127CE8" w:rsidP="00D7575E">
            <w:pPr>
              <w:pStyle w:val="xl24"/>
              <w:jc w:val="center"/>
            </w:pPr>
            <w:r w:rsidRPr="00472EA7">
              <w:t>Agt</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27CE8" w:rsidRPr="00472EA7" w:rsidRDefault="00127CE8" w:rsidP="00D7575E">
            <w:pPr>
              <w:pStyle w:val="xl24"/>
              <w:jc w:val="center"/>
            </w:pPr>
            <w:r w:rsidRPr="00472EA7">
              <w:t>FTE</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7CE8" w:rsidRPr="00472EA7" w:rsidRDefault="00127CE8" w:rsidP="00D7575E">
            <w:pPr>
              <w:pStyle w:val="xl24"/>
              <w:jc w:val="center"/>
            </w:pPr>
            <w:r w:rsidRPr="00472EA7">
              <w:t>$(000)</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27CE8" w:rsidRPr="00472EA7" w:rsidRDefault="00127CE8" w:rsidP="00D7575E">
            <w:pPr>
              <w:pStyle w:val="xl24"/>
              <w:jc w:val="center"/>
            </w:pPr>
            <w:r w:rsidRPr="00472EA7">
              <w:t>Pos</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27CE8" w:rsidRPr="00472EA7" w:rsidRDefault="00127CE8" w:rsidP="00D7575E">
            <w:pPr>
              <w:pStyle w:val="xl24"/>
              <w:jc w:val="center"/>
            </w:pPr>
            <w:r w:rsidRPr="00472EA7">
              <w:t>Agt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27CE8" w:rsidRPr="00472EA7" w:rsidRDefault="00127CE8" w:rsidP="00D7575E">
            <w:pPr>
              <w:pStyle w:val="xl24"/>
              <w:jc w:val="center"/>
            </w:pPr>
            <w:r w:rsidRPr="00472EA7">
              <w:t>FTE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7CE8" w:rsidRPr="00472EA7" w:rsidRDefault="00127CE8" w:rsidP="00D7575E">
            <w:pPr>
              <w:pStyle w:val="xl24"/>
              <w:jc w:val="center"/>
            </w:pPr>
            <w:r w:rsidRPr="00472EA7">
              <w:t>$(000)</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27CE8" w:rsidRPr="00472EA7" w:rsidRDefault="00127CE8" w:rsidP="00D7575E">
            <w:pPr>
              <w:pStyle w:val="xl24"/>
              <w:jc w:val="center"/>
            </w:pPr>
            <w:r w:rsidRPr="00472EA7">
              <w:t>Pos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27CE8" w:rsidRPr="00472EA7" w:rsidRDefault="00127CE8" w:rsidP="00D7575E">
            <w:pPr>
              <w:pStyle w:val="xl24"/>
              <w:jc w:val="center"/>
            </w:pPr>
            <w:r w:rsidRPr="00472EA7">
              <w:t>Agt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27CE8" w:rsidRPr="00472EA7" w:rsidRDefault="00127CE8" w:rsidP="00D7575E">
            <w:pPr>
              <w:pStyle w:val="xl24"/>
              <w:jc w:val="center"/>
            </w:pPr>
            <w:r w:rsidRPr="00472EA7">
              <w:t>FTE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7CE8" w:rsidRPr="00472EA7" w:rsidRDefault="00127CE8" w:rsidP="00D7575E">
            <w:pPr>
              <w:pStyle w:val="xl24"/>
              <w:jc w:val="center"/>
            </w:pPr>
            <w:r w:rsidRPr="00472EA7">
              <w:t>$(000)</w:t>
            </w:r>
          </w:p>
        </w:tc>
      </w:tr>
      <w:tr w:rsidR="007C6619" w:rsidRPr="00206A84" w:rsidTr="00D7575E">
        <w:tc>
          <w:tcPr>
            <w:tcW w:w="720" w:type="dxa"/>
            <w:tcBorders>
              <w:top w:val="nil"/>
              <w:left w:val="single" w:sz="8" w:space="0" w:color="auto"/>
              <w:bottom w:val="single" w:sz="8" w:space="0" w:color="auto"/>
              <w:right w:val="single" w:sz="8" w:space="0" w:color="auto"/>
            </w:tcBorders>
          </w:tcPr>
          <w:p w:rsidR="00127CE8" w:rsidRPr="00206A84" w:rsidRDefault="000A7402" w:rsidP="007C6619">
            <w:pPr>
              <w:pStyle w:val="xl24"/>
              <w:jc w:val="right"/>
            </w:pPr>
            <w:r>
              <w:t>3,</w:t>
            </w:r>
            <w:r w:rsidR="007C6619">
              <w:t>179</w:t>
            </w:r>
          </w:p>
        </w:tc>
        <w:tc>
          <w:tcPr>
            <w:tcW w:w="720" w:type="dxa"/>
            <w:tcBorders>
              <w:top w:val="nil"/>
              <w:left w:val="nil"/>
              <w:bottom w:val="single" w:sz="8" w:space="0" w:color="auto"/>
              <w:right w:val="single" w:sz="8" w:space="0" w:color="auto"/>
            </w:tcBorders>
          </w:tcPr>
          <w:p w:rsidR="00127CE8" w:rsidRPr="00206A84" w:rsidRDefault="007C6619" w:rsidP="007C6619">
            <w:pPr>
              <w:pStyle w:val="xl24"/>
              <w:jc w:val="right"/>
            </w:pPr>
            <w:r>
              <w:t>2</w:t>
            </w:r>
            <w:r w:rsidR="0041662F">
              <w:t>,</w:t>
            </w:r>
            <w:r>
              <w:t>042</w:t>
            </w:r>
          </w:p>
        </w:tc>
        <w:tc>
          <w:tcPr>
            <w:tcW w:w="720" w:type="dxa"/>
            <w:tcBorders>
              <w:top w:val="nil"/>
              <w:left w:val="nil"/>
              <w:bottom w:val="single" w:sz="8" w:space="0" w:color="auto"/>
              <w:right w:val="single" w:sz="8" w:space="0" w:color="auto"/>
            </w:tcBorders>
          </w:tcPr>
          <w:p w:rsidR="00127CE8" w:rsidRPr="00206A84" w:rsidRDefault="000A7402" w:rsidP="007C6619">
            <w:pPr>
              <w:pStyle w:val="xl24"/>
              <w:jc w:val="right"/>
            </w:pPr>
            <w:r>
              <w:t>3,</w:t>
            </w:r>
            <w:r w:rsidR="007C6619">
              <w:t>179</w:t>
            </w:r>
          </w:p>
        </w:tc>
        <w:tc>
          <w:tcPr>
            <w:tcW w:w="1260" w:type="dxa"/>
            <w:tcBorders>
              <w:top w:val="nil"/>
              <w:left w:val="nil"/>
              <w:bottom w:val="single" w:sz="8" w:space="0" w:color="auto"/>
              <w:right w:val="single" w:sz="8" w:space="0" w:color="auto"/>
            </w:tcBorders>
          </w:tcPr>
          <w:p w:rsidR="00127CE8" w:rsidRPr="00206A84" w:rsidRDefault="007C6619" w:rsidP="007C6619">
            <w:pPr>
              <w:pStyle w:val="xl24"/>
              <w:jc w:val="right"/>
            </w:pPr>
            <w:r>
              <w:t>736</w:t>
            </w:r>
            <w:r w:rsidR="000A7402">
              <w:t>,</w:t>
            </w:r>
            <w:r>
              <w:t>620</w:t>
            </w:r>
          </w:p>
        </w:tc>
        <w:tc>
          <w:tcPr>
            <w:tcW w:w="720" w:type="dxa"/>
            <w:tcBorders>
              <w:top w:val="nil"/>
              <w:left w:val="nil"/>
              <w:bottom w:val="single" w:sz="8" w:space="0" w:color="auto"/>
              <w:right w:val="single" w:sz="8" w:space="0" w:color="auto"/>
            </w:tcBorders>
          </w:tcPr>
          <w:p w:rsidR="00127CE8" w:rsidRPr="00206A84" w:rsidRDefault="000A7402" w:rsidP="007C6619">
            <w:pPr>
              <w:pStyle w:val="xl24"/>
              <w:jc w:val="right"/>
            </w:pPr>
            <w:r>
              <w:t>3,</w:t>
            </w:r>
            <w:r w:rsidR="007C6619">
              <w:t>179</w:t>
            </w:r>
          </w:p>
        </w:tc>
        <w:tc>
          <w:tcPr>
            <w:tcW w:w="720" w:type="dxa"/>
            <w:tcBorders>
              <w:top w:val="nil"/>
              <w:left w:val="nil"/>
              <w:bottom w:val="single" w:sz="8" w:space="0" w:color="auto"/>
              <w:right w:val="single" w:sz="8" w:space="0" w:color="auto"/>
            </w:tcBorders>
          </w:tcPr>
          <w:p w:rsidR="00127CE8" w:rsidRPr="00206A84" w:rsidRDefault="007C6619" w:rsidP="007C6619">
            <w:pPr>
              <w:pStyle w:val="xl24"/>
              <w:jc w:val="right"/>
            </w:pPr>
            <w:r>
              <w:t>2</w:t>
            </w:r>
            <w:r w:rsidR="0041662F">
              <w:t>,</w:t>
            </w:r>
            <w:r>
              <w:t>042</w:t>
            </w:r>
          </w:p>
        </w:tc>
        <w:tc>
          <w:tcPr>
            <w:tcW w:w="900" w:type="dxa"/>
            <w:tcBorders>
              <w:top w:val="nil"/>
              <w:left w:val="nil"/>
              <w:bottom w:val="single" w:sz="8" w:space="0" w:color="auto"/>
              <w:right w:val="single" w:sz="8" w:space="0" w:color="auto"/>
            </w:tcBorders>
          </w:tcPr>
          <w:p w:rsidR="00127CE8" w:rsidRPr="00206A84" w:rsidRDefault="007C6619" w:rsidP="007C6619">
            <w:pPr>
              <w:pStyle w:val="xl24"/>
              <w:jc w:val="right"/>
            </w:pPr>
            <w:r>
              <w:t>3</w:t>
            </w:r>
            <w:r w:rsidR="000A7402">
              <w:t>,</w:t>
            </w:r>
            <w:r>
              <w:t>179</w:t>
            </w:r>
          </w:p>
        </w:tc>
        <w:tc>
          <w:tcPr>
            <w:tcW w:w="1080" w:type="dxa"/>
            <w:tcBorders>
              <w:top w:val="nil"/>
              <w:left w:val="nil"/>
              <w:bottom w:val="single" w:sz="8" w:space="0" w:color="auto"/>
              <w:right w:val="single" w:sz="8" w:space="0" w:color="auto"/>
            </w:tcBorders>
          </w:tcPr>
          <w:p w:rsidR="00127CE8" w:rsidRPr="00206A84" w:rsidRDefault="007C6619" w:rsidP="007C6619">
            <w:pPr>
              <w:pStyle w:val="xl24"/>
              <w:jc w:val="right"/>
            </w:pPr>
            <w:r>
              <w:t>736,</w:t>
            </w:r>
            <w:r w:rsidR="000A7402">
              <w:t>5</w:t>
            </w:r>
            <w:r>
              <w:t>620</w:t>
            </w:r>
          </w:p>
        </w:tc>
        <w:tc>
          <w:tcPr>
            <w:tcW w:w="720" w:type="dxa"/>
            <w:tcBorders>
              <w:top w:val="nil"/>
              <w:left w:val="nil"/>
              <w:bottom w:val="single" w:sz="8" w:space="0" w:color="auto"/>
              <w:right w:val="single" w:sz="8" w:space="0" w:color="auto"/>
            </w:tcBorders>
          </w:tcPr>
          <w:p w:rsidR="00127CE8" w:rsidRPr="00206A84" w:rsidRDefault="007C6619" w:rsidP="007C6619">
            <w:pPr>
              <w:pStyle w:val="xl24"/>
              <w:jc w:val="right"/>
            </w:pPr>
            <w:r>
              <w:t>2</w:t>
            </w:r>
            <w:r w:rsidR="000A7402">
              <w:t>,</w:t>
            </w:r>
            <w:r>
              <w:t>937</w:t>
            </w:r>
          </w:p>
        </w:tc>
        <w:tc>
          <w:tcPr>
            <w:tcW w:w="900" w:type="dxa"/>
            <w:tcBorders>
              <w:top w:val="nil"/>
              <w:left w:val="nil"/>
              <w:bottom w:val="single" w:sz="8" w:space="0" w:color="auto"/>
              <w:right w:val="single" w:sz="8" w:space="0" w:color="auto"/>
            </w:tcBorders>
          </w:tcPr>
          <w:p w:rsidR="00127CE8" w:rsidRPr="00206A84" w:rsidRDefault="00000882" w:rsidP="007C6619">
            <w:pPr>
              <w:pStyle w:val="xl24"/>
              <w:jc w:val="right"/>
            </w:pPr>
            <w:r>
              <w:t>1,8</w:t>
            </w:r>
            <w:r w:rsidR="007C6619">
              <w:t>74</w:t>
            </w:r>
          </w:p>
        </w:tc>
        <w:tc>
          <w:tcPr>
            <w:tcW w:w="900" w:type="dxa"/>
            <w:tcBorders>
              <w:top w:val="nil"/>
              <w:left w:val="nil"/>
              <w:bottom w:val="single" w:sz="8" w:space="0" w:color="auto"/>
              <w:right w:val="single" w:sz="8" w:space="0" w:color="auto"/>
            </w:tcBorders>
            <w:tcMar>
              <w:top w:w="0" w:type="dxa"/>
              <w:left w:w="115" w:type="dxa"/>
              <w:bottom w:w="0" w:type="dxa"/>
              <w:right w:w="115" w:type="dxa"/>
            </w:tcMar>
          </w:tcPr>
          <w:p w:rsidR="00127CE8" w:rsidRPr="00206A84" w:rsidRDefault="007C6619" w:rsidP="007C6619">
            <w:pPr>
              <w:pStyle w:val="xl24"/>
              <w:jc w:val="right"/>
            </w:pPr>
            <w:r>
              <w:t>2</w:t>
            </w:r>
            <w:r w:rsidR="000A7402">
              <w:t>,</w:t>
            </w:r>
            <w:r>
              <w:t>937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7CE8" w:rsidRPr="00206A84" w:rsidRDefault="007C6619" w:rsidP="007C6619">
            <w:pPr>
              <w:pStyle w:val="xl24"/>
              <w:jc w:val="right"/>
            </w:pPr>
            <w:r>
              <w:t>743</w:t>
            </w:r>
            <w:r w:rsidR="000A7402">
              <w:t>,</w:t>
            </w:r>
            <w:r>
              <w:t>931</w:t>
            </w:r>
          </w:p>
        </w:tc>
      </w:tr>
    </w:tbl>
    <w:p w:rsidR="00127CE8" w:rsidRDefault="00127CE8" w:rsidP="00127CE8">
      <w:pPr>
        <w:pStyle w:val="Header"/>
        <w:rPr>
          <w:u w:val="single"/>
        </w:rPr>
      </w:pPr>
    </w:p>
    <w:p w:rsidR="00127CE8" w:rsidRPr="00472EA7" w:rsidRDefault="00127CE8" w:rsidP="00127CE8">
      <w:pPr>
        <w:pStyle w:val="Header"/>
        <w:rPr>
          <w:u w:val="single"/>
        </w:rPr>
      </w:pPr>
      <w:r w:rsidRPr="00472EA7">
        <w:rPr>
          <w:u w:val="single"/>
        </w:rPr>
        <w:t>Personnel Increase Cost Summary</w:t>
      </w:r>
    </w:p>
    <w:p w:rsidR="00127CE8" w:rsidRPr="00472EA7" w:rsidRDefault="00127CE8" w:rsidP="00127CE8">
      <w:pPr>
        <w:pStyle w:val="Header"/>
        <w:rPr>
          <w:b/>
          <w:bCs/>
        </w:rPr>
      </w:pPr>
    </w:p>
    <w:tbl>
      <w:tblPr>
        <w:tblW w:w="9810" w:type="dxa"/>
        <w:tblInd w:w="-252" w:type="dxa"/>
        <w:tblCellMar>
          <w:left w:w="0" w:type="dxa"/>
          <w:right w:w="0" w:type="dxa"/>
        </w:tblCellMar>
        <w:tblLook w:val="0000"/>
      </w:tblPr>
      <w:tblGrid>
        <w:gridCol w:w="2700"/>
        <w:gridCol w:w="1620"/>
        <w:gridCol w:w="1440"/>
        <w:gridCol w:w="2070"/>
        <w:gridCol w:w="1980"/>
      </w:tblGrid>
      <w:tr w:rsidR="00127CE8" w:rsidRPr="00472EA7" w:rsidTr="00D7575E">
        <w:trPr>
          <w:cantSplit/>
          <w:trHeight w:val="935"/>
          <w:tblHeader/>
        </w:trPr>
        <w:tc>
          <w:tcPr>
            <w:tcW w:w="2700"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rsidR="00127CE8" w:rsidRPr="005444C2" w:rsidRDefault="00127CE8" w:rsidP="00D7575E">
            <w:pPr>
              <w:jc w:val="center"/>
              <w:rPr>
                <w:sz w:val="22"/>
                <w:szCs w:val="22"/>
              </w:rPr>
            </w:pPr>
            <w:r w:rsidRPr="005444C2">
              <w:rPr>
                <w:sz w:val="22"/>
                <w:szCs w:val="22"/>
              </w:rPr>
              <w:t>Type of Position</w:t>
            </w:r>
          </w:p>
        </w:tc>
        <w:tc>
          <w:tcPr>
            <w:tcW w:w="162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127CE8" w:rsidRPr="005444C2" w:rsidRDefault="00127CE8" w:rsidP="00D7575E">
            <w:pPr>
              <w:jc w:val="center"/>
              <w:rPr>
                <w:sz w:val="22"/>
                <w:szCs w:val="22"/>
              </w:rPr>
            </w:pPr>
            <w:r w:rsidRPr="005444C2">
              <w:rPr>
                <w:sz w:val="22"/>
                <w:szCs w:val="22"/>
              </w:rPr>
              <w:t>Modular Cost per Position ($000)</w:t>
            </w:r>
          </w:p>
        </w:tc>
        <w:tc>
          <w:tcPr>
            <w:tcW w:w="144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127CE8" w:rsidRPr="005444C2" w:rsidRDefault="00127CE8" w:rsidP="00D7575E">
            <w:pPr>
              <w:jc w:val="center"/>
              <w:rPr>
                <w:sz w:val="22"/>
                <w:szCs w:val="22"/>
              </w:rPr>
            </w:pPr>
            <w:r w:rsidRPr="005444C2">
              <w:rPr>
                <w:sz w:val="22"/>
                <w:szCs w:val="22"/>
              </w:rPr>
              <w:t>Number of Positions Requested</w:t>
            </w:r>
          </w:p>
        </w:tc>
        <w:tc>
          <w:tcPr>
            <w:tcW w:w="207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127CE8" w:rsidRPr="005444C2" w:rsidRDefault="00127CE8" w:rsidP="00D7575E">
            <w:pPr>
              <w:jc w:val="center"/>
              <w:rPr>
                <w:sz w:val="22"/>
                <w:szCs w:val="22"/>
              </w:rPr>
            </w:pPr>
            <w:r w:rsidRPr="005444C2">
              <w:rPr>
                <w:sz w:val="22"/>
                <w:szCs w:val="22"/>
              </w:rPr>
              <w:t>FY 2014 Request ($000)</w:t>
            </w:r>
          </w:p>
        </w:tc>
        <w:tc>
          <w:tcPr>
            <w:tcW w:w="198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127CE8" w:rsidRPr="005444C2" w:rsidRDefault="00127CE8" w:rsidP="00D7575E">
            <w:pPr>
              <w:jc w:val="center"/>
              <w:rPr>
                <w:sz w:val="22"/>
                <w:szCs w:val="22"/>
              </w:rPr>
            </w:pPr>
            <w:r w:rsidRPr="005444C2">
              <w:rPr>
                <w:sz w:val="22"/>
                <w:szCs w:val="22"/>
              </w:rPr>
              <w:t>FY 2015 Net Annualization (change from 2014)</w:t>
            </w:r>
          </w:p>
          <w:p w:rsidR="00127CE8" w:rsidRPr="005444C2" w:rsidRDefault="00127CE8" w:rsidP="00D7575E">
            <w:pPr>
              <w:jc w:val="center"/>
              <w:rPr>
                <w:sz w:val="22"/>
                <w:szCs w:val="22"/>
              </w:rPr>
            </w:pPr>
            <w:r w:rsidRPr="005444C2">
              <w:rPr>
                <w:sz w:val="22"/>
                <w:szCs w:val="22"/>
              </w:rPr>
              <w:t>($000)</w:t>
            </w:r>
          </w:p>
        </w:tc>
      </w:tr>
      <w:tr w:rsidR="00127CE8" w:rsidRPr="006B60AD" w:rsidTr="00D7575E">
        <w:trPr>
          <w:cantSplit/>
          <w:trHeight w:val="142"/>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7CE8" w:rsidRPr="006B60AD" w:rsidRDefault="00127CE8" w:rsidP="00D7575E">
            <w:pPr>
              <w:rPr>
                <w:b/>
                <w:i/>
              </w:rPr>
            </w:pPr>
            <w:r w:rsidRPr="00856E08">
              <w:t>Special Agents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6B60AD" w:rsidRDefault="00127CE8" w:rsidP="00D7575E">
            <w:pPr>
              <w:pStyle w:val="xl19"/>
              <w:jc w:val="right"/>
            </w:pPr>
            <w:r>
              <w:t>220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27CE8" w:rsidRPr="002E5248" w:rsidRDefault="00127CE8" w:rsidP="00D7575E">
            <w:pPr>
              <w:jc w:val="right"/>
            </w:pPr>
            <w:r>
              <w:t>160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6B60AD" w:rsidRDefault="00127CE8" w:rsidP="00D7575E">
            <w:pPr>
              <w:jc w:val="right"/>
            </w:pPr>
            <w:r>
              <w:t>35,239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6B60AD" w:rsidRDefault="0041662F" w:rsidP="00D7575E">
            <w:pPr>
              <w:jc w:val="right"/>
            </w:pPr>
            <w:r>
              <w:t>822</w:t>
            </w:r>
          </w:p>
        </w:tc>
      </w:tr>
      <w:tr w:rsidR="00127CE8" w:rsidRPr="006B60AD" w:rsidTr="00D7575E">
        <w:trPr>
          <w:cantSplit/>
          <w:trHeight w:val="142"/>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7CE8" w:rsidRPr="006B60AD" w:rsidRDefault="00127CE8" w:rsidP="00D7575E">
            <w:pPr>
              <w:rPr>
                <w:b/>
                <w:i/>
              </w:rPr>
            </w:pPr>
            <w:r w:rsidRPr="00856E08">
              <w:t>Industry Operations Investigators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6B60AD" w:rsidRDefault="00127CE8" w:rsidP="00D7575E">
            <w:pPr>
              <w:pStyle w:val="xl19"/>
              <w:jc w:val="right"/>
            </w:pPr>
            <w:r>
              <w:t>82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27CE8" w:rsidRPr="002E5248" w:rsidRDefault="00127CE8" w:rsidP="00D7575E">
            <w:pPr>
              <w:jc w:val="right"/>
            </w:pPr>
            <w:r>
              <w:t>60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6B60AD" w:rsidRDefault="00127CE8" w:rsidP="00D7575E">
            <w:pPr>
              <w:jc w:val="right"/>
            </w:pPr>
            <w:r>
              <w:t>4,951</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6B60AD" w:rsidRDefault="0041662F" w:rsidP="00D7575E">
            <w:pPr>
              <w:jc w:val="right"/>
            </w:pPr>
            <w:r>
              <w:t>4,432</w:t>
            </w:r>
          </w:p>
        </w:tc>
      </w:tr>
      <w:tr w:rsidR="00127CE8" w:rsidRPr="006B60AD" w:rsidTr="00D7575E">
        <w:trPr>
          <w:cantSplit/>
          <w:trHeight w:val="142"/>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7CE8" w:rsidRPr="006B60AD" w:rsidRDefault="00127CE8" w:rsidP="00D7575E">
            <w:pPr>
              <w:rPr>
                <w:b/>
                <w:i/>
              </w:rPr>
            </w:pPr>
            <w:r w:rsidRPr="00856E08">
              <w:t>Intelligence Research Specialists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6B60AD" w:rsidRDefault="00127CE8" w:rsidP="00D7575E">
            <w:pPr>
              <w:pStyle w:val="xl19"/>
              <w:jc w:val="right"/>
            </w:pPr>
            <w:r>
              <w:t>82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27CE8" w:rsidRPr="002E5248" w:rsidRDefault="00127CE8" w:rsidP="00D7575E">
            <w:pPr>
              <w:jc w:val="right"/>
            </w:pPr>
            <w:r>
              <w:t>25</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6B60AD" w:rsidRDefault="00127CE8" w:rsidP="00D7575E">
            <w:pPr>
              <w:jc w:val="right"/>
            </w:pPr>
            <w:r>
              <w:t>2,063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6B60AD" w:rsidRDefault="0041662F" w:rsidP="00D7575E">
            <w:pPr>
              <w:jc w:val="right"/>
            </w:pPr>
            <w:r>
              <w:t>2,067</w:t>
            </w:r>
          </w:p>
        </w:tc>
      </w:tr>
      <w:tr w:rsidR="00127CE8" w:rsidRPr="006B60AD" w:rsidTr="00D7575E">
        <w:trPr>
          <w:cantSplit/>
          <w:trHeight w:val="142"/>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7CE8" w:rsidRPr="006B60AD" w:rsidRDefault="00127CE8" w:rsidP="00D7575E">
            <w:pPr>
              <w:rPr>
                <w:b/>
                <w:i/>
              </w:rPr>
            </w:pPr>
            <w:r w:rsidRPr="00856E08">
              <w:t>Legal Instrument Examiners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6B60AD" w:rsidRDefault="00127CE8" w:rsidP="00D7575E">
            <w:pPr>
              <w:pStyle w:val="xl19"/>
              <w:jc w:val="right"/>
            </w:pPr>
            <w:r>
              <w:t>82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27CE8" w:rsidRPr="002E5248" w:rsidRDefault="00127CE8" w:rsidP="00D7575E">
            <w:pPr>
              <w:jc w:val="right"/>
            </w:pPr>
            <w:r>
              <w:t>10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6B60AD" w:rsidRDefault="00127CE8" w:rsidP="00D7575E">
            <w:pPr>
              <w:jc w:val="right"/>
            </w:pPr>
            <w:r>
              <w:t>825</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6B60AD" w:rsidRDefault="0041662F" w:rsidP="00D7575E">
            <w:pPr>
              <w:jc w:val="right"/>
            </w:pPr>
            <w:r>
              <w:t>827</w:t>
            </w:r>
          </w:p>
        </w:tc>
      </w:tr>
      <w:tr w:rsidR="00127CE8" w:rsidRPr="00472EA7" w:rsidTr="00D7575E">
        <w:trPr>
          <w:cantSplit/>
        </w:trPr>
        <w:tc>
          <w:tcPr>
            <w:tcW w:w="270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127CE8" w:rsidRPr="00472EA7" w:rsidRDefault="00127CE8" w:rsidP="00D7575E">
            <w:pPr>
              <w:rPr>
                <w:b/>
                <w:bCs/>
                <w:i/>
                <w:iCs/>
              </w:rPr>
            </w:pPr>
            <w:r>
              <w:rPr>
                <w:b/>
                <w:bCs/>
              </w:rPr>
              <w:t>Total Personnel</w:t>
            </w:r>
          </w:p>
        </w:tc>
        <w:tc>
          <w:tcPr>
            <w:tcW w:w="162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27CE8" w:rsidRPr="00472EA7" w:rsidRDefault="00127CE8" w:rsidP="00D7575E">
            <w:pPr>
              <w:pStyle w:val="xl19"/>
              <w:jc w:val="right"/>
            </w:pPr>
          </w:p>
        </w:tc>
        <w:tc>
          <w:tcPr>
            <w:tcW w:w="144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27CE8" w:rsidRPr="0058242F" w:rsidRDefault="00127CE8" w:rsidP="00D7575E">
            <w:pPr>
              <w:jc w:val="right"/>
              <w:rPr>
                <w:b/>
              </w:rPr>
            </w:pPr>
            <w:r>
              <w:rPr>
                <w:b/>
              </w:rPr>
              <w:t>255</w:t>
            </w:r>
          </w:p>
        </w:tc>
        <w:tc>
          <w:tcPr>
            <w:tcW w:w="207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27CE8" w:rsidRPr="00472EA7" w:rsidRDefault="00127CE8" w:rsidP="00D7575E">
            <w:pPr>
              <w:jc w:val="right"/>
              <w:rPr>
                <w:b/>
                <w:bCs/>
              </w:rPr>
            </w:pPr>
            <w:r>
              <w:rPr>
                <w:b/>
                <w:bCs/>
              </w:rPr>
              <w:t>43,078</w:t>
            </w:r>
          </w:p>
        </w:tc>
        <w:tc>
          <w:tcPr>
            <w:tcW w:w="19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27CE8" w:rsidRPr="00472EA7" w:rsidRDefault="0041662F" w:rsidP="00D7575E">
            <w:pPr>
              <w:jc w:val="right"/>
              <w:rPr>
                <w:b/>
                <w:bCs/>
              </w:rPr>
            </w:pPr>
            <w:r>
              <w:rPr>
                <w:b/>
                <w:bCs/>
              </w:rPr>
              <w:t>8,148</w:t>
            </w:r>
          </w:p>
        </w:tc>
      </w:tr>
    </w:tbl>
    <w:p w:rsidR="00127CE8" w:rsidRDefault="00127CE8" w:rsidP="00127CE8"/>
    <w:p w:rsidR="00127CE8" w:rsidRDefault="00127CE8" w:rsidP="00127CE8">
      <w:pPr>
        <w:rPr>
          <w:u w:val="single"/>
        </w:rPr>
      </w:pPr>
      <w:r w:rsidRPr="00472EA7">
        <w:rPr>
          <w:u w:val="single"/>
        </w:rPr>
        <w:t xml:space="preserve">Non-Personnel Increase Cost Summary </w:t>
      </w:r>
    </w:p>
    <w:p w:rsidR="00127CE8" w:rsidRPr="00472EA7" w:rsidRDefault="00127CE8" w:rsidP="00127CE8">
      <w:pPr>
        <w:rPr>
          <w:u w:val="single"/>
        </w:rPr>
      </w:pPr>
    </w:p>
    <w:tbl>
      <w:tblPr>
        <w:tblW w:w="9810" w:type="dxa"/>
        <w:tblInd w:w="-252" w:type="dxa"/>
        <w:tblCellMar>
          <w:left w:w="0" w:type="dxa"/>
          <w:right w:w="0" w:type="dxa"/>
        </w:tblCellMar>
        <w:tblLook w:val="0000"/>
      </w:tblPr>
      <w:tblGrid>
        <w:gridCol w:w="2700"/>
        <w:gridCol w:w="1620"/>
        <w:gridCol w:w="1498"/>
        <w:gridCol w:w="1973"/>
        <w:gridCol w:w="2019"/>
      </w:tblGrid>
      <w:tr w:rsidR="00127CE8" w:rsidRPr="00472EA7" w:rsidTr="00D7575E">
        <w:tc>
          <w:tcPr>
            <w:tcW w:w="270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127CE8" w:rsidRPr="00472EA7" w:rsidRDefault="00127CE8" w:rsidP="00D7575E">
            <w:pPr>
              <w:jc w:val="center"/>
            </w:pPr>
            <w:r w:rsidRPr="00472EA7">
              <w:t>Non-Personnel Item</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pPr>
              <w:jc w:val="center"/>
            </w:pPr>
            <w:r w:rsidRPr="00472EA7">
              <w:t>Unit Cost</w:t>
            </w:r>
          </w:p>
          <w:p w:rsidR="00127CE8" w:rsidRPr="00472EA7" w:rsidRDefault="00127CE8" w:rsidP="00D7575E">
            <w:pPr>
              <w:jc w:val="center"/>
            </w:pPr>
            <w:r w:rsidRPr="00472EA7">
              <w:t>($000)</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pPr>
              <w:jc w:val="center"/>
            </w:pPr>
            <w:r w:rsidRPr="00472EA7">
              <w:t>Quantity</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pPr>
              <w:jc w:val="center"/>
            </w:pPr>
            <w:r>
              <w:t>FY 2014</w:t>
            </w:r>
            <w:r w:rsidRPr="00472EA7">
              <w:t xml:space="preserve"> Request</w:t>
            </w:r>
          </w:p>
          <w:p w:rsidR="00127CE8" w:rsidRPr="00472EA7" w:rsidRDefault="00127CE8" w:rsidP="00D7575E">
            <w:pPr>
              <w:jc w:val="center"/>
            </w:pPr>
            <w:r w:rsidRPr="00472EA7">
              <w:t>($000)</w:t>
            </w:r>
          </w:p>
        </w:tc>
        <w:tc>
          <w:tcPr>
            <w:tcW w:w="20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pPr>
              <w:jc w:val="center"/>
            </w:pPr>
            <w:r>
              <w:t>FY 2015</w:t>
            </w:r>
            <w:r w:rsidRPr="00472EA7">
              <w:t xml:space="preserve"> Net</w:t>
            </w:r>
          </w:p>
          <w:p w:rsidR="00127CE8" w:rsidRPr="00472EA7" w:rsidRDefault="00127CE8" w:rsidP="00D7575E">
            <w:pPr>
              <w:jc w:val="center"/>
            </w:pPr>
            <w:r w:rsidRPr="00472EA7">
              <w:t>Annualization</w:t>
            </w:r>
          </w:p>
          <w:p w:rsidR="00127CE8" w:rsidRPr="00472EA7" w:rsidRDefault="00127CE8" w:rsidP="00D7575E">
            <w:pPr>
              <w:jc w:val="center"/>
            </w:pPr>
            <w:r w:rsidRPr="00472EA7">
              <w:t>(Change from 201</w:t>
            </w:r>
            <w:r>
              <w:t>4</w:t>
            </w:r>
            <w:r w:rsidRPr="00472EA7">
              <w:t>)</w:t>
            </w:r>
          </w:p>
          <w:p w:rsidR="00127CE8" w:rsidRPr="00472EA7" w:rsidRDefault="00127CE8" w:rsidP="00D7575E">
            <w:pPr>
              <w:jc w:val="center"/>
            </w:pPr>
            <w:r w:rsidRPr="00472EA7">
              <w:t>($000)</w:t>
            </w:r>
          </w:p>
        </w:tc>
      </w:tr>
      <w:tr w:rsidR="00127CE8" w:rsidRPr="00472EA7" w:rsidTr="00D7575E">
        <w:trPr>
          <w:trHeight w:val="45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27CE8" w:rsidRDefault="00127CE8" w:rsidP="00D7575E">
            <w:r>
              <w:t>Enhanced Tracing Capabilities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472EA7" w:rsidRDefault="00127CE8" w:rsidP="00D7575E">
            <w:pPr>
              <w:pStyle w:val="xl19"/>
              <w:jc w:val="right"/>
            </w:pP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472EA7" w:rsidRDefault="00127CE8" w:rsidP="00D7575E">
            <w:pPr>
              <w:jc w:val="right"/>
            </w:pP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Pr="00472EA7" w:rsidRDefault="004E2645" w:rsidP="004E2645">
            <w:pPr>
              <w:jc w:val="right"/>
            </w:pPr>
            <w:r>
              <w:t>8</w:t>
            </w:r>
            <w:r w:rsidR="00127CE8">
              <w:t>,000</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bottom"/>
          </w:tcPr>
          <w:p w:rsidR="00127CE8" w:rsidRDefault="00127CE8" w:rsidP="00D7575E">
            <w:pPr>
              <w:jc w:val="right"/>
            </w:pPr>
          </w:p>
          <w:p w:rsidR="00127CE8" w:rsidRPr="00472EA7" w:rsidRDefault="00127CE8" w:rsidP="00D7575E">
            <w:pPr>
              <w:jc w:val="right"/>
            </w:pPr>
            <w:r>
              <w:t>0</w:t>
            </w:r>
          </w:p>
        </w:tc>
      </w:tr>
      <w:tr w:rsidR="00127CE8" w:rsidRPr="00472EA7" w:rsidTr="00D7575E">
        <w:trPr>
          <w:trHeight w:val="322"/>
        </w:trPr>
        <w:tc>
          <w:tcPr>
            <w:tcW w:w="270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127CE8" w:rsidRDefault="00127CE8" w:rsidP="00D7575E">
            <w:r w:rsidRPr="00472EA7">
              <w:rPr>
                <w:b/>
                <w:bCs/>
              </w:rPr>
              <w:t>Total Non-Personnel</w:t>
            </w:r>
          </w:p>
        </w:tc>
        <w:tc>
          <w:tcPr>
            <w:tcW w:w="162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27CE8" w:rsidRPr="006606D7" w:rsidRDefault="00127CE8" w:rsidP="00D7575E">
            <w:pPr>
              <w:pStyle w:val="xl19"/>
              <w:jc w:val="right"/>
              <w:rPr>
                <w:b/>
              </w:rPr>
            </w:pPr>
          </w:p>
        </w:tc>
        <w:tc>
          <w:tcPr>
            <w:tcW w:w="149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27CE8" w:rsidRPr="006606D7" w:rsidRDefault="00127CE8" w:rsidP="00D7575E">
            <w:pPr>
              <w:jc w:val="right"/>
              <w:rPr>
                <w:b/>
              </w:rPr>
            </w:pPr>
          </w:p>
        </w:tc>
        <w:tc>
          <w:tcPr>
            <w:tcW w:w="197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27CE8" w:rsidRPr="006606D7" w:rsidRDefault="007C6619" w:rsidP="00D7575E">
            <w:pPr>
              <w:jc w:val="right"/>
              <w:rPr>
                <w:b/>
                <w:bCs/>
              </w:rPr>
            </w:pPr>
            <w:r>
              <w:rPr>
                <w:b/>
                <w:bCs/>
              </w:rPr>
              <w:t>8</w:t>
            </w:r>
            <w:r w:rsidR="00127CE8">
              <w:rPr>
                <w:b/>
                <w:bCs/>
              </w:rPr>
              <w:t>,000</w:t>
            </w:r>
          </w:p>
        </w:tc>
        <w:tc>
          <w:tcPr>
            <w:tcW w:w="201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27CE8" w:rsidRPr="006606D7" w:rsidRDefault="00127CE8" w:rsidP="00D7575E">
            <w:pPr>
              <w:jc w:val="right"/>
              <w:rPr>
                <w:b/>
              </w:rPr>
            </w:pPr>
            <w:r w:rsidRPr="009339E6">
              <w:rPr>
                <w:b/>
              </w:rPr>
              <w:t>0</w:t>
            </w:r>
          </w:p>
        </w:tc>
      </w:tr>
    </w:tbl>
    <w:p w:rsidR="00127CE8" w:rsidRPr="00347F5C" w:rsidRDefault="00127CE8" w:rsidP="00127CE8">
      <w:pPr>
        <w:pStyle w:val="xl24"/>
        <w:spacing w:before="0" w:after="0"/>
        <w:rPr>
          <w:u w:val="single"/>
        </w:rPr>
      </w:pPr>
      <w:r w:rsidRPr="00347F5C">
        <w:rPr>
          <w:u w:val="single"/>
        </w:rPr>
        <w:t>Total Request for this Item</w:t>
      </w:r>
    </w:p>
    <w:tbl>
      <w:tblPr>
        <w:tblW w:w="9720" w:type="dxa"/>
        <w:tblInd w:w="-252" w:type="dxa"/>
        <w:tblCellMar>
          <w:left w:w="0" w:type="dxa"/>
          <w:right w:w="0" w:type="dxa"/>
        </w:tblCellMar>
        <w:tblLook w:val="0000"/>
      </w:tblPr>
      <w:tblGrid>
        <w:gridCol w:w="1929"/>
        <w:gridCol w:w="951"/>
        <w:gridCol w:w="900"/>
        <w:gridCol w:w="1080"/>
        <w:gridCol w:w="1446"/>
        <w:gridCol w:w="1800"/>
        <w:gridCol w:w="1614"/>
      </w:tblGrid>
      <w:tr w:rsidR="00C240A4" w:rsidRPr="00472EA7" w:rsidTr="00D7575E">
        <w:trPr>
          <w:trHeight w:val="658"/>
        </w:trPr>
        <w:tc>
          <w:tcPr>
            <w:tcW w:w="1929"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127CE8" w:rsidRPr="00472EA7" w:rsidRDefault="00127CE8" w:rsidP="00D7575E"/>
          <w:p w:rsidR="00127CE8" w:rsidRPr="00472EA7" w:rsidRDefault="00127CE8" w:rsidP="00D7575E"/>
        </w:tc>
        <w:tc>
          <w:tcPr>
            <w:tcW w:w="9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pPr>
              <w:jc w:val="center"/>
            </w:pPr>
            <w:r w:rsidRPr="00472EA7">
              <w:t>Pos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pPr>
              <w:jc w:val="center"/>
            </w:pPr>
            <w:r>
              <w:t>Agt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pPr>
              <w:jc w:val="center"/>
            </w:pPr>
            <w:r w:rsidRPr="00472EA7">
              <w:t>FTE</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pPr>
              <w:jc w:val="center"/>
            </w:pPr>
            <w:r w:rsidRPr="00472EA7">
              <w:t>Personnel</w:t>
            </w:r>
          </w:p>
          <w:p w:rsidR="00127CE8" w:rsidRPr="00472EA7" w:rsidRDefault="00127CE8" w:rsidP="00D7575E">
            <w:pPr>
              <w:jc w:val="center"/>
            </w:pPr>
            <w:r w:rsidRPr="00472EA7">
              <w:t>($000)</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pPr>
              <w:jc w:val="center"/>
            </w:pPr>
            <w:r w:rsidRPr="00472EA7">
              <w:t>Non-Personnel</w:t>
            </w:r>
          </w:p>
          <w:p w:rsidR="00127CE8" w:rsidRPr="00472EA7" w:rsidRDefault="00127CE8" w:rsidP="00D7575E">
            <w:pPr>
              <w:jc w:val="center"/>
            </w:pPr>
            <w:r w:rsidRPr="00472EA7">
              <w:t>($000)</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pPr>
              <w:jc w:val="center"/>
            </w:pPr>
            <w:r w:rsidRPr="00472EA7">
              <w:t>Total</w:t>
            </w:r>
          </w:p>
          <w:p w:rsidR="00127CE8" w:rsidRPr="00472EA7" w:rsidRDefault="00127CE8" w:rsidP="00D7575E">
            <w:pPr>
              <w:jc w:val="center"/>
            </w:pPr>
            <w:r w:rsidRPr="00472EA7">
              <w:t>($000)</w:t>
            </w:r>
          </w:p>
        </w:tc>
      </w:tr>
      <w:tr w:rsidR="00C240A4" w:rsidRPr="00472EA7" w:rsidTr="00D7575E">
        <w:trPr>
          <w:trHeight w:val="350"/>
        </w:trPr>
        <w:tc>
          <w:tcPr>
            <w:tcW w:w="1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r w:rsidRPr="00472EA7">
              <w:t>Current Services</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7C6619" w:rsidP="007C6619">
            <w:pPr>
              <w:jc w:val="right"/>
            </w:pPr>
            <w:r>
              <w:t>2</w:t>
            </w:r>
            <w:r w:rsidR="00000882">
              <w:t>,</w:t>
            </w:r>
            <w:r>
              <w:t>937</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000882" w:rsidP="007C6619">
            <w:pPr>
              <w:jc w:val="right"/>
            </w:pPr>
            <w:r>
              <w:t>1,8</w:t>
            </w:r>
            <w:r w:rsidR="007C6619">
              <w:t>74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7C6619" w:rsidP="007C6619">
            <w:pPr>
              <w:jc w:val="right"/>
            </w:pPr>
            <w:r>
              <w:t>2,937</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7C6619" w:rsidP="007C6619">
            <w:pPr>
              <w:jc w:val="right"/>
            </w:pPr>
            <w:r>
              <w:t>483,555</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C240A4" w:rsidP="00C240A4">
            <w:pPr>
              <w:jc w:val="right"/>
            </w:pPr>
            <w:r>
              <w:t>260,376</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7C6619" w:rsidP="007C6619">
            <w:pPr>
              <w:jc w:val="right"/>
            </w:pPr>
            <w:r>
              <w:t>743,931</w:t>
            </w:r>
          </w:p>
        </w:tc>
      </w:tr>
      <w:tr w:rsidR="00C240A4" w:rsidRPr="00472EA7" w:rsidTr="00D7575E">
        <w:trPr>
          <w:trHeight w:val="250"/>
        </w:trPr>
        <w:tc>
          <w:tcPr>
            <w:tcW w:w="1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r w:rsidRPr="00472EA7">
              <w:t>Increases</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Default="00127CE8" w:rsidP="00D7575E">
            <w:pPr>
              <w:jc w:val="right"/>
            </w:pPr>
            <w:r>
              <w:t>255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Default="001A6973" w:rsidP="001A6973">
            <w:pPr>
              <w:jc w:val="right"/>
            </w:pPr>
            <w:r>
              <w:t>160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Default="00127CE8" w:rsidP="00D7575E">
            <w:pPr>
              <w:jc w:val="right"/>
            </w:pPr>
            <w:r>
              <w:t>128</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pPr>
              <w:jc w:val="right"/>
            </w:pPr>
            <w:r>
              <w:t>43,078</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4E2645" w:rsidP="004E2645">
            <w:pPr>
              <w:jc w:val="right"/>
            </w:pPr>
            <w:r>
              <w:t>8</w:t>
            </w:r>
            <w:r w:rsidR="00127CE8">
              <w:t>,000</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4E2645">
            <w:pPr>
              <w:jc w:val="right"/>
            </w:pPr>
            <w:r>
              <w:t>5</w:t>
            </w:r>
            <w:r w:rsidR="004E2645">
              <w:t>1</w:t>
            </w:r>
            <w:r>
              <w:t>,078</w:t>
            </w:r>
          </w:p>
        </w:tc>
      </w:tr>
      <w:tr w:rsidR="00C240A4" w:rsidRPr="00472EA7" w:rsidTr="00D7575E">
        <w:trPr>
          <w:trHeight w:val="250"/>
        </w:trPr>
        <w:tc>
          <w:tcPr>
            <w:tcW w:w="1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7CE8" w:rsidRPr="00472EA7" w:rsidRDefault="00127CE8" w:rsidP="00D7575E">
            <w:r w:rsidRPr="00472EA7">
              <w:t>Grand Total</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C240A4" w:rsidP="00C240A4">
            <w:pPr>
              <w:jc w:val="right"/>
            </w:pPr>
            <w:r>
              <w:t>3,192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A6973" w:rsidP="00C240A4">
            <w:pPr>
              <w:jc w:val="right"/>
            </w:pPr>
            <w:r>
              <w:t>2,0</w:t>
            </w:r>
            <w:r w:rsidR="00C240A4">
              <w:t>34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1A6973" w:rsidP="00C240A4">
            <w:pPr>
              <w:jc w:val="right"/>
            </w:pPr>
            <w:r>
              <w:t>3,</w:t>
            </w:r>
            <w:r w:rsidR="00C240A4">
              <w:t>065</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C240A4" w:rsidP="00C240A4">
            <w:pPr>
              <w:jc w:val="right"/>
            </w:pPr>
            <w:r>
              <w:t>526</w:t>
            </w:r>
            <w:r w:rsidR="001A6973">
              <w:t>,</w:t>
            </w:r>
            <w:r>
              <w:t>633</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C240A4" w:rsidP="00C240A4">
            <w:pPr>
              <w:jc w:val="right"/>
            </w:pPr>
            <w:r>
              <w:t>268</w:t>
            </w:r>
            <w:r w:rsidR="001A6973">
              <w:t>,</w:t>
            </w:r>
            <w:r>
              <w:t>376</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127CE8" w:rsidRPr="00472EA7" w:rsidRDefault="00C240A4" w:rsidP="00C240A4">
            <w:pPr>
              <w:jc w:val="right"/>
            </w:pPr>
            <w:r>
              <w:t>795,009</w:t>
            </w:r>
          </w:p>
        </w:tc>
      </w:tr>
    </w:tbl>
    <w:p w:rsidR="00127CE8" w:rsidRDefault="00127CE8" w:rsidP="00127CE8">
      <w:pPr>
        <w:rPr>
          <w:b/>
        </w:rPr>
      </w:pPr>
    </w:p>
    <w:p w:rsidR="00127CE8" w:rsidRDefault="00127CE8" w:rsidP="00127CE8">
      <w:pPr>
        <w:rPr>
          <w:b/>
        </w:rPr>
      </w:pPr>
    </w:p>
    <w:p w:rsidR="00F54764" w:rsidRDefault="00F54764" w:rsidP="00F54764">
      <w:pPr>
        <w:rPr>
          <w:b/>
          <w:bCs/>
        </w:rPr>
      </w:pPr>
    </w:p>
    <w:p w:rsidR="00EA5C14" w:rsidRPr="00472EA7" w:rsidRDefault="00EA5C14" w:rsidP="008F5544">
      <w:pPr>
        <w:ind w:left="3600" w:hanging="3600"/>
      </w:pPr>
      <w:r w:rsidRPr="00472EA7">
        <w:rPr>
          <w:b/>
          <w:bCs/>
        </w:rPr>
        <w:lastRenderedPageBreak/>
        <w:t>Item Name:</w:t>
      </w:r>
      <w:r w:rsidRPr="00472EA7">
        <w:t>                                  </w:t>
      </w:r>
      <w:r w:rsidR="008F5544">
        <w:tab/>
      </w:r>
      <w:r>
        <w:rPr>
          <w:b/>
        </w:rPr>
        <w:t xml:space="preserve">National Integrated Ballistics Information Network </w:t>
      </w:r>
      <w:r w:rsidR="008F5544">
        <w:rPr>
          <w:b/>
        </w:rPr>
        <w:t xml:space="preserve">   </w:t>
      </w:r>
      <w:r>
        <w:rPr>
          <w:b/>
        </w:rPr>
        <w:t xml:space="preserve">(NIBIN) </w:t>
      </w:r>
    </w:p>
    <w:p w:rsidR="00EA5C14" w:rsidRPr="00472EA7" w:rsidRDefault="00EA5C14" w:rsidP="00EA5C14"/>
    <w:p w:rsidR="00EA5C14" w:rsidRPr="00D72FDB" w:rsidRDefault="00EA5C14" w:rsidP="00EA5C14">
      <w:pPr>
        <w:ind w:left="3510" w:hanging="3510"/>
      </w:pPr>
      <w:r w:rsidRPr="00D72FDB">
        <w:rPr>
          <w:bCs/>
        </w:rPr>
        <w:t>Budget Decision Unit(s):</w:t>
      </w:r>
      <w:r w:rsidRPr="00D72FDB">
        <w:t>                  </w:t>
      </w:r>
      <w:r w:rsidR="008F5544">
        <w:t xml:space="preserve"> </w:t>
      </w:r>
      <w:r w:rsidR="008F5544">
        <w:tab/>
      </w:r>
      <w:r>
        <w:t>Investigative Support Services</w:t>
      </w:r>
    </w:p>
    <w:p w:rsidR="00EA5C14" w:rsidRPr="00D72FDB" w:rsidRDefault="00EA5C14" w:rsidP="00EA5C14"/>
    <w:p w:rsidR="00EA5C14" w:rsidRPr="00D72FDB" w:rsidRDefault="00EA5C14" w:rsidP="00EA5C14">
      <w:pPr>
        <w:pStyle w:val="xl19"/>
        <w:ind w:left="3600" w:hanging="3600"/>
      </w:pPr>
      <w:r w:rsidRPr="00D72FDB">
        <w:rPr>
          <w:bCs/>
        </w:rPr>
        <w:t>Strategic Goal(s) and Objective(s):</w:t>
      </w:r>
      <w:r w:rsidRPr="00D72FDB">
        <w:t> </w:t>
      </w:r>
      <w:r>
        <w:t xml:space="preserve">   </w:t>
      </w:r>
      <w:r w:rsidRPr="00D72FDB">
        <w:t>Strategic Goal 1:  Prevent Terrorism and Promote the Nation’s Security, Objectives 1.1 and 1.2</w:t>
      </w:r>
    </w:p>
    <w:p w:rsidR="00EA5C14" w:rsidRPr="00D72FDB" w:rsidRDefault="00EA5C14" w:rsidP="00EA5C14">
      <w:pPr>
        <w:pStyle w:val="xl19"/>
      </w:pPr>
    </w:p>
    <w:p w:rsidR="00EA5C14" w:rsidRPr="00D72FDB" w:rsidRDefault="00EA5C14" w:rsidP="00EA5C14">
      <w:pPr>
        <w:ind w:left="3600"/>
      </w:pPr>
      <w:r w:rsidRPr="00D72FDB">
        <w:t>Strategic Goal 2:  Prevent Crime, Enforce Federal Laws, and Represent the Rights and Interests of the American People, Objectives 2.1 and 2.2</w:t>
      </w:r>
    </w:p>
    <w:p w:rsidR="00EA5C14" w:rsidRPr="00D72FDB" w:rsidRDefault="00EA5C14" w:rsidP="00EA5C14"/>
    <w:p w:rsidR="00EA5C14" w:rsidRPr="00D72FDB" w:rsidRDefault="00EA5C14" w:rsidP="00EA5C14">
      <w:pPr>
        <w:pStyle w:val="xl19"/>
      </w:pPr>
      <w:r w:rsidRPr="00D72FDB">
        <w:rPr>
          <w:bCs/>
        </w:rPr>
        <w:t>Component Ranking of Item</w:t>
      </w:r>
      <w:r>
        <w:rPr>
          <w:bCs/>
        </w:rPr>
        <w:t xml:space="preserve">:  </w:t>
      </w:r>
      <w:r>
        <w:rPr>
          <w:bCs/>
        </w:rPr>
        <w:tab/>
        <w:t>Item 2 of 2</w:t>
      </w:r>
    </w:p>
    <w:p w:rsidR="00EA5C14" w:rsidRPr="00D72FDB" w:rsidRDefault="00EA5C14" w:rsidP="00EA5C14"/>
    <w:p w:rsidR="00EA5C14" w:rsidRPr="008B7C3C" w:rsidRDefault="00EA5C14" w:rsidP="00EA5C14">
      <w:r w:rsidRPr="008B7C3C">
        <w:rPr>
          <w:bCs/>
        </w:rPr>
        <w:t>Program Increase:</w:t>
      </w:r>
      <w:r w:rsidRPr="008B7C3C">
        <w:t>  Positions</w:t>
      </w:r>
      <w:r>
        <w:t xml:space="preserve">: </w:t>
      </w:r>
      <w:r w:rsidR="00722CD9">
        <w:rPr>
          <w:u w:val="single"/>
        </w:rPr>
        <w:t>0</w:t>
      </w:r>
      <w:r>
        <w:t>;</w:t>
      </w:r>
      <w:r w:rsidRPr="00D048E8">
        <w:t xml:space="preserve"> </w:t>
      </w:r>
      <w:r w:rsidRPr="008572B2">
        <w:t>Agent</w:t>
      </w:r>
      <w:r>
        <w:t>s:</w:t>
      </w:r>
      <w:r w:rsidRPr="008572B2">
        <w:t xml:space="preserve"> </w:t>
      </w:r>
      <w:r w:rsidRPr="000D13E0">
        <w:rPr>
          <w:u w:val="single"/>
        </w:rPr>
        <w:t>0</w:t>
      </w:r>
      <w:r>
        <w:t>;</w:t>
      </w:r>
      <w:r w:rsidRPr="008572B2">
        <w:t xml:space="preserve"> FTE</w:t>
      </w:r>
      <w:r>
        <w:t>:</w:t>
      </w:r>
      <w:r w:rsidRPr="008572B2">
        <w:t xml:space="preserve"> </w:t>
      </w:r>
      <w:r w:rsidR="00722CD9">
        <w:rPr>
          <w:u w:val="single"/>
        </w:rPr>
        <w:t>0</w:t>
      </w:r>
      <w:r w:rsidRPr="008572B2">
        <w:t>;</w:t>
      </w:r>
      <w:r w:rsidRPr="00977714">
        <w:t xml:space="preserve"> Dollars</w:t>
      </w:r>
      <w:r w:rsidRPr="008B7C3C">
        <w:t xml:space="preserve">: </w:t>
      </w:r>
      <w:r w:rsidRPr="008B7C3C">
        <w:rPr>
          <w:u w:val="single"/>
        </w:rPr>
        <w:t>$</w:t>
      </w:r>
      <w:r w:rsidR="00722CD9">
        <w:rPr>
          <w:u w:val="single"/>
        </w:rPr>
        <w:t>22</w:t>
      </w:r>
      <w:r>
        <w:rPr>
          <w:u w:val="single"/>
        </w:rPr>
        <w:t>,0</w:t>
      </w:r>
      <w:r w:rsidR="00722CD9">
        <w:rPr>
          <w:u w:val="single"/>
        </w:rPr>
        <w:t>00</w:t>
      </w:r>
      <w:r>
        <w:rPr>
          <w:u w:val="single"/>
        </w:rPr>
        <w:t>,000</w:t>
      </w:r>
    </w:p>
    <w:p w:rsidR="00EA5C14" w:rsidRPr="008B7C3C" w:rsidRDefault="00EA5C14" w:rsidP="00EA5C14">
      <w:pPr>
        <w:rPr>
          <w:u w:val="single"/>
        </w:rPr>
      </w:pPr>
    </w:p>
    <w:p w:rsidR="00EA5C14" w:rsidRPr="00E91805" w:rsidRDefault="00EA5C14" w:rsidP="00EA5C14">
      <w:pPr>
        <w:rPr>
          <w:b/>
          <w:bCs/>
          <w:u w:val="single"/>
        </w:rPr>
      </w:pPr>
      <w:r w:rsidRPr="00E91805">
        <w:rPr>
          <w:b/>
          <w:bCs/>
          <w:u w:val="single"/>
        </w:rPr>
        <w:t xml:space="preserve">Description of Item: </w:t>
      </w:r>
    </w:p>
    <w:p w:rsidR="00EA5C14" w:rsidRPr="008B7C3C" w:rsidRDefault="00EA5C14" w:rsidP="00EA5C14"/>
    <w:p w:rsidR="006B1534" w:rsidRPr="00003C13" w:rsidRDefault="006B1534" w:rsidP="006B1534">
      <w:pPr>
        <w:rPr>
          <w:bCs/>
        </w:rPr>
      </w:pPr>
      <w:r>
        <w:t>ATF requests $22,000,000</w:t>
      </w:r>
      <w:r w:rsidRPr="008B7C3C">
        <w:rPr>
          <w:b/>
        </w:rPr>
        <w:t xml:space="preserve"> </w:t>
      </w:r>
      <w:r>
        <w:t xml:space="preserve">to </w:t>
      </w:r>
      <w:r w:rsidRPr="003A260A">
        <w:t>significantly expand the NIBIN program and support this ballistics program</w:t>
      </w:r>
      <w:r w:rsidRPr="00F4311D">
        <w:t>.</w:t>
      </w:r>
      <w:r>
        <w:rPr>
          <w:rFonts w:ascii="Arial" w:hAnsi="Arial" w:cs="Arial"/>
          <w:sz w:val="18"/>
          <w:szCs w:val="18"/>
        </w:rPr>
        <w:t xml:space="preserve">  </w:t>
      </w:r>
      <w:r w:rsidRPr="003A260A">
        <w:t>This expansion includes enhancements to the equipment, including software upgrades that will enable investigators to extract ballistic intelligence data to target the most violent serial shooters.  It also includes replacing equipment that will enable firearms examiners to more easily discern distinct markings on the cartridge casings.  Additionally, ATF requests funds to work with the State and local law enforcement agencies and laboratories to collect ballistic hit information to provide leads to Firearms Intelligence Groups for investigations and document successful prosecutions as a result of NIBIN.</w:t>
      </w:r>
    </w:p>
    <w:p w:rsidR="006B1534" w:rsidRPr="008B7C3C" w:rsidRDefault="006B1534" w:rsidP="006B1534"/>
    <w:p w:rsidR="006B1534" w:rsidRPr="00E91805" w:rsidRDefault="006B1534" w:rsidP="006B1534">
      <w:pPr>
        <w:rPr>
          <w:b/>
          <w:bCs/>
          <w:u w:val="single"/>
        </w:rPr>
      </w:pPr>
      <w:r w:rsidRPr="00E91805">
        <w:rPr>
          <w:b/>
          <w:bCs/>
          <w:u w:val="single"/>
        </w:rPr>
        <w:t xml:space="preserve">Justification:  </w:t>
      </w:r>
    </w:p>
    <w:p w:rsidR="006B1534" w:rsidRDefault="006B1534" w:rsidP="006B1534">
      <w:pPr>
        <w:rPr>
          <w:bCs/>
          <w:u w:val="single"/>
        </w:rPr>
      </w:pPr>
    </w:p>
    <w:p w:rsidR="006B1534" w:rsidRDefault="006B1534" w:rsidP="006B1534">
      <w:r>
        <w:t>NIBIN is a unique national system for ballistic imaging that is provided and managed by ATF. It is the only system of its type in the U.S. that enables the capture and comparison of images of bullets and cartridges to aid in solving violent crimes that involve the use of firearms.</w:t>
      </w:r>
    </w:p>
    <w:p w:rsidR="006B1534" w:rsidRPr="00E83B29" w:rsidRDefault="006B1534" w:rsidP="006B1534"/>
    <w:p w:rsidR="006B1534" w:rsidRDefault="006B1534" w:rsidP="006B1534">
      <w:r w:rsidRPr="00626D9D">
        <w:rPr>
          <w:color w:val="000000"/>
        </w:rPr>
        <w:t>T</w:t>
      </w:r>
      <w:r>
        <w:t>he ATF Laboratories</w:t>
      </w:r>
      <w:r w:rsidRPr="004D6858">
        <w:t xml:space="preserve"> </w:t>
      </w:r>
      <w:r>
        <w:t xml:space="preserve">and its’ </w:t>
      </w:r>
      <w:r w:rsidRPr="004D6858">
        <w:t>partners</w:t>
      </w:r>
      <w:r>
        <w:t xml:space="preserve"> </w:t>
      </w:r>
      <w:r w:rsidRPr="004D6858">
        <w:t xml:space="preserve">use Integrated Ballistic Identification Systems (IBIS) to acquire digital images of the markings made on </w:t>
      </w:r>
      <w:r>
        <w:t>fired</w:t>
      </w:r>
      <w:r w:rsidRPr="004D6858">
        <w:t xml:space="preserve"> ammunition recovered from a crime scene or a crime gun test fire and then compare those images (in a matter of hours) against earlier NIBIN entries via electronic image comparison. If a high-confidence candidate for a match emerges, firearms examiners compare the original evidence with a microscope to confirm the match or NIBIN “hit.” By </w:t>
      </w:r>
      <w:r>
        <w:t xml:space="preserve">electronically </w:t>
      </w:r>
      <w:r w:rsidRPr="004D6858">
        <w:t>search</w:t>
      </w:r>
      <w:r>
        <w:t xml:space="preserve">ing </w:t>
      </w:r>
      <w:r w:rsidRPr="004D6858">
        <w:t>either locally, regionally, or nationally, NIBIN Partners are able to discover links between crimes more quickly, including links that would never have been identified absent the technology.</w:t>
      </w:r>
    </w:p>
    <w:p w:rsidR="006B1534" w:rsidRDefault="006B1534" w:rsidP="006B1534">
      <w:pPr>
        <w:pStyle w:val="ListParagraph"/>
      </w:pPr>
    </w:p>
    <w:p w:rsidR="006B1534" w:rsidRPr="00626D9D" w:rsidRDefault="006B1534" w:rsidP="006B1534">
      <w:pPr>
        <w:rPr>
          <w:color w:val="000000"/>
        </w:rPr>
      </w:pPr>
      <w:r w:rsidRPr="00626D9D">
        <w:rPr>
          <w:color w:val="000000"/>
        </w:rPr>
        <w:t xml:space="preserve">NIBIN acquisitions are expressly limited to ballistic information from firearms test fires and fired ammunition taken into law enforcement custody pursuant to a criminal investigation. </w:t>
      </w:r>
    </w:p>
    <w:p w:rsidR="006B1534" w:rsidRPr="00261B6F" w:rsidRDefault="006B1534" w:rsidP="006B1534">
      <w:r>
        <w:t>Of the 175 IBIS instruments currently in service, the vast majority are the newer BrassTRAX systems.</w:t>
      </w:r>
      <w:r w:rsidRPr="00626D9D">
        <w:rPr>
          <w:color w:val="000000"/>
        </w:rPr>
        <w:t xml:space="preserve">  There are currently 40 of the older “heritage” equipment units remaining to be </w:t>
      </w:r>
      <w:r w:rsidRPr="00626D9D">
        <w:rPr>
          <w:color w:val="000000"/>
        </w:rPr>
        <w:lastRenderedPageBreak/>
        <w:t xml:space="preserve">replaced.  Once the remaining systems are replaced, it will be time to start the cycle again to begin refreshing the older BrassTRAX equipment and looking to installing BulletTRAX equipment at a limited number of sites, including the 3 ATF Laboratories. </w:t>
      </w:r>
    </w:p>
    <w:p w:rsidR="006B1534" w:rsidRDefault="006B1534" w:rsidP="006B1534"/>
    <w:p w:rsidR="006B1534" w:rsidRPr="009D2E40" w:rsidRDefault="006B1534" w:rsidP="006B1534">
      <w:r w:rsidRPr="006D77E5">
        <w:t xml:space="preserve">Each year, </w:t>
      </w:r>
      <w:r>
        <w:t>over</w:t>
      </w:r>
      <w:r w:rsidRPr="006D77E5">
        <w:t xml:space="preserve"> 180,000 items are entered into NIBIN – about 60,000 items of </w:t>
      </w:r>
      <w:r>
        <w:t xml:space="preserve">crime scene </w:t>
      </w:r>
      <w:r w:rsidRPr="006D77E5">
        <w:t>evidence</w:t>
      </w:r>
      <w:r>
        <w:t>,</w:t>
      </w:r>
      <w:r w:rsidRPr="006D77E5">
        <w:t xml:space="preserve"> and about 120,000 test fires</w:t>
      </w:r>
      <w:r>
        <w:t xml:space="preserve"> of weapons seized in crimes</w:t>
      </w:r>
      <w:r w:rsidRPr="006D77E5">
        <w:t>.</w:t>
      </w:r>
      <w:r>
        <w:t xml:space="preserve"> The vast majority of items entered are cartridge casings with a small number of bullets also entered.  Since the program’s inception, NIBIN Partners have entered over 2.3 million items into the system, including over 353,000 bullets and over 2 million cartridge cases.</w:t>
      </w:r>
    </w:p>
    <w:p w:rsidR="006B1534" w:rsidRPr="00FF019B" w:rsidRDefault="006B1534" w:rsidP="006B1534">
      <w:pPr>
        <w:rPr>
          <w:b/>
          <w:u w:val="single"/>
        </w:rPr>
      </w:pPr>
    </w:p>
    <w:p w:rsidR="006B1534" w:rsidRPr="00E83B29" w:rsidRDefault="006B1534" w:rsidP="006B1534">
      <w:r>
        <w:t>NIBIN generates about 5,5</w:t>
      </w:r>
      <w:r w:rsidRPr="006D77E5">
        <w:t xml:space="preserve">00 </w:t>
      </w:r>
      <w:r>
        <w:t>“</w:t>
      </w:r>
      <w:r w:rsidRPr="006D77E5">
        <w:t>hits</w:t>
      </w:r>
      <w:r>
        <w:t>”</w:t>
      </w:r>
      <w:r w:rsidRPr="006D77E5">
        <w:t xml:space="preserve"> annually</w:t>
      </w:r>
      <w:r>
        <w:t xml:space="preserve"> (for a total of over 50,000 since the beginning of the program) – connecting recovered firearms and crime scene evidence that would not otherwise have been linked.</w:t>
      </w:r>
    </w:p>
    <w:p w:rsidR="006B1534" w:rsidRDefault="006B1534" w:rsidP="006B1534">
      <w:pPr>
        <w:pStyle w:val="ListParagraph"/>
        <w:ind w:left="0"/>
      </w:pPr>
    </w:p>
    <w:p w:rsidR="006B1534" w:rsidRDefault="006B1534" w:rsidP="006B1534">
      <w:pPr>
        <w:pStyle w:val="ListParagraph"/>
        <w:ind w:left="0"/>
      </w:pPr>
      <w:r w:rsidRPr="003A260A">
        <w:t xml:space="preserve">ATF </w:t>
      </w:r>
      <w:r>
        <w:t xml:space="preserve">will utilize the requested funding to increase capacity to </w:t>
      </w:r>
      <w:r w:rsidRPr="003A260A">
        <w:t xml:space="preserve">work with the State and local law enforcement agencies and laboratories to collect ballistic hit information to provide leads to </w:t>
      </w:r>
      <w:r>
        <w:t xml:space="preserve">ATF’s </w:t>
      </w:r>
      <w:r w:rsidRPr="003A260A">
        <w:t>F</w:t>
      </w:r>
      <w:r>
        <w:t>ield</w:t>
      </w:r>
      <w:r w:rsidRPr="003A260A">
        <w:t xml:space="preserve"> Intelligence Groups for investigations and document successful prosecutions as a result of NIBIN</w:t>
      </w:r>
      <w:r>
        <w:t>.  This enhancement is critical to ensure that ballistics intelligence is leveraged to the maximum extent and that NIBIN is optimized as an investigative tool to help link firearms crimes, much like fingerprints and DNA are used as investigative tools to link other types of criminal activities.</w:t>
      </w:r>
    </w:p>
    <w:p w:rsidR="006B1534" w:rsidRDefault="006B1534" w:rsidP="006B1534"/>
    <w:p w:rsidR="006B1534" w:rsidRDefault="006B1534" w:rsidP="006B1534">
      <w:pPr>
        <w:rPr>
          <w:b/>
          <w:bCs/>
          <w:u w:val="single"/>
        </w:rPr>
      </w:pPr>
      <w:r>
        <w:rPr>
          <w:b/>
          <w:bCs/>
          <w:u w:val="single"/>
        </w:rPr>
        <w:t>Impact on Performance:</w:t>
      </w:r>
    </w:p>
    <w:p w:rsidR="006B1534" w:rsidRDefault="006B1534" w:rsidP="006B1534">
      <w:pPr>
        <w:ind w:left="1080"/>
      </w:pPr>
    </w:p>
    <w:p w:rsidR="006B1534" w:rsidRPr="00C350D6" w:rsidRDefault="006B1534" w:rsidP="006B1534">
      <w:r w:rsidRPr="00C350D6">
        <w:t xml:space="preserve">The NIBIN system is currently the only operating system in the US that affords law enforcement agencies nationwide the ability to match ballistic evidence recovered at literally thousands of crime scenes casing by casing and projectile-by-projectile.  This capability was completely unfathomable prior to the existence of the NIBIN network.  The current inventory of </w:t>
      </w:r>
      <w:r>
        <w:t xml:space="preserve">over </w:t>
      </w:r>
      <w:r w:rsidRPr="00C350D6">
        <w:t>2,</w:t>
      </w:r>
      <w:r>
        <w:t>3</w:t>
      </w:r>
      <w:r w:rsidRPr="00C350D6">
        <w:t xml:space="preserve">00,000 images is an invaluable asset that has realized over </w:t>
      </w:r>
      <w:r>
        <w:t>50,</w:t>
      </w:r>
      <w:r w:rsidRPr="00C350D6">
        <w:t>000 confirmed matches.  The NIBIN program has trimmed back the number of systems in an effort to strengthen the program.  Providing the requested resources will allow ATF to reduce violent crime and provide assets that will strengthen the platform.  Strengthening the core of the program will enhance law enforcement’s ability to link and solve crimes committed by persons who have demonstrated intent and willingness to use a firearm violently.</w:t>
      </w:r>
    </w:p>
    <w:p w:rsidR="004164C1" w:rsidRDefault="004164C1">
      <w:pPr>
        <w:rPr>
          <w:b/>
          <w:bCs/>
        </w:rPr>
      </w:pPr>
      <w:r>
        <w:rPr>
          <w:b/>
          <w:bCs/>
        </w:rPr>
        <w:br w:type="page"/>
      </w:r>
    </w:p>
    <w:p w:rsidR="00EA5C14" w:rsidRDefault="00EA5C14" w:rsidP="00EA5C14">
      <w:pPr>
        <w:jc w:val="center"/>
        <w:rPr>
          <w:b/>
          <w:bCs/>
        </w:rPr>
      </w:pPr>
    </w:p>
    <w:p w:rsidR="00EA5C14" w:rsidRPr="00472EA7" w:rsidRDefault="00EA5C14" w:rsidP="00EA5C14">
      <w:pPr>
        <w:jc w:val="center"/>
        <w:rPr>
          <w:b/>
          <w:bCs/>
        </w:rPr>
      </w:pPr>
      <w:r w:rsidRPr="008572B2">
        <w:rPr>
          <w:b/>
          <w:bCs/>
        </w:rPr>
        <w:t>Funding</w:t>
      </w:r>
    </w:p>
    <w:p w:rsidR="00EA5C14" w:rsidRPr="00472EA7" w:rsidRDefault="00EA5C14" w:rsidP="00EA5C14">
      <w:pPr>
        <w:pStyle w:val="Header"/>
        <w:rPr>
          <w:u w:val="single"/>
        </w:rPr>
      </w:pPr>
      <w:r w:rsidRPr="00472EA7">
        <w:rPr>
          <w:u w:val="single"/>
        </w:rPr>
        <w:t>Base Funding</w:t>
      </w:r>
    </w:p>
    <w:p w:rsidR="00EA5C14" w:rsidRPr="00472EA7" w:rsidRDefault="00EA5C14" w:rsidP="00EA5C14">
      <w:pPr>
        <w:pStyle w:val="Header"/>
        <w:rPr>
          <w:u w:val="single"/>
        </w:rPr>
      </w:pPr>
    </w:p>
    <w:tbl>
      <w:tblPr>
        <w:tblW w:w="0" w:type="auto"/>
        <w:tblInd w:w="-252" w:type="dxa"/>
        <w:tblCellMar>
          <w:left w:w="0" w:type="dxa"/>
          <w:right w:w="0" w:type="dxa"/>
        </w:tblCellMar>
        <w:tblLook w:val="0000"/>
      </w:tblPr>
      <w:tblGrid>
        <w:gridCol w:w="682"/>
        <w:gridCol w:w="685"/>
        <w:gridCol w:w="701"/>
        <w:gridCol w:w="1161"/>
        <w:gridCol w:w="682"/>
        <w:gridCol w:w="685"/>
        <w:gridCol w:w="837"/>
        <w:gridCol w:w="1025"/>
        <w:gridCol w:w="682"/>
        <w:gridCol w:w="821"/>
        <w:gridCol w:w="837"/>
        <w:gridCol w:w="1030"/>
      </w:tblGrid>
      <w:tr w:rsidR="00EA5C14" w:rsidRPr="00472EA7" w:rsidTr="00722CD9">
        <w:tc>
          <w:tcPr>
            <w:tcW w:w="3420"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EA5C14" w:rsidRPr="00692A6E" w:rsidRDefault="00EA5C14" w:rsidP="00722CD9">
            <w:pPr>
              <w:pStyle w:val="Heading7"/>
              <w:rPr>
                <w:b w:val="0"/>
                <w:szCs w:val="24"/>
              </w:rPr>
            </w:pPr>
            <w:r w:rsidRPr="00692A6E">
              <w:rPr>
                <w:b w:val="0"/>
                <w:szCs w:val="24"/>
              </w:rPr>
              <w:t>FY 20</w:t>
            </w:r>
            <w:r>
              <w:rPr>
                <w:b w:val="0"/>
                <w:szCs w:val="24"/>
              </w:rPr>
              <w:t>12</w:t>
            </w:r>
            <w:r w:rsidRPr="00692A6E">
              <w:rPr>
                <w:b w:val="0"/>
                <w:szCs w:val="24"/>
              </w:rPr>
              <w:t xml:space="preserve"> Enacted </w:t>
            </w:r>
          </w:p>
        </w:tc>
        <w:tc>
          <w:tcPr>
            <w:tcW w:w="3420" w:type="dxa"/>
            <w:gridSpan w:val="4"/>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EA5C14" w:rsidRPr="00692A6E" w:rsidRDefault="00EA5C14" w:rsidP="00722CD9">
            <w:pPr>
              <w:pStyle w:val="Heading7"/>
              <w:rPr>
                <w:b w:val="0"/>
                <w:szCs w:val="24"/>
              </w:rPr>
            </w:pPr>
            <w:r w:rsidRPr="00692A6E">
              <w:rPr>
                <w:b w:val="0"/>
                <w:szCs w:val="24"/>
              </w:rPr>
              <w:t>FY 201</w:t>
            </w:r>
            <w:r>
              <w:rPr>
                <w:b w:val="0"/>
                <w:szCs w:val="24"/>
              </w:rPr>
              <w:t xml:space="preserve">3 </w:t>
            </w:r>
            <w:r w:rsidR="00DA143A">
              <w:rPr>
                <w:b w:val="0"/>
                <w:szCs w:val="24"/>
              </w:rPr>
              <w:t>CR</w:t>
            </w:r>
          </w:p>
        </w:tc>
        <w:tc>
          <w:tcPr>
            <w:tcW w:w="3600" w:type="dxa"/>
            <w:gridSpan w:val="4"/>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EA5C14" w:rsidRPr="00692A6E" w:rsidRDefault="00EA5C14" w:rsidP="00722CD9">
            <w:pPr>
              <w:pStyle w:val="Heading7"/>
              <w:rPr>
                <w:b w:val="0"/>
                <w:szCs w:val="24"/>
              </w:rPr>
            </w:pPr>
            <w:r w:rsidRPr="00692A6E">
              <w:rPr>
                <w:b w:val="0"/>
                <w:szCs w:val="24"/>
              </w:rPr>
              <w:t>FY 201</w:t>
            </w:r>
            <w:r>
              <w:rPr>
                <w:b w:val="0"/>
                <w:szCs w:val="24"/>
              </w:rPr>
              <w:t>4</w:t>
            </w:r>
            <w:r w:rsidRPr="00692A6E">
              <w:rPr>
                <w:b w:val="0"/>
                <w:szCs w:val="24"/>
              </w:rPr>
              <w:t xml:space="preserve"> Current Services</w:t>
            </w:r>
          </w:p>
        </w:tc>
      </w:tr>
      <w:tr w:rsidR="00EA5C14" w:rsidRPr="00472EA7" w:rsidTr="00722CD9">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5C14" w:rsidRPr="00472EA7" w:rsidRDefault="00EA5C14" w:rsidP="00722CD9">
            <w:pPr>
              <w:pStyle w:val="xl24"/>
              <w:jc w:val="center"/>
            </w:pPr>
            <w:r w:rsidRPr="00472EA7">
              <w:t>Pos</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EA5C14" w:rsidRPr="00472EA7" w:rsidRDefault="00EA5C14" w:rsidP="00722CD9">
            <w:pPr>
              <w:pStyle w:val="xl24"/>
              <w:jc w:val="center"/>
            </w:pPr>
            <w:r w:rsidRPr="00472EA7">
              <w:t>Agt</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EA5C14" w:rsidRPr="00472EA7" w:rsidRDefault="00EA5C14" w:rsidP="00722CD9">
            <w:pPr>
              <w:pStyle w:val="xl24"/>
              <w:jc w:val="center"/>
            </w:pPr>
            <w:r w:rsidRPr="00472EA7">
              <w:t>FTE</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A5C14" w:rsidRPr="00472EA7" w:rsidRDefault="00EA5C14" w:rsidP="00722CD9">
            <w:pPr>
              <w:pStyle w:val="xl24"/>
              <w:jc w:val="center"/>
            </w:pPr>
            <w:r w:rsidRPr="00472EA7">
              <w:t>$(000)</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EA5C14" w:rsidRPr="00472EA7" w:rsidRDefault="00EA5C14" w:rsidP="00722CD9">
            <w:pPr>
              <w:pStyle w:val="xl24"/>
              <w:jc w:val="center"/>
            </w:pPr>
            <w:r w:rsidRPr="00472EA7">
              <w:t>Pos</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EA5C14" w:rsidRPr="00472EA7" w:rsidRDefault="00EA5C14" w:rsidP="00722CD9">
            <w:pPr>
              <w:pStyle w:val="xl24"/>
              <w:jc w:val="center"/>
            </w:pPr>
            <w:r w:rsidRPr="00472EA7">
              <w:t>Agt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EA5C14" w:rsidRPr="00472EA7" w:rsidRDefault="00EA5C14" w:rsidP="00722CD9">
            <w:pPr>
              <w:pStyle w:val="xl24"/>
              <w:jc w:val="center"/>
            </w:pPr>
            <w:r w:rsidRPr="00472EA7">
              <w:t>FTE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A5C14" w:rsidRPr="00472EA7" w:rsidRDefault="00EA5C14" w:rsidP="00722CD9">
            <w:pPr>
              <w:pStyle w:val="xl24"/>
              <w:jc w:val="center"/>
            </w:pPr>
            <w:r w:rsidRPr="00472EA7">
              <w:t>$(000)</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EA5C14" w:rsidRPr="00472EA7" w:rsidRDefault="00EA5C14" w:rsidP="00722CD9">
            <w:pPr>
              <w:pStyle w:val="xl24"/>
              <w:jc w:val="center"/>
            </w:pPr>
            <w:r w:rsidRPr="00472EA7">
              <w:t>Pos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EA5C14" w:rsidRPr="00472EA7" w:rsidRDefault="00EA5C14" w:rsidP="00722CD9">
            <w:pPr>
              <w:pStyle w:val="xl24"/>
              <w:jc w:val="center"/>
            </w:pPr>
            <w:r w:rsidRPr="00472EA7">
              <w:t>Agt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EA5C14" w:rsidRPr="00472EA7" w:rsidRDefault="00EA5C14" w:rsidP="00722CD9">
            <w:pPr>
              <w:pStyle w:val="xl24"/>
              <w:jc w:val="center"/>
            </w:pPr>
            <w:r w:rsidRPr="00472EA7">
              <w:t>FTE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A5C14" w:rsidRPr="00472EA7" w:rsidRDefault="00EA5C14" w:rsidP="00722CD9">
            <w:pPr>
              <w:pStyle w:val="xl24"/>
              <w:jc w:val="center"/>
            </w:pPr>
            <w:r w:rsidRPr="00472EA7">
              <w:t>$(000)</w:t>
            </w:r>
          </w:p>
        </w:tc>
      </w:tr>
      <w:tr w:rsidR="00EA5C14" w:rsidRPr="00206A84" w:rsidTr="00722CD9">
        <w:tc>
          <w:tcPr>
            <w:tcW w:w="720" w:type="dxa"/>
            <w:tcBorders>
              <w:top w:val="nil"/>
              <w:left w:val="single" w:sz="8" w:space="0" w:color="auto"/>
              <w:bottom w:val="single" w:sz="8" w:space="0" w:color="auto"/>
              <w:right w:val="single" w:sz="8" w:space="0" w:color="auto"/>
            </w:tcBorders>
          </w:tcPr>
          <w:p w:rsidR="00EA5C14" w:rsidRPr="00206A84" w:rsidRDefault="0046073F" w:rsidP="0046073F">
            <w:pPr>
              <w:pStyle w:val="xl24"/>
              <w:jc w:val="right"/>
            </w:pPr>
            <w:r>
              <w:t>19</w:t>
            </w:r>
          </w:p>
        </w:tc>
        <w:tc>
          <w:tcPr>
            <w:tcW w:w="720" w:type="dxa"/>
            <w:tcBorders>
              <w:top w:val="nil"/>
              <w:left w:val="nil"/>
              <w:bottom w:val="single" w:sz="8" w:space="0" w:color="auto"/>
              <w:right w:val="single" w:sz="8" w:space="0" w:color="auto"/>
            </w:tcBorders>
          </w:tcPr>
          <w:p w:rsidR="00EA5C14" w:rsidRPr="00206A84" w:rsidRDefault="0046073F" w:rsidP="0046073F">
            <w:pPr>
              <w:pStyle w:val="xl24"/>
              <w:jc w:val="right"/>
            </w:pPr>
            <w:r>
              <w:t>7</w:t>
            </w:r>
          </w:p>
        </w:tc>
        <w:tc>
          <w:tcPr>
            <w:tcW w:w="720" w:type="dxa"/>
            <w:tcBorders>
              <w:top w:val="nil"/>
              <w:left w:val="nil"/>
              <w:bottom w:val="single" w:sz="8" w:space="0" w:color="auto"/>
              <w:right w:val="single" w:sz="8" w:space="0" w:color="auto"/>
            </w:tcBorders>
          </w:tcPr>
          <w:p w:rsidR="00EA5C14" w:rsidRPr="00206A84" w:rsidRDefault="0046073F" w:rsidP="0046073F">
            <w:pPr>
              <w:pStyle w:val="xl24"/>
              <w:jc w:val="right"/>
            </w:pPr>
            <w:r>
              <w:t>19</w:t>
            </w:r>
          </w:p>
        </w:tc>
        <w:tc>
          <w:tcPr>
            <w:tcW w:w="1260" w:type="dxa"/>
            <w:tcBorders>
              <w:top w:val="nil"/>
              <w:left w:val="nil"/>
              <w:bottom w:val="single" w:sz="8" w:space="0" w:color="auto"/>
              <w:right w:val="single" w:sz="8" w:space="0" w:color="auto"/>
            </w:tcBorders>
          </w:tcPr>
          <w:p w:rsidR="00EA5C14" w:rsidRPr="00206A84" w:rsidRDefault="0046073F" w:rsidP="0046073F">
            <w:pPr>
              <w:pStyle w:val="xl24"/>
              <w:jc w:val="right"/>
            </w:pPr>
            <w:r>
              <w:t>17,100</w:t>
            </w:r>
          </w:p>
        </w:tc>
        <w:tc>
          <w:tcPr>
            <w:tcW w:w="720" w:type="dxa"/>
            <w:tcBorders>
              <w:top w:val="nil"/>
              <w:left w:val="nil"/>
              <w:bottom w:val="single" w:sz="8" w:space="0" w:color="auto"/>
              <w:right w:val="single" w:sz="8" w:space="0" w:color="auto"/>
            </w:tcBorders>
          </w:tcPr>
          <w:p w:rsidR="00EA5C14" w:rsidRPr="00206A84" w:rsidRDefault="0046073F" w:rsidP="0046073F">
            <w:pPr>
              <w:pStyle w:val="xl24"/>
              <w:jc w:val="right"/>
            </w:pPr>
            <w:r>
              <w:t>19</w:t>
            </w:r>
          </w:p>
        </w:tc>
        <w:tc>
          <w:tcPr>
            <w:tcW w:w="720" w:type="dxa"/>
            <w:tcBorders>
              <w:top w:val="nil"/>
              <w:left w:val="nil"/>
              <w:bottom w:val="single" w:sz="8" w:space="0" w:color="auto"/>
              <w:right w:val="single" w:sz="8" w:space="0" w:color="auto"/>
            </w:tcBorders>
          </w:tcPr>
          <w:p w:rsidR="00EA5C14" w:rsidRPr="00206A84" w:rsidRDefault="0046073F" w:rsidP="0046073F">
            <w:pPr>
              <w:pStyle w:val="xl24"/>
              <w:jc w:val="right"/>
            </w:pPr>
            <w:r>
              <w:t>7</w:t>
            </w:r>
          </w:p>
        </w:tc>
        <w:tc>
          <w:tcPr>
            <w:tcW w:w="900" w:type="dxa"/>
            <w:tcBorders>
              <w:top w:val="nil"/>
              <w:left w:val="nil"/>
              <w:bottom w:val="single" w:sz="8" w:space="0" w:color="auto"/>
              <w:right w:val="single" w:sz="8" w:space="0" w:color="auto"/>
            </w:tcBorders>
          </w:tcPr>
          <w:p w:rsidR="00EA5C14" w:rsidRPr="00206A84" w:rsidRDefault="0046073F" w:rsidP="0046073F">
            <w:pPr>
              <w:pStyle w:val="xl24"/>
              <w:jc w:val="right"/>
            </w:pPr>
            <w:r>
              <w:t>19</w:t>
            </w:r>
          </w:p>
        </w:tc>
        <w:tc>
          <w:tcPr>
            <w:tcW w:w="1080" w:type="dxa"/>
            <w:tcBorders>
              <w:top w:val="nil"/>
              <w:left w:val="nil"/>
              <w:bottom w:val="single" w:sz="8" w:space="0" w:color="auto"/>
              <w:right w:val="single" w:sz="8" w:space="0" w:color="auto"/>
            </w:tcBorders>
          </w:tcPr>
          <w:p w:rsidR="00EA5C14" w:rsidRPr="00206A84" w:rsidRDefault="0046073F" w:rsidP="00722CD9">
            <w:pPr>
              <w:pStyle w:val="xl24"/>
              <w:jc w:val="right"/>
            </w:pPr>
            <w:r>
              <w:t>28,00</w:t>
            </w:r>
            <w:r w:rsidR="00EA5C14">
              <w:t>0</w:t>
            </w:r>
          </w:p>
        </w:tc>
        <w:tc>
          <w:tcPr>
            <w:tcW w:w="720" w:type="dxa"/>
            <w:tcBorders>
              <w:top w:val="nil"/>
              <w:left w:val="nil"/>
              <w:bottom w:val="single" w:sz="8" w:space="0" w:color="auto"/>
              <w:right w:val="single" w:sz="8" w:space="0" w:color="auto"/>
            </w:tcBorders>
          </w:tcPr>
          <w:p w:rsidR="00EA5C14" w:rsidRPr="00206A84" w:rsidRDefault="0046073F" w:rsidP="0046073F">
            <w:pPr>
              <w:pStyle w:val="xl24"/>
              <w:jc w:val="right"/>
            </w:pPr>
            <w:r>
              <w:t>19</w:t>
            </w:r>
          </w:p>
        </w:tc>
        <w:tc>
          <w:tcPr>
            <w:tcW w:w="900" w:type="dxa"/>
            <w:tcBorders>
              <w:top w:val="nil"/>
              <w:left w:val="nil"/>
              <w:bottom w:val="single" w:sz="8" w:space="0" w:color="auto"/>
              <w:right w:val="single" w:sz="8" w:space="0" w:color="auto"/>
            </w:tcBorders>
          </w:tcPr>
          <w:p w:rsidR="00EA5C14" w:rsidRPr="00206A84" w:rsidRDefault="0046073F" w:rsidP="0046073F">
            <w:pPr>
              <w:pStyle w:val="xl24"/>
              <w:jc w:val="right"/>
            </w:pPr>
            <w:r>
              <w:t>7</w:t>
            </w:r>
          </w:p>
        </w:tc>
        <w:tc>
          <w:tcPr>
            <w:tcW w:w="900" w:type="dxa"/>
            <w:tcBorders>
              <w:top w:val="nil"/>
              <w:left w:val="nil"/>
              <w:bottom w:val="single" w:sz="8" w:space="0" w:color="auto"/>
              <w:right w:val="single" w:sz="8" w:space="0" w:color="auto"/>
            </w:tcBorders>
            <w:tcMar>
              <w:top w:w="0" w:type="dxa"/>
              <w:left w:w="115" w:type="dxa"/>
              <w:bottom w:w="0" w:type="dxa"/>
              <w:right w:w="115" w:type="dxa"/>
            </w:tcMar>
          </w:tcPr>
          <w:p w:rsidR="00EA5C14" w:rsidRPr="00206A84" w:rsidRDefault="0046073F" w:rsidP="0046073F">
            <w:pPr>
              <w:pStyle w:val="xl24"/>
              <w:jc w:val="right"/>
            </w:pPr>
            <w:r>
              <w:t>19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A5C14" w:rsidRPr="00206A84" w:rsidRDefault="0046073F" w:rsidP="00722CD9">
            <w:pPr>
              <w:pStyle w:val="xl24"/>
              <w:jc w:val="right"/>
            </w:pPr>
            <w:r>
              <w:t>28,00</w:t>
            </w:r>
            <w:r w:rsidR="00EA5C14">
              <w:t>0</w:t>
            </w:r>
          </w:p>
        </w:tc>
      </w:tr>
    </w:tbl>
    <w:p w:rsidR="00EA5C14" w:rsidRDefault="00EA5C14" w:rsidP="00EA5C14">
      <w:pPr>
        <w:pStyle w:val="Header"/>
        <w:rPr>
          <w:u w:val="single"/>
        </w:rPr>
      </w:pPr>
    </w:p>
    <w:p w:rsidR="00EA5C14" w:rsidRPr="00472EA7" w:rsidRDefault="00EA5C14" w:rsidP="00EA5C14">
      <w:pPr>
        <w:pStyle w:val="Header"/>
        <w:rPr>
          <w:u w:val="single"/>
        </w:rPr>
      </w:pPr>
      <w:r w:rsidRPr="00472EA7">
        <w:rPr>
          <w:u w:val="single"/>
        </w:rPr>
        <w:t>Personnel Increase Cost Summary</w:t>
      </w:r>
    </w:p>
    <w:p w:rsidR="00EA5C14" w:rsidRPr="00472EA7" w:rsidRDefault="00EA5C14" w:rsidP="00EA5C14">
      <w:pPr>
        <w:pStyle w:val="Header"/>
        <w:rPr>
          <w:b/>
          <w:bCs/>
        </w:rPr>
      </w:pPr>
    </w:p>
    <w:tbl>
      <w:tblPr>
        <w:tblW w:w="9810" w:type="dxa"/>
        <w:tblInd w:w="-252" w:type="dxa"/>
        <w:tblCellMar>
          <w:left w:w="0" w:type="dxa"/>
          <w:right w:w="0" w:type="dxa"/>
        </w:tblCellMar>
        <w:tblLook w:val="0000"/>
      </w:tblPr>
      <w:tblGrid>
        <w:gridCol w:w="2700"/>
        <w:gridCol w:w="1620"/>
        <w:gridCol w:w="1440"/>
        <w:gridCol w:w="2070"/>
        <w:gridCol w:w="1980"/>
      </w:tblGrid>
      <w:tr w:rsidR="00EA5C14" w:rsidRPr="00472EA7" w:rsidTr="00722CD9">
        <w:trPr>
          <w:cantSplit/>
          <w:trHeight w:val="935"/>
          <w:tblHeader/>
        </w:trPr>
        <w:tc>
          <w:tcPr>
            <w:tcW w:w="2700"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rsidR="00EA5C14" w:rsidRPr="005444C2" w:rsidRDefault="00EA5C14" w:rsidP="00722CD9">
            <w:pPr>
              <w:jc w:val="center"/>
              <w:rPr>
                <w:sz w:val="22"/>
                <w:szCs w:val="22"/>
              </w:rPr>
            </w:pPr>
            <w:r w:rsidRPr="005444C2">
              <w:rPr>
                <w:sz w:val="22"/>
                <w:szCs w:val="22"/>
              </w:rPr>
              <w:t>Type of Position</w:t>
            </w:r>
          </w:p>
        </w:tc>
        <w:tc>
          <w:tcPr>
            <w:tcW w:w="162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EA5C14" w:rsidRPr="005444C2" w:rsidRDefault="00EA5C14" w:rsidP="00722CD9">
            <w:pPr>
              <w:jc w:val="center"/>
              <w:rPr>
                <w:sz w:val="22"/>
                <w:szCs w:val="22"/>
              </w:rPr>
            </w:pPr>
            <w:r w:rsidRPr="005444C2">
              <w:rPr>
                <w:sz w:val="22"/>
                <w:szCs w:val="22"/>
              </w:rPr>
              <w:t>Modular Cost per Position ($000)</w:t>
            </w:r>
          </w:p>
        </w:tc>
        <w:tc>
          <w:tcPr>
            <w:tcW w:w="144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EA5C14" w:rsidRPr="005444C2" w:rsidRDefault="00EA5C14" w:rsidP="00722CD9">
            <w:pPr>
              <w:jc w:val="center"/>
              <w:rPr>
                <w:sz w:val="22"/>
                <w:szCs w:val="22"/>
              </w:rPr>
            </w:pPr>
            <w:r w:rsidRPr="005444C2">
              <w:rPr>
                <w:sz w:val="22"/>
                <w:szCs w:val="22"/>
              </w:rPr>
              <w:t>Number of Positions Requested</w:t>
            </w:r>
          </w:p>
        </w:tc>
        <w:tc>
          <w:tcPr>
            <w:tcW w:w="207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EA5C14" w:rsidRPr="005444C2" w:rsidRDefault="00EA5C14" w:rsidP="00722CD9">
            <w:pPr>
              <w:jc w:val="center"/>
              <w:rPr>
                <w:sz w:val="22"/>
                <w:szCs w:val="22"/>
              </w:rPr>
            </w:pPr>
            <w:r w:rsidRPr="005444C2">
              <w:rPr>
                <w:sz w:val="22"/>
                <w:szCs w:val="22"/>
              </w:rPr>
              <w:t>FY 2014 Request ($000)</w:t>
            </w:r>
          </w:p>
        </w:tc>
        <w:tc>
          <w:tcPr>
            <w:tcW w:w="198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EA5C14" w:rsidRPr="005444C2" w:rsidRDefault="00EA5C14" w:rsidP="00722CD9">
            <w:pPr>
              <w:jc w:val="center"/>
              <w:rPr>
                <w:sz w:val="22"/>
                <w:szCs w:val="22"/>
              </w:rPr>
            </w:pPr>
            <w:r w:rsidRPr="005444C2">
              <w:rPr>
                <w:sz w:val="22"/>
                <w:szCs w:val="22"/>
              </w:rPr>
              <w:t>FY 2015 Net Annualization (change from 2014)</w:t>
            </w:r>
          </w:p>
          <w:p w:rsidR="00EA5C14" w:rsidRPr="005444C2" w:rsidRDefault="00EA5C14" w:rsidP="00722CD9">
            <w:pPr>
              <w:jc w:val="center"/>
              <w:rPr>
                <w:sz w:val="22"/>
                <w:szCs w:val="22"/>
              </w:rPr>
            </w:pPr>
            <w:r w:rsidRPr="005444C2">
              <w:rPr>
                <w:sz w:val="22"/>
                <w:szCs w:val="22"/>
              </w:rPr>
              <w:t>($000)</w:t>
            </w:r>
          </w:p>
        </w:tc>
      </w:tr>
      <w:tr w:rsidR="00EA5C14" w:rsidRPr="006B60AD" w:rsidTr="00722CD9">
        <w:trPr>
          <w:cantSplit/>
          <w:trHeight w:val="142"/>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5C14" w:rsidRPr="006B60AD" w:rsidRDefault="00EA5C14" w:rsidP="00722CD9">
            <w:pPr>
              <w:rPr>
                <w:b/>
                <w: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EA5C14" w:rsidRPr="006B60AD" w:rsidRDefault="00EA5C14" w:rsidP="00722CD9">
            <w:pPr>
              <w:pStyle w:val="xl19"/>
              <w:jc w:val="right"/>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A5C14" w:rsidRPr="002E5248" w:rsidRDefault="00EA5C14" w:rsidP="00722CD9">
            <w:pPr>
              <w:jc w:val="right"/>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tcPr>
          <w:p w:rsidR="00EA5C14" w:rsidRPr="006B60AD" w:rsidRDefault="00EA5C14" w:rsidP="00722CD9">
            <w:pPr>
              <w:jc w:val="right"/>
            </w:pP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tcPr>
          <w:p w:rsidR="00EA5C14" w:rsidRPr="006B60AD" w:rsidRDefault="00EA5C14" w:rsidP="00722CD9">
            <w:pPr>
              <w:jc w:val="right"/>
            </w:pPr>
          </w:p>
        </w:tc>
      </w:tr>
      <w:tr w:rsidR="00EA5C14" w:rsidRPr="00472EA7" w:rsidTr="00722CD9">
        <w:trPr>
          <w:cantSplit/>
        </w:trPr>
        <w:tc>
          <w:tcPr>
            <w:tcW w:w="270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EA5C14" w:rsidRPr="00472EA7" w:rsidRDefault="00EA5C14" w:rsidP="00722CD9">
            <w:pPr>
              <w:rPr>
                <w:b/>
                <w:bCs/>
                <w:i/>
                <w:iCs/>
              </w:rPr>
            </w:pPr>
            <w:r>
              <w:rPr>
                <w:b/>
                <w:bCs/>
              </w:rPr>
              <w:t>Total Personnel</w:t>
            </w:r>
          </w:p>
        </w:tc>
        <w:tc>
          <w:tcPr>
            <w:tcW w:w="162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EA5C14" w:rsidRPr="00472EA7" w:rsidRDefault="00EA5C14" w:rsidP="00722CD9">
            <w:pPr>
              <w:pStyle w:val="xl19"/>
              <w:jc w:val="right"/>
            </w:pPr>
          </w:p>
        </w:tc>
        <w:tc>
          <w:tcPr>
            <w:tcW w:w="144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EA5C14" w:rsidRPr="0058242F" w:rsidRDefault="00EA5C14" w:rsidP="00722CD9">
            <w:pPr>
              <w:jc w:val="right"/>
              <w:rPr>
                <w:b/>
              </w:rPr>
            </w:pPr>
          </w:p>
        </w:tc>
        <w:tc>
          <w:tcPr>
            <w:tcW w:w="207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EA5C14" w:rsidRPr="00472EA7" w:rsidRDefault="00EA5C14" w:rsidP="00722CD9">
            <w:pPr>
              <w:jc w:val="right"/>
              <w:rPr>
                <w:b/>
                <w:bCs/>
              </w:rPr>
            </w:pPr>
          </w:p>
        </w:tc>
        <w:tc>
          <w:tcPr>
            <w:tcW w:w="19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EA5C14" w:rsidRPr="00472EA7" w:rsidRDefault="00EA5C14" w:rsidP="00722CD9">
            <w:pPr>
              <w:jc w:val="right"/>
              <w:rPr>
                <w:b/>
                <w:bCs/>
              </w:rPr>
            </w:pPr>
          </w:p>
        </w:tc>
      </w:tr>
    </w:tbl>
    <w:p w:rsidR="00EA5C14" w:rsidRDefault="00EA5C14" w:rsidP="00EA5C14"/>
    <w:p w:rsidR="00EA5C14" w:rsidRDefault="00EA5C14" w:rsidP="00EA5C14">
      <w:pPr>
        <w:rPr>
          <w:u w:val="single"/>
        </w:rPr>
      </w:pPr>
      <w:r w:rsidRPr="00472EA7">
        <w:rPr>
          <w:u w:val="single"/>
        </w:rPr>
        <w:t xml:space="preserve">Non-Personnel Increase Cost Summary </w:t>
      </w:r>
    </w:p>
    <w:p w:rsidR="00EA5C14" w:rsidRPr="00472EA7" w:rsidRDefault="00EA5C14" w:rsidP="00EA5C14">
      <w:pPr>
        <w:rPr>
          <w:u w:val="single"/>
        </w:rPr>
      </w:pPr>
    </w:p>
    <w:tbl>
      <w:tblPr>
        <w:tblW w:w="9810" w:type="dxa"/>
        <w:tblInd w:w="-252" w:type="dxa"/>
        <w:tblCellMar>
          <w:left w:w="0" w:type="dxa"/>
          <w:right w:w="0" w:type="dxa"/>
        </w:tblCellMar>
        <w:tblLook w:val="0000"/>
      </w:tblPr>
      <w:tblGrid>
        <w:gridCol w:w="2700"/>
        <w:gridCol w:w="1620"/>
        <w:gridCol w:w="1498"/>
        <w:gridCol w:w="1973"/>
        <w:gridCol w:w="2019"/>
      </w:tblGrid>
      <w:tr w:rsidR="00EA5C14" w:rsidRPr="00472EA7" w:rsidTr="00722CD9">
        <w:tc>
          <w:tcPr>
            <w:tcW w:w="270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EA5C14" w:rsidRPr="00472EA7" w:rsidRDefault="00EA5C14" w:rsidP="00722CD9">
            <w:pPr>
              <w:jc w:val="center"/>
            </w:pPr>
            <w:r w:rsidRPr="00472EA7">
              <w:t>Non-Personnel Item</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pPr>
              <w:jc w:val="center"/>
            </w:pPr>
            <w:r w:rsidRPr="00472EA7">
              <w:t>Unit Cost</w:t>
            </w:r>
          </w:p>
          <w:p w:rsidR="00EA5C14" w:rsidRPr="00472EA7" w:rsidRDefault="00EA5C14" w:rsidP="00722CD9">
            <w:pPr>
              <w:jc w:val="center"/>
            </w:pPr>
            <w:r w:rsidRPr="00472EA7">
              <w:t>($000)</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pPr>
              <w:jc w:val="center"/>
            </w:pPr>
            <w:r w:rsidRPr="00472EA7">
              <w:t>Quantity</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pPr>
              <w:jc w:val="center"/>
            </w:pPr>
            <w:r>
              <w:t>FY 2014</w:t>
            </w:r>
            <w:r w:rsidRPr="00472EA7">
              <w:t xml:space="preserve"> Request</w:t>
            </w:r>
          </w:p>
          <w:p w:rsidR="00EA5C14" w:rsidRPr="00472EA7" w:rsidRDefault="00EA5C14" w:rsidP="00722CD9">
            <w:pPr>
              <w:jc w:val="center"/>
            </w:pPr>
            <w:r w:rsidRPr="00472EA7">
              <w:t>($000)</w:t>
            </w:r>
          </w:p>
        </w:tc>
        <w:tc>
          <w:tcPr>
            <w:tcW w:w="20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pPr>
              <w:jc w:val="center"/>
            </w:pPr>
            <w:r>
              <w:t>FY 2015</w:t>
            </w:r>
            <w:r w:rsidRPr="00472EA7">
              <w:t xml:space="preserve"> Net</w:t>
            </w:r>
          </w:p>
          <w:p w:rsidR="00EA5C14" w:rsidRPr="00472EA7" w:rsidRDefault="00EA5C14" w:rsidP="00722CD9">
            <w:pPr>
              <w:jc w:val="center"/>
            </w:pPr>
            <w:r w:rsidRPr="00472EA7">
              <w:t>Annualization</w:t>
            </w:r>
          </w:p>
          <w:p w:rsidR="00EA5C14" w:rsidRPr="00472EA7" w:rsidRDefault="00EA5C14" w:rsidP="00722CD9">
            <w:pPr>
              <w:jc w:val="center"/>
            </w:pPr>
            <w:r w:rsidRPr="00472EA7">
              <w:t>(Change from 201</w:t>
            </w:r>
            <w:r>
              <w:t>4</w:t>
            </w:r>
            <w:r w:rsidRPr="00472EA7">
              <w:t>)</w:t>
            </w:r>
          </w:p>
          <w:p w:rsidR="00EA5C14" w:rsidRPr="00472EA7" w:rsidRDefault="00EA5C14" w:rsidP="00722CD9">
            <w:pPr>
              <w:jc w:val="center"/>
            </w:pPr>
            <w:r w:rsidRPr="00472EA7">
              <w:t>($000)</w:t>
            </w:r>
          </w:p>
        </w:tc>
      </w:tr>
      <w:tr w:rsidR="00EA5C14" w:rsidRPr="00472EA7" w:rsidTr="00722CD9">
        <w:trPr>
          <w:trHeight w:val="45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A5C14" w:rsidRDefault="00FC145F" w:rsidP="00FC145F">
            <w:r>
              <w:t>NIBIN Contract Services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EA5C14" w:rsidRPr="00472EA7" w:rsidRDefault="00EA5C14" w:rsidP="00722CD9">
            <w:pPr>
              <w:pStyle w:val="xl19"/>
              <w:jc w:val="right"/>
            </w:pP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bottom"/>
          </w:tcPr>
          <w:p w:rsidR="00EA5C14" w:rsidRPr="00472EA7" w:rsidRDefault="00EA5C14" w:rsidP="00722CD9">
            <w:pPr>
              <w:jc w:val="right"/>
            </w:pP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bottom"/>
          </w:tcPr>
          <w:p w:rsidR="00EA5C14" w:rsidRPr="00472EA7" w:rsidRDefault="009D0636" w:rsidP="009D0636">
            <w:pPr>
              <w:jc w:val="right"/>
            </w:pPr>
            <w:r>
              <w:t>14</w:t>
            </w:r>
            <w:r w:rsidR="00EA5C14">
              <w:t>,000</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bottom"/>
          </w:tcPr>
          <w:p w:rsidR="00EA5C14" w:rsidRDefault="00EA5C14" w:rsidP="00722CD9">
            <w:pPr>
              <w:jc w:val="right"/>
            </w:pPr>
          </w:p>
          <w:p w:rsidR="00EA5C14" w:rsidRPr="00472EA7" w:rsidRDefault="00EA5C14" w:rsidP="00722CD9">
            <w:pPr>
              <w:jc w:val="right"/>
            </w:pPr>
            <w:r>
              <w:t>0</w:t>
            </w:r>
          </w:p>
        </w:tc>
      </w:tr>
      <w:tr w:rsidR="00FC145F" w:rsidRPr="00472EA7" w:rsidTr="00722CD9">
        <w:trPr>
          <w:trHeight w:val="45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FC145F" w:rsidRDefault="00FC145F" w:rsidP="00FC145F">
            <w:r>
              <w:t>NIBIN Equipment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FC145F" w:rsidRPr="00472EA7" w:rsidRDefault="00FC145F" w:rsidP="00722CD9">
            <w:pPr>
              <w:pStyle w:val="xl19"/>
              <w:jc w:val="right"/>
            </w:pP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bottom"/>
          </w:tcPr>
          <w:p w:rsidR="00FC145F" w:rsidRPr="00472EA7" w:rsidRDefault="00FC145F" w:rsidP="00722CD9">
            <w:pPr>
              <w:jc w:val="right"/>
            </w:pP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bottom"/>
          </w:tcPr>
          <w:p w:rsidR="00FC145F" w:rsidRDefault="009D0636" w:rsidP="00722CD9">
            <w:pPr>
              <w:jc w:val="right"/>
            </w:pPr>
            <w:r>
              <w:t>8</w:t>
            </w:r>
            <w:r w:rsidR="00FC145F">
              <w:t>,000</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bottom"/>
          </w:tcPr>
          <w:p w:rsidR="00FC145F" w:rsidRDefault="00FC145F" w:rsidP="00722CD9">
            <w:pPr>
              <w:jc w:val="right"/>
            </w:pPr>
            <w:r>
              <w:t>0</w:t>
            </w:r>
          </w:p>
        </w:tc>
      </w:tr>
      <w:tr w:rsidR="00EA5C14" w:rsidRPr="00472EA7" w:rsidTr="00722CD9">
        <w:trPr>
          <w:trHeight w:val="322"/>
        </w:trPr>
        <w:tc>
          <w:tcPr>
            <w:tcW w:w="270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EA5C14" w:rsidRDefault="00EA5C14" w:rsidP="00722CD9">
            <w:r w:rsidRPr="00472EA7">
              <w:rPr>
                <w:b/>
                <w:bCs/>
              </w:rPr>
              <w:t>Total Non-Personnel</w:t>
            </w:r>
          </w:p>
        </w:tc>
        <w:tc>
          <w:tcPr>
            <w:tcW w:w="162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EA5C14" w:rsidRPr="006606D7" w:rsidRDefault="00EA5C14" w:rsidP="00722CD9">
            <w:pPr>
              <w:pStyle w:val="xl19"/>
              <w:jc w:val="right"/>
              <w:rPr>
                <w:b/>
              </w:rPr>
            </w:pPr>
          </w:p>
        </w:tc>
        <w:tc>
          <w:tcPr>
            <w:tcW w:w="149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EA5C14" w:rsidRPr="006606D7" w:rsidRDefault="00EA5C14" w:rsidP="00722CD9">
            <w:pPr>
              <w:jc w:val="right"/>
              <w:rPr>
                <w:b/>
              </w:rPr>
            </w:pPr>
          </w:p>
        </w:tc>
        <w:tc>
          <w:tcPr>
            <w:tcW w:w="197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EA5C14" w:rsidRPr="006606D7" w:rsidRDefault="009D0636" w:rsidP="00722CD9">
            <w:pPr>
              <w:jc w:val="right"/>
              <w:rPr>
                <w:b/>
                <w:bCs/>
              </w:rPr>
            </w:pPr>
            <w:r>
              <w:rPr>
                <w:b/>
                <w:bCs/>
              </w:rPr>
              <w:t>22</w:t>
            </w:r>
            <w:r w:rsidR="00EA5C14">
              <w:rPr>
                <w:b/>
                <w:bCs/>
              </w:rPr>
              <w:t>,000</w:t>
            </w:r>
          </w:p>
        </w:tc>
        <w:tc>
          <w:tcPr>
            <w:tcW w:w="201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EA5C14" w:rsidRPr="006606D7" w:rsidRDefault="00EA5C14" w:rsidP="00722CD9">
            <w:pPr>
              <w:jc w:val="right"/>
              <w:rPr>
                <w:b/>
              </w:rPr>
            </w:pPr>
            <w:r w:rsidRPr="009339E6">
              <w:rPr>
                <w:b/>
              </w:rPr>
              <w:t>0</w:t>
            </w:r>
          </w:p>
        </w:tc>
      </w:tr>
    </w:tbl>
    <w:p w:rsidR="00EA5C14" w:rsidRPr="00347F5C" w:rsidRDefault="00EA5C14" w:rsidP="00EA5C14">
      <w:pPr>
        <w:pStyle w:val="xl24"/>
        <w:spacing w:before="0" w:after="0"/>
        <w:rPr>
          <w:u w:val="single"/>
        </w:rPr>
      </w:pPr>
      <w:r w:rsidRPr="00347F5C">
        <w:rPr>
          <w:u w:val="single"/>
        </w:rPr>
        <w:t>Total Request for this Item</w:t>
      </w:r>
    </w:p>
    <w:tbl>
      <w:tblPr>
        <w:tblW w:w="9720" w:type="dxa"/>
        <w:tblInd w:w="-252" w:type="dxa"/>
        <w:tblCellMar>
          <w:left w:w="0" w:type="dxa"/>
          <w:right w:w="0" w:type="dxa"/>
        </w:tblCellMar>
        <w:tblLook w:val="0000"/>
      </w:tblPr>
      <w:tblGrid>
        <w:gridCol w:w="1929"/>
        <w:gridCol w:w="951"/>
        <w:gridCol w:w="900"/>
        <w:gridCol w:w="1080"/>
        <w:gridCol w:w="1446"/>
        <w:gridCol w:w="1800"/>
        <w:gridCol w:w="1614"/>
      </w:tblGrid>
      <w:tr w:rsidR="00EA5C14" w:rsidRPr="00472EA7" w:rsidTr="00722CD9">
        <w:trPr>
          <w:trHeight w:val="658"/>
        </w:trPr>
        <w:tc>
          <w:tcPr>
            <w:tcW w:w="1929"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EA5C14" w:rsidRPr="00472EA7" w:rsidRDefault="00EA5C14" w:rsidP="00722CD9"/>
          <w:p w:rsidR="00EA5C14" w:rsidRPr="00472EA7" w:rsidRDefault="00EA5C14" w:rsidP="00722CD9"/>
        </w:tc>
        <w:tc>
          <w:tcPr>
            <w:tcW w:w="9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pPr>
              <w:jc w:val="center"/>
            </w:pPr>
            <w:r w:rsidRPr="00472EA7">
              <w:t>Pos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pPr>
              <w:jc w:val="center"/>
            </w:pPr>
            <w:r>
              <w:t>Agt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pPr>
              <w:jc w:val="center"/>
            </w:pPr>
            <w:r w:rsidRPr="00472EA7">
              <w:t>FTE</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pPr>
              <w:jc w:val="center"/>
            </w:pPr>
            <w:r w:rsidRPr="00472EA7">
              <w:t>Personnel</w:t>
            </w:r>
          </w:p>
          <w:p w:rsidR="00EA5C14" w:rsidRPr="00472EA7" w:rsidRDefault="00EA5C14" w:rsidP="00722CD9">
            <w:pPr>
              <w:jc w:val="center"/>
            </w:pPr>
            <w:r w:rsidRPr="00472EA7">
              <w:t>($000)</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pPr>
              <w:jc w:val="center"/>
            </w:pPr>
            <w:r w:rsidRPr="00472EA7">
              <w:t>Non-Personnel</w:t>
            </w:r>
          </w:p>
          <w:p w:rsidR="00EA5C14" w:rsidRPr="00472EA7" w:rsidRDefault="00EA5C14" w:rsidP="00722CD9">
            <w:pPr>
              <w:jc w:val="center"/>
            </w:pPr>
            <w:r w:rsidRPr="00472EA7">
              <w:t>($000)</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pPr>
              <w:jc w:val="center"/>
            </w:pPr>
            <w:r w:rsidRPr="00472EA7">
              <w:t>Total</w:t>
            </w:r>
          </w:p>
          <w:p w:rsidR="00EA5C14" w:rsidRPr="00472EA7" w:rsidRDefault="00EA5C14" w:rsidP="00722CD9">
            <w:pPr>
              <w:jc w:val="center"/>
            </w:pPr>
            <w:r w:rsidRPr="00472EA7">
              <w:t>($000)</w:t>
            </w:r>
          </w:p>
        </w:tc>
      </w:tr>
      <w:tr w:rsidR="00EA5C14" w:rsidRPr="00472EA7" w:rsidTr="00722CD9">
        <w:trPr>
          <w:trHeight w:val="350"/>
        </w:trPr>
        <w:tc>
          <w:tcPr>
            <w:tcW w:w="1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r w:rsidRPr="00472EA7">
              <w:t>Current Services</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FC145F" w:rsidP="00FC145F">
            <w:pPr>
              <w:jc w:val="right"/>
            </w:pPr>
            <w:r>
              <w:t>19</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FC145F" w:rsidP="00FC145F">
            <w:pPr>
              <w:jc w:val="right"/>
            </w:pPr>
            <w: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FC145F" w:rsidP="00FC145F">
            <w:pPr>
              <w:jc w:val="right"/>
            </w:pPr>
            <w:r>
              <w:t>19</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FC145F" w:rsidP="00722CD9">
            <w:pPr>
              <w:jc w:val="right"/>
            </w:pPr>
            <w:r>
              <w:t>3,00</w:t>
            </w:r>
            <w:r w:rsidR="00EA5C14">
              <w:t>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FC145F" w:rsidP="00722CD9">
            <w:pPr>
              <w:jc w:val="right"/>
            </w:pPr>
            <w:r>
              <w:t>25,00</w:t>
            </w:r>
            <w:r w:rsidR="00EA5C14">
              <w:t>0</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FC145F" w:rsidP="00722CD9">
            <w:pPr>
              <w:jc w:val="right"/>
            </w:pPr>
            <w:r>
              <w:t>28,00</w:t>
            </w:r>
            <w:r w:rsidR="00EA5C14">
              <w:t>0</w:t>
            </w:r>
          </w:p>
        </w:tc>
      </w:tr>
      <w:tr w:rsidR="00EA5C14" w:rsidRPr="00472EA7" w:rsidTr="00722CD9">
        <w:trPr>
          <w:trHeight w:val="250"/>
        </w:trPr>
        <w:tc>
          <w:tcPr>
            <w:tcW w:w="1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r w:rsidRPr="00472EA7">
              <w:t>Increases</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Default="00FC145F" w:rsidP="00FC145F">
            <w:pPr>
              <w:jc w:val="right"/>
            </w:pPr>
            <w:r>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Default="00FC145F" w:rsidP="00FC145F">
            <w:pPr>
              <w:jc w:val="right"/>
            </w:pPr>
            <w: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Default="00FC145F" w:rsidP="00FC145F">
            <w:pPr>
              <w:jc w:val="right"/>
            </w:pPr>
            <w: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FC145F" w:rsidP="00722CD9">
            <w:pPr>
              <w:jc w:val="right"/>
            </w:pPr>
            <w:r>
              <w:t>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FC145F" w:rsidP="00FC145F">
            <w:pPr>
              <w:jc w:val="right"/>
            </w:pPr>
            <w:r>
              <w:t>22,000</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FC145F" w:rsidP="00FC145F">
            <w:pPr>
              <w:jc w:val="right"/>
            </w:pPr>
            <w:r>
              <w:t>2</w:t>
            </w:r>
            <w:r w:rsidR="008A3EDE">
              <w:t>2</w:t>
            </w:r>
            <w:r>
              <w:t>,000</w:t>
            </w:r>
          </w:p>
        </w:tc>
      </w:tr>
      <w:tr w:rsidR="00EA5C14" w:rsidRPr="00472EA7" w:rsidTr="00722CD9">
        <w:trPr>
          <w:trHeight w:val="250"/>
        </w:trPr>
        <w:tc>
          <w:tcPr>
            <w:tcW w:w="1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5C14" w:rsidRPr="00472EA7" w:rsidRDefault="00EA5C14" w:rsidP="00722CD9">
            <w:r w:rsidRPr="00472EA7">
              <w:t>Grand Total</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8A3EDE" w:rsidP="008A3EDE">
            <w:pPr>
              <w:jc w:val="right"/>
            </w:pPr>
            <w:r>
              <w:t>19</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8A3EDE" w:rsidP="008A3EDE">
            <w:pPr>
              <w:jc w:val="right"/>
            </w:pPr>
            <w: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8A3EDE" w:rsidP="008A3EDE">
            <w:pPr>
              <w:jc w:val="right"/>
            </w:pPr>
            <w:r>
              <w:t>19</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8A3EDE" w:rsidP="008A3EDE">
            <w:pPr>
              <w:jc w:val="right"/>
            </w:pPr>
            <w:r>
              <w:t>3,000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8A3EDE" w:rsidP="008A3EDE">
            <w:pPr>
              <w:jc w:val="right"/>
            </w:pPr>
            <w:r>
              <w:t>47,000</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EA5C14" w:rsidRPr="00472EA7" w:rsidRDefault="008A3EDE" w:rsidP="008A3EDE">
            <w:pPr>
              <w:jc w:val="right"/>
            </w:pPr>
            <w:r>
              <w:t>50,000</w:t>
            </w:r>
          </w:p>
        </w:tc>
      </w:tr>
    </w:tbl>
    <w:p w:rsidR="00EA5C14" w:rsidRDefault="00EA5C14" w:rsidP="00F54764">
      <w:pPr>
        <w:rPr>
          <w:b/>
          <w:bCs/>
        </w:rPr>
      </w:pPr>
    </w:p>
    <w:p w:rsidR="009D0636" w:rsidRDefault="009D0636">
      <w:pPr>
        <w:rPr>
          <w:b/>
          <w:bCs/>
        </w:rPr>
      </w:pPr>
      <w:r>
        <w:rPr>
          <w:b/>
          <w:bCs/>
        </w:rPr>
        <w:br w:type="page"/>
      </w:r>
    </w:p>
    <w:p w:rsidR="00EA5C14" w:rsidRDefault="00EA5C14" w:rsidP="00F54764">
      <w:pPr>
        <w:rPr>
          <w:b/>
          <w:bCs/>
        </w:rPr>
      </w:pPr>
    </w:p>
    <w:p w:rsidR="00F54764" w:rsidRDefault="00F54764" w:rsidP="00F54764">
      <w:pPr>
        <w:rPr>
          <w:b/>
          <w:bCs/>
        </w:rPr>
      </w:pPr>
      <w:r>
        <w:rPr>
          <w:b/>
          <w:bCs/>
        </w:rPr>
        <w:t>V</w:t>
      </w:r>
      <w:r w:rsidR="00574040">
        <w:rPr>
          <w:b/>
          <w:bCs/>
        </w:rPr>
        <w:t>I</w:t>
      </w:r>
      <w:r>
        <w:rPr>
          <w:b/>
          <w:bCs/>
        </w:rPr>
        <w:t>. Program Offsets by Item</w:t>
      </w:r>
    </w:p>
    <w:p w:rsidR="00F54764" w:rsidRDefault="00F54764" w:rsidP="001A292D">
      <w:pPr>
        <w:rPr>
          <w:b/>
          <w:bCs/>
        </w:rPr>
      </w:pPr>
    </w:p>
    <w:p w:rsidR="001A292D" w:rsidRPr="00472EA7" w:rsidRDefault="001A292D" w:rsidP="001A292D">
      <w:r w:rsidRPr="00472EA7">
        <w:rPr>
          <w:b/>
          <w:bCs/>
        </w:rPr>
        <w:t>Item Name:</w:t>
      </w:r>
      <w:r w:rsidRPr="00472EA7">
        <w:t>                                      </w:t>
      </w:r>
      <w:r>
        <w:rPr>
          <w:b/>
        </w:rPr>
        <w:t>Administrative Efficiencies</w:t>
      </w:r>
    </w:p>
    <w:p w:rsidR="001A292D" w:rsidRPr="00472EA7" w:rsidRDefault="001A292D" w:rsidP="001A292D"/>
    <w:p w:rsidR="001A292D" w:rsidRPr="00D72FDB" w:rsidRDefault="001A292D" w:rsidP="001A292D">
      <w:pPr>
        <w:ind w:left="3510" w:hanging="3510"/>
      </w:pPr>
      <w:r w:rsidRPr="00D72FDB">
        <w:rPr>
          <w:bCs/>
        </w:rPr>
        <w:t>Budget Decision Unit(s):</w:t>
      </w:r>
      <w:r w:rsidRPr="00D72FDB">
        <w:t>                  </w:t>
      </w:r>
      <w:r>
        <w:t>Law Enforcement Operations and Investigative Support Services</w:t>
      </w:r>
    </w:p>
    <w:p w:rsidR="001A292D" w:rsidRPr="00D72FDB" w:rsidRDefault="001A292D" w:rsidP="001A292D"/>
    <w:p w:rsidR="001A292D" w:rsidRPr="00D72FDB" w:rsidRDefault="001A292D" w:rsidP="001A292D">
      <w:pPr>
        <w:pStyle w:val="xl19"/>
        <w:ind w:left="3600" w:hanging="3600"/>
      </w:pPr>
      <w:r w:rsidRPr="00D72FDB">
        <w:rPr>
          <w:bCs/>
        </w:rPr>
        <w:t>Strategic Goal(s) and Objective(s):</w:t>
      </w:r>
      <w:r w:rsidRPr="00D72FDB">
        <w:t> </w:t>
      </w:r>
      <w:r>
        <w:t xml:space="preserve">   </w:t>
      </w:r>
      <w:r w:rsidRPr="00D72FDB">
        <w:t>Strategic Goal 1:  Prevent Terrorism and Promote the Nation’s Security, Objectives 1.1 and 1.2</w:t>
      </w:r>
    </w:p>
    <w:p w:rsidR="001A292D" w:rsidRPr="00D72FDB" w:rsidRDefault="001A292D" w:rsidP="001A292D">
      <w:pPr>
        <w:pStyle w:val="xl19"/>
      </w:pPr>
    </w:p>
    <w:p w:rsidR="001A292D" w:rsidRPr="00D72FDB" w:rsidRDefault="001A292D" w:rsidP="001A292D">
      <w:pPr>
        <w:ind w:left="3600"/>
      </w:pPr>
      <w:r w:rsidRPr="00D72FDB">
        <w:t>Strategic Goal 2:  Prevent Crime, Enforce Federal Laws, and Represent the Rights and Interests of the American People, Objectives 2.1 and 2.2</w:t>
      </w:r>
    </w:p>
    <w:p w:rsidR="001A292D" w:rsidRPr="00D72FDB" w:rsidRDefault="001A292D" w:rsidP="001A292D"/>
    <w:p w:rsidR="001A292D" w:rsidRPr="00D72FDB" w:rsidRDefault="001A292D" w:rsidP="001A292D">
      <w:pPr>
        <w:pStyle w:val="xl19"/>
      </w:pPr>
      <w:r w:rsidRPr="00D72FDB">
        <w:rPr>
          <w:bCs/>
        </w:rPr>
        <w:t>Component Ranking of Item</w:t>
      </w:r>
      <w:r w:rsidR="0014314F">
        <w:rPr>
          <w:bCs/>
        </w:rPr>
        <w:t xml:space="preserve">:  </w:t>
      </w:r>
      <w:r w:rsidR="0014314F">
        <w:rPr>
          <w:bCs/>
        </w:rPr>
        <w:tab/>
        <w:t xml:space="preserve">Item </w:t>
      </w:r>
      <w:r w:rsidR="008F5544">
        <w:rPr>
          <w:bCs/>
        </w:rPr>
        <w:t>1</w:t>
      </w:r>
      <w:r w:rsidR="0014314F">
        <w:rPr>
          <w:bCs/>
        </w:rPr>
        <w:t xml:space="preserve"> </w:t>
      </w:r>
      <w:r>
        <w:rPr>
          <w:bCs/>
        </w:rPr>
        <w:t xml:space="preserve">of </w:t>
      </w:r>
      <w:r w:rsidR="008F5544">
        <w:rPr>
          <w:bCs/>
        </w:rPr>
        <w:t>2</w:t>
      </w:r>
    </w:p>
    <w:p w:rsidR="001A292D" w:rsidRPr="00D72FDB" w:rsidRDefault="001A292D" w:rsidP="001A292D"/>
    <w:p w:rsidR="001A292D" w:rsidRPr="008B7C3C" w:rsidRDefault="001A292D" w:rsidP="001A292D">
      <w:r w:rsidRPr="008B7C3C">
        <w:rPr>
          <w:bCs/>
        </w:rPr>
        <w:t>Program Increase:</w:t>
      </w:r>
      <w:r w:rsidRPr="008B7C3C">
        <w:t>  Positions</w:t>
      </w:r>
      <w:r>
        <w:t xml:space="preserve">: </w:t>
      </w:r>
      <w:r>
        <w:rPr>
          <w:u w:val="single"/>
        </w:rPr>
        <w:t>(164)</w:t>
      </w:r>
      <w:r>
        <w:t>;</w:t>
      </w:r>
      <w:r w:rsidRPr="00D048E8">
        <w:t xml:space="preserve"> </w:t>
      </w:r>
      <w:r w:rsidRPr="008572B2">
        <w:t>Agent</w:t>
      </w:r>
      <w:r>
        <w:t>s:</w:t>
      </w:r>
      <w:r w:rsidRPr="008572B2">
        <w:t xml:space="preserve"> </w:t>
      </w:r>
      <w:r>
        <w:rPr>
          <w:u w:val="single"/>
        </w:rPr>
        <w:t>(34)</w:t>
      </w:r>
      <w:r>
        <w:t>;</w:t>
      </w:r>
      <w:r w:rsidRPr="008572B2">
        <w:t xml:space="preserve"> FTE</w:t>
      </w:r>
      <w:r>
        <w:t>:</w:t>
      </w:r>
      <w:r w:rsidRPr="008572B2">
        <w:t xml:space="preserve"> </w:t>
      </w:r>
      <w:r>
        <w:rPr>
          <w:u w:val="single"/>
        </w:rPr>
        <w:t>0</w:t>
      </w:r>
      <w:r w:rsidRPr="008572B2">
        <w:t>;</w:t>
      </w:r>
      <w:r w:rsidRPr="00977714">
        <w:t xml:space="preserve"> Dollars</w:t>
      </w:r>
      <w:r w:rsidRPr="008B7C3C">
        <w:t xml:space="preserve">: </w:t>
      </w:r>
      <w:r w:rsidR="00AC44CC">
        <w:t>(</w:t>
      </w:r>
      <w:r w:rsidRPr="008B7C3C">
        <w:rPr>
          <w:u w:val="single"/>
        </w:rPr>
        <w:t>$</w:t>
      </w:r>
      <w:r>
        <w:rPr>
          <w:u w:val="single"/>
        </w:rPr>
        <w:t>7,399,000</w:t>
      </w:r>
      <w:r w:rsidR="00AC44CC">
        <w:rPr>
          <w:u w:val="single"/>
        </w:rPr>
        <w:t>)</w:t>
      </w:r>
    </w:p>
    <w:p w:rsidR="001A292D" w:rsidRPr="008B7C3C" w:rsidRDefault="001A292D" w:rsidP="001A292D">
      <w:pPr>
        <w:rPr>
          <w:u w:val="single"/>
        </w:rPr>
      </w:pPr>
    </w:p>
    <w:p w:rsidR="001A292D" w:rsidRPr="00E91805" w:rsidRDefault="001A292D" w:rsidP="001A292D">
      <w:pPr>
        <w:rPr>
          <w:b/>
          <w:bCs/>
          <w:u w:val="single"/>
        </w:rPr>
      </w:pPr>
      <w:r w:rsidRPr="00E91805">
        <w:rPr>
          <w:b/>
          <w:bCs/>
          <w:u w:val="single"/>
        </w:rPr>
        <w:t xml:space="preserve">Description of Item: </w:t>
      </w:r>
    </w:p>
    <w:p w:rsidR="001A292D" w:rsidRPr="008B7C3C" w:rsidRDefault="001A292D" w:rsidP="001A292D">
      <w:pPr>
        <w:pStyle w:val="BodyText"/>
        <w:spacing w:before="100" w:beforeAutospacing="1" w:after="100" w:afterAutospacing="1"/>
      </w:pPr>
      <w:r>
        <w:t xml:space="preserve">In FY 2014, ATF will realize a payroll and benefit cost savings of approximately $7.4 million as a result of staffing reductions, including the FY 2012 VERA/VSIP action and hiring freeze, general administrative, program and contract reductions.   </w:t>
      </w:r>
    </w:p>
    <w:p w:rsidR="001A292D" w:rsidRPr="00E91805" w:rsidRDefault="001A292D" w:rsidP="001A292D">
      <w:pPr>
        <w:rPr>
          <w:b/>
          <w:bCs/>
          <w:u w:val="single"/>
        </w:rPr>
      </w:pPr>
      <w:r w:rsidRPr="00E91805">
        <w:rPr>
          <w:b/>
          <w:bCs/>
          <w:u w:val="single"/>
        </w:rPr>
        <w:t xml:space="preserve">Justification:  </w:t>
      </w:r>
    </w:p>
    <w:p w:rsidR="001A292D" w:rsidRDefault="001A292D" w:rsidP="001A292D">
      <w:pPr>
        <w:pStyle w:val="BodyText"/>
        <w:spacing w:before="100" w:beforeAutospacing="1" w:after="100" w:afterAutospacing="1"/>
      </w:pPr>
      <w:r w:rsidRPr="00541C70">
        <w:t xml:space="preserve">The request proposes $7.4 million in offsets associated with general administrative, program and contract reductions.  The offset also includes the reduction of 164 hollow positions, including 34 </w:t>
      </w:r>
      <w:r w:rsidR="008A5616">
        <w:t xml:space="preserve">special </w:t>
      </w:r>
      <w:r w:rsidRPr="00541C70">
        <w:t>agents.</w:t>
      </w:r>
      <w:r>
        <w:t xml:space="preserve">  </w:t>
      </w:r>
    </w:p>
    <w:p w:rsidR="001A292D" w:rsidRDefault="001A292D" w:rsidP="001A292D">
      <w:pPr>
        <w:rPr>
          <w:b/>
          <w:bCs/>
          <w:u w:val="single"/>
        </w:rPr>
      </w:pPr>
      <w:r>
        <w:rPr>
          <w:b/>
          <w:bCs/>
          <w:u w:val="single"/>
        </w:rPr>
        <w:t>Impact on Performance:</w:t>
      </w:r>
    </w:p>
    <w:p w:rsidR="001A292D" w:rsidRDefault="001A292D" w:rsidP="001A292D">
      <w:pPr>
        <w:pStyle w:val="BodyText"/>
        <w:spacing w:before="100" w:beforeAutospacing="1" w:after="100" w:afterAutospacing="1"/>
      </w:pPr>
      <w:r>
        <w:t xml:space="preserve">The cost savings realized will allow more efficient execution of </w:t>
      </w:r>
      <w:r w:rsidR="008A5616">
        <w:t xml:space="preserve">core </w:t>
      </w:r>
      <w:r>
        <w:t xml:space="preserve">programs critical to law enforcement operations and public safety to continue in FY 2014.   </w:t>
      </w:r>
    </w:p>
    <w:p w:rsidR="001A292D" w:rsidRPr="00472EA7" w:rsidRDefault="001A292D" w:rsidP="001A292D">
      <w:pPr>
        <w:rPr>
          <w:b/>
          <w:bCs/>
          <w:u w:val="single"/>
        </w:rPr>
      </w:pPr>
      <w:r>
        <w:rPr>
          <w:b/>
          <w:bCs/>
          <w:u w:val="single"/>
        </w:rPr>
        <w:br w:type="page"/>
      </w:r>
    </w:p>
    <w:p w:rsidR="001A292D" w:rsidRPr="00472EA7" w:rsidRDefault="001A292D" w:rsidP="001A292D">
      <w:pPr>
        <w:jc w:val="center"/>
        <w:rPr>
          <w:b/>
          <w:bCs/>
        </w:rPr>
      </w:pPr>
      <w:r w:rsidRPr="008572B2">
        <w:rPr>
          <w:b/>
          <w:bCs/>
        </w:rPr>
        <w:lastRenderedPageBreak/>
        <w:t>Funding</w:t>
      </w:r>
    </w:p>
    <w:p w:rsidR="001A292D" w:rsidRPr="00472EA7" w:rsidRDefault="001A292D" w:rsidP="001A292D">
      <w:pPr>
        <w:pStyle w:val="Header"/>
        <w:rPr>
          <w:u w:val="single"/>
        </w:rPr>
      </w:pPr>
      <w:r w:rsidRPr="00472EA7">
        <w:rPr>
          <w:u w:val="single"/>
        </w:rPr>
        <w:t>Base Funding</w:t>
      </w:r>
    </w:p>
    <w:p w:rsidR="001A292D" w:rsidRPr="00472EA7" w:rsidRDefault="001A292D" w:rsidP="001A292D">
      <w:pPr>
        <w:pStyle w:val="Header"/>
        <w:rPr>
          <w:u w:val="single"/>
        </w:rPr>
      </w:pPr>
    </w:p>
    <w:tbl>
      <w:tblPr>
        <w:tblW w:w="0" w:type="auto"/>
        <w:tblInd w:w="-252" w:type="dxa"/>
        <w:tblCellMar>
          <w:left w:w="0" w:type="dxa"/>
          <w:right w:w="0" w:type="dxa"/>
        </w:tblCellMar>
        <w:tblLook w:val="0000"/>
      </w:tblPr>
      <w:tblGrid>
        <w:gridCol w:w="682"/>
        <w:gridCol w:w="685"/>
        <w:gridCol w:w="701"/>
        <w:gridCol w:w="1162"/>
        <w:gridCol w:w="682"/>
        <w:gridCol w:w="685"/>
        <w:gridCol w:w="838"/>
        <w:gridCol w:w="1026"/>
        <w:gridCol w:w="682"/>
        <w:gridCol w:w="821"/>
        <w:gridCol w:w="838"/>
        <w:gridCol w:w="1026"/>
      </w:tblGrid>
      <w:tr w:rsidR="001A292D" w:rsidRPr="00472EA7" w:rsidTr="001E2405">
        <w:tc>
          <w:tcPr>
            <w:tcW w:w="3420"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1A292D" w:rsidRPr="00692A6E" w:rsidRDefault="001A292D" w:rsidP="001E2405">
            <w:pPr>
              <w:pStyle w:val="Heading7"/>
              <w:rPr>
                <w:b w:val="0"/>
                <w:szCs w:val="24"/>
              </w:rPr>
            </w:pPr>
            <w:r w:rsidRPr="00692A6E">
              <w:rPr>
                <w:b w:val="0"/>
                <w:szCs w:val="24"/>
              </w:rPr>
              <w:t>FY 20</w:t>
            </w:r>
            <w:r>
              <w:rPr>
                <w:b w:val="0"/>
                <w:szCs w:val="24"/>
              </w:rPr>
              <w:t>12</w:t>
            </w:r>
            <w:r w:rsidRPr="00692A6E">
              <w:rPr>
                <w:b w:val="0"/>
                <w:szCs w:val="24"/>
              </w:rPr>
              <w:t xml:space="preserve"> Enacted </w:t>
            </w:r>
          </w:p>
        </w:tc>
        <w:tc>
          <w:tcPr>
            <w:tcW w:w="3420" w:type="dxa"/>
            <w:gridSpan w:val="4"/>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1A292D" w:rsidRPr="00692A6E" w:rsidRDefault="001A292D" w:rsidP="001E2405">
            <w:pPr>
              <w:pStyle w:val="Heading7"/>
              <w:rPr>
                <w:b w:val="0"/>
                <w:szCs w:val="24"/>
              </w:rPr>
            </w:pPr>
            <w:r w:rsidRPr="00692A6E">
              <w:rPr>
                <w:b w:val="0"/>
                <w:szCs w:val="24"/>
              </w:rPr>
              <w:t>FY 201</w:t>
            </w:r>
            <w:r>
              <w:rPr>
                <w:b w:val="0"/>
                <w:szCs w:val="24"/>
              </w:rPr>
              <w:t xml:space="preserve">3 </w:t>
            </w:r>
            <w:r w:rsidR="007C6619">
              <w:rPr>
                <w:b w:val="0"/>
                <w:szCs w:val="24"/>
              </w:rPr>
              <w:t>President’s Budget</w:t>
            </w:r>
          </w:p>
        </w:tc>
        <w:tc>
          <w:tcPr>
            <w:tcW w:w="3600" w:type="dxa"/>
            <w:gridSpan w:val="4"/>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1A292D" w:rsidRPr="00692A6E" w:rsidRDefault="001A292D" w:rsidP="001E2405">
            <w:pPr>
              <w:pStyle w:val="Heading7"/>
              <w:rPr>
                <w:b w:val="0"/>
                <w:szCs w:val="24"/>
              </w:rPr>
            </w:pPr>
            <w:r w:rsidRPr="00692A6E">
              <w:rPr>
                <w:b w:val="0"/>
                <w:szCs w:val="24"/>
              </w:rPr>
              <w:t>FY 201</w:t>
            </w:r>
            <w:r>
              <w:rPr>
                <w:b w:val="0"/>
                <w:szCs w:val="24"/>
              </w:rPr>
              <w:t>4</w:t>
            </w:r>
            <w:r w:rsidRPr="00692A6E">
              <w:rPr>
                <w:b w:val="0"/>
                <w:szCs w:val="24"/>
              </w:rPr>
              <w:t xml:space="preserve"> Current Services</w:t>
            </w:r>
          </w:p>
        </w:tc>
      </w:tr>
      <w:tr w:rsidR="001A292D" w:rsidRPr="00472EA7" w:rsidTr="001E2405">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A292D" w:rsidRPr="00472EA7" w:rsidRDefault="001A292D" w:rsidP="001E2405">
            <w:pPr>
              <w:pStyle w:val="xl24"/>
              <w:jc w:val="center"/>
            </w:pPr>
            <w:r w:rsidRPr="00472EA7">
              <w:t>Pos</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A292D" w:rsidRPr="00472EA7" w:rsidRDefault="001A292D" w:rsidP="001E2405">
            <w:pPr>
              <w:pStyle w:val="xl24"/>
              <w:jc w:val="center"/>
            </w:pPr>
            <w:r w:rsidRPr="00472EA7">
              <w:t>Agt</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A292D" w:rsidRPr="00472EA7" w:rsidRDefault="001A292D" w:rsidP="001E2405">
            <w:pPr>
              <w:pStyle w:val="xl24"/>
              <w:jc w:val="center"/>
            </w:pPr>
            <w:r w:rsidRPr="00472EA7">
              <w:t>FTE</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A292D" w:rsidRPr="00472EA7" w:rsidRDefault="001A292D" w:rsidP="001E2405">
            <w:pPr>
              <w:pStyle w:val="xl24"/>
              <w:jc w:val="center"/>
            </w:pPr>
            <w:r w:rsidRPr="00472EA7">
              <w:t>$(000)</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A292D" w:rsidRPr="00472EA7" w:rsidRDefault="001A292D" w:rsidP="001E2405">
            <w:pPr>
              <w:pStyle w:val="xl24"/>
              <w:jc w:val="center"/>
            </w:pPr>
            <w:r w:rsidRPr="00472EA7">
              <w:t>Pos</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A292D" w:rsidRPr="00472EA7" w:rsidRDefault="001A292D" w:rsidP="001E2405">
            <w:pPr>
              <w:pStyle w:val="xl24"/>
              <w:jc w:val="center"/>
            </w:pPr>
            <w:r w:rsidRPr="00472EA7">
              <w:t>Agt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A292D" w:rsidRPr="00472EA7" w:rsidRDefault="001A292D" w:rsidP="001E2405">
            <w:pPr>
              <w:pStyle w:val="xl24"/>
              <w:jc w:val="center"/>
            </w:pPr>
            <w:r w:rsidRPr="00472EA7">
              <w:t>FTE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A292D" w:rsidRPr="00472EA7" w:rsidRDefault="001A292D" w:rsidP="001E2405">
            <w:pPr>
              <w:pStyle w:val="xl24"/>
              <w:jc w:val="center"/>
            </w:pPr>
            <w:r w:rsidRPr="00472EA7">
              <w:t>$(000)</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A292D" w:rsidRPr="00472EA7" w:rsidRDefault="001A292D" w:rsidP="001E2405">
            <w:pPr>
              <w:pStyle w:val="xl24"/>
              <w:jc w:val="center"/>
            </w:pPr>
            <w:r w:rsidRPr="00472EA7">
              <w:t>Pos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A292D" w:rsidRPr="00472EA7" w:rsidRDefault="001A292D" w:rsidP="001E2405">
            <w:pPr>
              <w:pStyle w:val="xl24"/>
              <w:jc w:val="center"/>
            </w:pPr>
            <w:r w:rsidRPr="00472EA7">
              <w:t>Agt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A292D" w:rsidRPr="00472EA7" w:rsidRDefault="001A292D" w:rsidP="001E2405">
            <w:pPr>
              <w:pStyle w:val="xl24"/>
              <w:jc w:val="center"/>
            </w:pPr>
            <w:r w:rsidRPr="00472EA7">
              <w:t>FTE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A292D" w:rsidRPr="00472EA7" w:rsidRDefault="001A292D" w:rsidP="001E2405">
            <w:pPr>
              <w:pStyle w:val="xl24"/>
              <w:jc w:val="center"/>
            </w:pPr>
            <w:r w:rsidRPr="00472EA7">
              <w:t>$(000)</w:t>
            </w:r>
          </w:p>
        </w:tc>
      </w:tr>
      <w:tr w:rsidR="001A292D" w:rsidRPr="00206A84" w:rsidTr="001E2405">
        <w:tc>
          <w:tcPr>
            <w:tcW w:w="720" w:type="dxa"/>
            <w:tcBorders>
              <w:top w:val="nil"/>
              <w:left w:val="single" w:sz="8" w:space="0" w:color="auto"/>
              <w:bottom w:val="single" w:sz="8" w:space="0" w:color="auto"/>
              <w:right w:val="single" w:sz="8" w:space="0" w:color="auto"/>
            </w:tcBorders>
          </w:tcPr>
          <w:p w:rsidR="001A292D" w:rsidRPr="00206A84" w:rsidRDefault="00DA143A" w:rsidP="00DA143A">
            <w:pPr>
              <w:pStyle w:val="xl24"/>
              <w:jc w:val="right"/>
            </w:pPr>
            <w:r>
              <w:t>N/A</w:t>
            </w:r>
          </w:p>
        </w:tc>
        <w:tc>
          <w:tcPr>
            <w:tcW w:w="720" w:type="dxa"/>
            <w:tcBorders>
              <w:top w:val="nil"/>
              <w:left w:val="nil"/>
              <w:bottom w:val="single" w:sz="8" w:space="0" w:color="auto"/>
              <w:right w:val="single" w:sz="8" w:space="0" w:color="auto"/>
            </w:tcBorders>
          </w:tcPr>
          <w:p w:rsidR="001A292D" w:rsidRPr="00206A84" w:rsidRDefault="00DA143A" w:rsidP="00DA143A">
            <w:pPr>
              <w:pStyle w:val="xl24"/>
              <w:jc w:val="right"/>
            </w:pPr>
            <w:r>
              <w:t>N/A</w:t>
            </w:r>
          </w:p>
        </w:tc>
        <w:tc>
          <w:tcPr>
            <w:tcW w:w="720" w:type="dxa"/>
            <w:tcBorders>
              <w:top w:val="nil"/>
              <w:left w:val="nil"/>
              <w:bottom w:val="single" w:sz="8" w:space="0" w:color="auto"/>
              <w:right w:val="single" w:sz="8" w:space="0" w:color="auto"/>
            </w:tcBorders>
          </w:tcPr>
          <w:p w:rsidR="001A292D" w:rsidRPr="00206A84" w:rsidRDefault="00DA143A" w:rsidP="001E2405">
            <w:pPr>
              <w:pStyle w:val="xl24"/>
              <w:jc w:val="right"/>
            </w:pPr>
            <w:r>
              <w:t>N/A</w:t>
            </w:r>
          </w:p>
        </w:tc>
        <w:tc>
          <w:tcPr>
            <w:tcW w:w="1260" w:type="dxa"/>
            <w:tcBorders>
              <w:top w:val="nil"/>
              <w:left w:val="nil"/>
              <w:bottom w:val="single" w:sz="8" w:space="0" w:color="auto"/>
              <w:right w:val="single" w:sz="8" w:space="0" w:color="auto"/>
            </w:tcBorders>
          </w:tcPr>
          <w:p w:rsidR="001A292D" w:rsidRPr="00206A84" w:rsidRDefault="00DA143A" w:rsidP="001E2405">
            <w:pPr>
              <w:pStyle w:val="xl24"/>
              <w:jc w:val="right"/>
            </w:pPr>
            <w:r>
              <w:t>N/A</w:t>
            </w:r>
          </w:p>
        </w:tc>
        <w:tc>
          <w:tcPr>
            <w:tcW w:w="720" w:type="dxa"/>
            <w:tcBorders>
              <w:top w:val="nil"/>
              <w:left w:val="nil"/>
              <w:bottom w:val="single" w:sz="8" w:space="0" w:color="auto"/>
              <w:right w:val="single" w:sz="8" w:space="0" w:color="auto"/>
            </w:tcBorders>
          </w:tcPr>
          <w:p w:rsidR="001A292D" w:rsidRPr="00206A84" w:rsidRDefault="00DA143A" w:rsidP="00DA143A">
            <w:pPr>
              <w:pStyle w:val="xl24"/>
              <w:jc w:val="right"/>
            </w:pPr>
            <w:r>
              <w:t>N/A</w:t>
            </w:r>
          </w:p>
        </w:tc>
        <w:tc>
          <w:tcPr>
            <w:tcW w:w="720" w:type="dxa"/>
            <w:tcBorders>
              <w:top w:val="nil"/>
              <w:left w:val="nil"/>
              <w:bottom w:val="single" w:sz="8" w:space="0" w:color="auto"/>
              <w:right w:val="single" w:sz="8" w:space="0" w:color="auto"/>
            </w:tcBorders>
          </w:tcPr>
          <w:p w:rsidR="001A292D" w:rsidRPr="00206A84" w:rsidRDefault="00DA143A" w:rsidP="00DA143A">
            <w:pPr>
              <w:pStyle w:val="xl24"/>
              <w:jc w:val="right"/>
            </w:pPr>
            <w:r>
              <w:t>N/A</w:t>
            </w:r>
          </w:p>
        </w:tc>
        <w:tc>
          <w:tcPr>
            <w:tcW w:w="900" w:type="dxa"/>
            <w:tcBorders>
              <w:top w:val="nil"/>
              <w:left w:val="nil"/>
              <w:bottom w:val="single" w:sz="8" w:space="0" w:color="auto"/>
              <w:right w:val="single" w:sz="8" w:space="0" w:color="auto"/>
            </w:tcBorders>
          </w:tcPr>
          <w:p w:rsidR="001A292D" w:rsidRPr="00206A84" w:rsidRDefault="00DA143A" w:rsidP="00DA143A">
            <w:pPr>
              <w:pStyle w:val="xl24"/>
              <w:jc w:val="right"/>
            </w:pPr>
            <w:r>
              <w:t>N/A</w:t>
            </w:r>
          </w:p>
        </w:tc>
        <w:tc>
          <w:tcPr>
            <w:tcW w:w="1080" w:type="dxa"/>
            <w:tcBorders>
              <w:top w:val="nil"/>
              <w:left w:val="nil"/>
              <w:bottom w:val="single" w:sz="8" w:space="0" w:color="auto"/>
              <w:right w:val="single" w:sz="8" w:space="0" w:color="auto"/>
            </w:tcBorders>
          </w:tcPr>
          <w:p w:rsidR="001A292D" w:rsidRPr="00206A84" w:rsidRDefault="00DA143A" w:rsidP="00DA143A">
            <w:pPr>
              <w:pStyle w:val="xl24"/>
              <w:jc w:val="right"/>
            </w:pPr>
            <w:r>
              <w:t>N/A</w:t>
            </w:r>
          </w:p>
        </w:tc>
        <w:tc>
          <w:tcPr>
            <w:tcW w:w="720" w:type="dxa"/>
            <w:tcBorders>
              <w:top w:val="nil"/>
              <w:left w:val="nil"/>
              <w:bottom w:val="single" w:sz="8" w:space="0" w:color="auto"/>
              <w:right w:val="single" w:sz="8" w:space="0" w:color="auto"/>
            </w:tcBorders>
          </w:tcPr>
          <w:p w:rsidR="001A292D" w:rsidRPr="00206A84" w:rsidRDefault="00DA143A" w:rsidP="001E2405">
            <w:pPr>
              <w:pStyle w:val="xl24"/>
              <w:jc w:val="right"/>
            </w:pPr>
            <w:r>
              <w:t>N/A</w:t>
            </w:r>
          </w:p>
        </w:tc>
        <w:tc>
          <w:tcPr>
            <w:tcW w:w="900" w:type="dxa"/>
            <w:tcBorders>
              <w:top w:val="nil"/>
              <w:left w:val="nil"/>
              <w:bottom w:val="single" w:sz="8" w:space="0" w:color="auto"/>
              <w:right w:val="single" w:sz="8" w:space="0" w:color="auto"/>
            </w:tcBorders>
          </w:tcPr>
          <w:p w:rsidR="001A292D" w:rsidRPr="00206A84" w:rsidRDefault="00DA143A" w:rsidP="001E2405">
            <w:pPr>
              <w:pStyle w:val="xl24"/>
              <w:jc w:val="right"/>
            </w:pPr>
            <w:r>
              <w:t>N/A</w:t>
            </w:r>
          </w:p>
        </w:tc>
        <w:tc>
          <w:tcPr>
            <w:tcW w:w="900" w:type="dxa"/>
            <w:tcBorders>
              <w:top w:val="nil"/>
              <w:left w:val="nil"/>
              <w:bottom w:val="single" w:sz="8" w:space="0" w:color="auto"/>
              <w:right w:val="single" w:sz="8" w:space="0" w:color="auto"/>
            </w:tcBorders>
            <w:tcMar>
              <w:top w:w="0" w:type="dxa"/>
              <w:left w:w="115" w:type="dxa"/>
              <w:bottom w:w="0" w:type="dxa"/>
              <w:right w:w="115" w:type="dxa"/>
            </w:tcMar>
          </w:tcPr>
          <w:p w:rsidR="001A292D" w:rsidRPr="00206A84" w:rsidRDefault="00DA143A" w:rsidP="001E2405">
            <w:pPr>
              <w:pStyle w:val="xl24"/>
              <w:jc w:val="right"/>
            </w:pPr>
            <w:r>
              <w:t>N/A</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A292D" w:rsidRPr="00206A84" w:rsidRDefault="00DA143A" w:rsidP="001E2405">
            <w:pPr>
              <w:pStyle w:val="xl24"/>
              <w:jc w:val="right"/>
            </w:pPr>
            <w:r>
              <w:t>N/A</w:t>
            </w:r>
          </w:p>
        </w:tc>
      </w:tr>
    </w:tbl>
    <w:p w:rsidR="001A292D" w:rsidRDefault="001A292D" w:rsidP="001A292D">
      <w:pPr>
        <w:pStyle w:val="Header"/>
        <w:rPr>
          <w:u w:val="single"/>
        </w:rPr>
      </w:pPr>
    </w:p>
    <w:p w:rsidR="001A292D" w:rsidRPr="00472EA7" w:rsidRDefault="001A292D" w:rsidP="001A292D">
      <w:pPr>
        <w:pStyle w:val="Header"/>
        <w:rPr>
          <w:u w:val="single"/>
        </w:rPr>
      </w:pPr>
      <w:r w:rsidRPr="00472EA7">
        <w:rPr>
          <w:u w:val="single"/>
        </w:rPr>
        <w:t>Personnel Increase Cost Summary</w:t>
      </w:r>
    </w:p>
    <w:p w:rsidR="001A292D" w:rsidRPr="00472EA7" w:rsidRDefault="001A292D" w:rsidP="001A292D">
      <w:pPr>
        <w:pStyle w:val="Header"/>
        <w:rPr>
          <w:b/>
          <w:bCs/>
        </w:rPr>
      </w:pPr>
    </w:p>
    <w:tbl>
      <w:tblPr>
        <w:tblW w:w="9810" w:type="dxa"/>
        <w:tblInd w:w="-252" w:type="dxa"/>
        <w:tblCellMar>
          <w:left w:w="0" w:type="dxa"/>
          <w:right w:w="0" w:type="dxa"/>
        </w:tblCellMar>
        <w:tblLook w:val="0000"/>
      </w:tblPr>
      <w:tblGrid>
        <w:gridCol w:w="2700"/>
        <w:gridCol w:w="1620"/>
        <w:gridCol w:w="1440"/>
        <w:gridCol w:w="2070"/>
        <w:gridCol w:w="1980"/>
      </w:tblGrid>
      <w:tr w:rsidR="001A292D" w:rsidRPr="00472EA7" w:rsidTr="001E2405">
        <w:trPr>
          <w:cantSplit/>
          <w:trHeight w:val="935"/>
          <w:tblHeader/>
        </w:trPr>
        <w:tc>
          <w:tcPr>
            <w:tcW w:w="2700"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rsidR="001A292D" w:rsidRPr="005444C2" w:rsidRDefault="001A292D" w:rsidP="001E2405">
            <w:pPr>
              <w:jc w:val="center"/>
              <w:rPr>
                <w:sz w:val="22"/>
                <w:szCs w:val="22"/>
              </w:rPr>
            </w:pPr>
            <w:r w:rsidRPr="005444C2">
              <w:rPr>
                <w:sz w:val="22"/>
                <w:szCs w:val="22"/>
              </w:rPr>
              <w:t>Type of Position</w:t>
            </w:r>
          </w:p>
        </w:tc>
        <w:tc>
          <w:tcPr>
            <w:tcW w:w="162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1A292D" w:rsidRPr="005444C2" w:rsidRDefault="001A292D" w:rsidP="001E2405">
            <w:pPr>
              <w:jc w:val="center"/>
              <w:rPr>
                <w:sz w:val="22"/>
                <w:szCs w:val="22"/>
              </w:rPr>
            </w:pPr>
            <w:r w:rsidRPr="005444C2">
              <w:rPr>
                <w:sz w:val="22"/>
                <w:szCs w:val="22"/>
              </w:rPr>
              <w:t>Modular Cost per Position ($000)</w:t>
            </w:r>
          </w:p>
        </w:tc>
        <w:tc>
          <w:tcPr>
            <w:tcW w:w="144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1A292D" w:rsidRPr="005444C2" w:rsidRDefault="001A292D" w:rsidP="001E2405">
            <w:pPr>
              <w:jc w:val="center"/>
              <w:rPr>
                <w:sz w:val="22"/>
                <w:szCs w:val="22"/>
              </w:rPr>
            </w:pPr>
            <w:r w:rsidRPr="005444C2">
              <w:rPr>
                <w:sz w:val="22"/>
                <w:szCs w:val="22"/>
              </w:rPr>
              <w:t>Number of Positions Requested</w:t>
            </w:r>
          </w:p>
        </w:tc>
        <w:tc>
          <w:tcPr>
            <w:tcW w:w="207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1A292D" w:rsidRPr="005444C2" w:rsidRDefault="001A292D" w:rsidP="001E2405">
            <w:pPr>
              <w:jc w:val="center"/>
              <w:rPr>
                <w:sz w:val="22"/>
                <w:szCs w:val="22"/>
              </w:rPr>
            </w:pPr>
            <w:r w:rsidRPr="005444C2">
              <w:rPr>
                <w:sz w:val="22"/>
                <w:szCs w:val="22"/>
              </w:rPr>
              <w:t>FY 2014 Request ($000)</w:t>
            </w:r>
          </w:p>
        </w:tc>
        <w:tc>
          <w:tcPr>
            <w:tcW w:w="198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1A292D" w:rsidRPr="005444C2" w:rsidRDefault="001A292D" w:rsidP="001E2405">
            <w:pPr>
              <w:jc w:val="center"/>
              <w:rPr>
                <w:sz w:val="22"/>
                <w:szCs w:val="22"/>
              </w:rPr>
            </w:pPr>
            <w:r w:rsidRPr="005444C2">
              <w:rPr>
                <w:sz w:val="22"/>
                <w:szCs w:val="22"/>
              </w:rPr>
              <w:t>FY 2015 Net Annualization (change from 2014)</w:t>
            </w:r>
          </w:p>
          <w:p w:rsidR="001A292D" w:rsidRPr="005444C2" w:rsidRDefault="001A292D" w:rsidP="001E2405">
            <w:pPr>
              <w:jc w:val="center"/>
              <w:rPr>
                <w:sz w:val="22"/>
                <w:szCs w:val="22"/>
              </w:rPr>
            </w:pPr>
            <w:r w:rsidRPr="005444C2">
              <w:rPr>
                <w:sz w:val="22"/>
                <w:szCs w:val="22"/>
              </w:rPr>
              <w:t>($000)</w:t>
            </w:r>
          </w:p>
        </w:tc>
      </w:tr>
      <w:tr w:rsidR="001A292D" w:rsidRPr="006B60AD" w:rsidTr="001E2405">
        <w:trPr>
          <w:cantSplit/>
          <w:trHeight w:val="142"/>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A292D" w:rsidRPr="00B45035" w:rsidRDefault="001A292D" w:rsidP="001E2405">
            <w:r w:rsidRPr="00B45035">
              <w:t>Multiple Positions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1A292D" w:rsidRPr="006B60AD" w:rsidRDefault="001A292D" w:rsidP="001E2405">
            <w:pPr>
              <w:pStyle w:val="xl19"/>
              <w:jc w:val="right"/>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A292D" w:rsidRPr="002E5248" w:rsidRDefault="001A292D" w:rsidP="001E2405">
            <w:pPr>
              <w:jc w:val="right"/>
            </w:pPr>
            <w:r>
              <w:t>(164)</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tcPr>
          <w:p w:rsidR="001A292D" w:rsidRPr="006B60AD" w:rsidRDefault="001A292D" w:rsidP="001E2405">
            <w:pPr>
              <w:jc w:val="right"/>
            </w:pPr>
            <w:r>
              <w:t>($7,399)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tcPr>
          <w:p w:rsidR="001A292D" w:rsidRPr="006B60AD" w:rsidRDefault="001A292D" w:rsidP="001E2405">
            <w:pPr>
              <w:jc w:val="right"/>
            </w:pPr>
          </w:p>
        </w:tc>
      </w:tr>
      <w:tr w:rsidR="001A292D" w:rsidRPr="00472EA7" w:rsidTr="001E2405">
        <w:trPr>
          <w:cantSplit/>
        </w:trPr>
        <w:tc>
          <w:tcPr>
            <w:tcW w:w="270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1A292D" w:rsidRPr="00472EA7" w:rsidRDefault="001A292D" w:rsidP="001E2405">
            <w:pPr>
              <w:rPr>
                <w:b/>
                <w:bCs/>
                <w:i/>
                <w:iCs/>
              </w:rPr>
            </w:pPr>
            <w:r>
              <w:rPr>
                <w:b/>
                <w:bCs/>
              </w:rPr>
              <w:t>Total Personnel</w:t>
            </w:r>
          </w:p>
        </w:tc>
        <w:tc>
          <w:tcPr>
            <w:tcW w:w="162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A292D" w:rsidRPr="00472EA7" w:rsidRDefault="001A292D" w:rsidP="001E2405">
            <w:pPr>
              <w:pStyle w:val="xl19"/>
              <w:jc w:val="right"/>
            </w:pPr>
          </w:p>
        </w:tc>
        <w:tc>
          <w:tcPr>
            <w:tcW w:w="144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A292D" w:rsidRPr="0058242F" w:rsidRDefault="001A292D" w:rsidP="001E2405">
            <w:pPr>
              <w:jc w:val="right"/>
              <w:rPr>
                <w:b/>
              </w:rPr>
            </w:pPr>
          </w:p>
        </w:tc>
        <w:tc>
          <w:tcPr>
            <w:tcW w:w="207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A292D" w:rsidRPr="00472EA7" w:rsidRDefault="001A292D" w:rsidP="001E2405">
            <w:pPr>
              <w:jc w:val="right"/>
              <w:rPr>
                <w:b/>
                <w:bCs/>
              </w:rPr>
            </w:pPr>
          </w:p>
        </w:tc>
        <w:tc>
          <w:tcPr>
            <w:tcW w:w="19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A292D" w:rsidRPr="00472EA7" w:rsidRDefault="001A292D" w:rsidP="001E2405">
            <w:pPr>
              <w:jc w:val="right"/>
              <w:rPr>
                <w:b/>
                <w:bCs/>
              </w:rPr>
            </w:pPr>
          </w:p>
        </w:tc>
      </w:tr>
    </w:tbl>
    <w:p w:rsidR="001A292D" w:rsidRDefault="001A292D" w:rsidP="001A292D"/>
    <w:p w:rsidR="001A292D" w:rsidRDefault="001A292D" w:rsidP="001A292D">
      <w:pPr>
        <w:rPr>
          <w:u w:val="single"/>
        </w:rPr>
      </w:pPr>
      <w:r w:rsidRPr="00472EA7">
        <w:rPr>
          <w:u w:val="single"/>
        </w:rPr>
        <w:t xml:space="preserve">Non-Personnel Increase Cost Summary </w:t>
      </w:r>
    </w:p>
    <w:p w:rsidR="001A292D" w:rsidRPr="00472EA7" w:rsidRDefault="001A292D" w:rsidP="001A292D">
      <w:pPr>
        <w:rPr>
          <w:u w:val="single"/>
        </w:rPr>
      </w:pPr>
    </w:p>
    <w:tbl>
      <w:tblPr>
        <w:tblW w:w="9810" w:type="dxa"/>
        <w:tblInd w:w="-252" w:type="dxa"/>
        <w:tblCellMar>
          <w:left w:w="0" w:type="dxa"/>
          <w:right w:w="0" w:type="dxa"/>
        </w:tblCellMar>
        <w:tblLook w:val="0000"/>
      </w:tblPr>
      <w:tblGrid>
        <w:gridCol w:w="2700"/>
        <w:gridCol w:w="1620"/>
        <w:gridCol w:w="1498"/>
        <w:gridCol w:w="1973"/>
        <w:gridCol w:w="2019"/>
      </w:tblGrid>
      <w:tr w:rsidR="001A292D" w:rsidRPr="00472EA7" w:rsidTr="001E2405">
        <w:tc>
          <w:tcPr>
            <w:tcW w:w="270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1A292D" w:rsidRPr="00472EA7" w:rsidRDefault="001A292D" w:rsidP="001E2405">
            <w:pPr>
              <w:jc w:val="center"/>
            </w:pPr>
            <w:r w:rsidRPr="00472EA7">
              <w:t>Non-Personnel Item</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center"/>
            </w:pPr>
            <w:r w:rsidRPr="00472EA7">
              <w:t>Unit Cost</w:t>
            </w:r>
          </w:p>
          <w:p w:rsidR="001A292D" w:rsidRPr="00472EA7" w:rsidRDefault="001A292D" w:rsidP="001E2405">
            <w:pPr>
              <w:jc w:val="center"/>
            </w:pPr>
            <w:r w:rsidRPr="00472EA7">
              <w:t>($000)</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center"/>
            </w:pPr>
            <w:r w:rsidRPr="00472EA7">
              <w:t>Quantity</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center"/>
            </w:pPr>
            <w:r>
              <w:t>FY 2014</w:t>
            </w:r>
            <w:r w:rsidRPr="00472EA7">
              <w:t xml:space="preserve"> Request</w:t>
            </w:r>
          </w:p>
          <w:p w:rsidR="001A292D" w:rsidRPr="00472EA7" w:rsidRDefault="001A292D" w:rsidP="001E2405">
            <w:pPr>
              <w:jc w:val="center"/>
            </w:pPr>
            <w:r w:rsidRPr="00472EA7">
              <w:t>($000)</w:t>
            </w:r>
          </w:p>
        </w:tc>
        <w:tc>
          <w:tcPr>
            <w:tcW w:w="20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center"/>
            </w:pPr>
            <w:r>
              <w:t>FY 2015</w:t>
            </w:r>
            <w:r w:rsidRPr="00472EA7">
              <w:t xml:space="preserve"> Net</w:t>
            </w:r>
          </w:p>
          <w:p w:rsidR="001A292D" w:rsidRPr="00472EA7" w:rsidRDefault="001A292D" w:rsidP="001E2405">
            <w:pPr>
              <w:jc w:val="center"/>
            </w:pPr>
            <w:r w:rsidRPr="00472EA7">
              <w:t>Annualization</w:t>
            </w:r>
          </w:p>
          <w:p w:rsidR="001A292D" w:rsidRPr="00472EA7" w:rsidRDefault="001A292D" w:rsidP="001E2405">
            <w:pPr>
              <w:jc w:val="center"/>
            </w:pPr>
            <w:r w:rsidRPr="00472EA7">
              <w:t>(Change from 201</w:t>
            </w:r>
            <w:r>
              <w:t>4</w:t>
            </w:r>
            <w:r w:rsidRPr="00472EA7">
              <w:t>)</w:t>
            </w:r>
          </w:p>
          <w:p w:rsidR="001A292D" w:rsidRPr="00472EA7" w:rsidRDefault="001A292D" w:rsidP="001E2405">
            <w:pPr>
              <w:jc w:val="center"/>
            </w:pPr>
            <w:r w:rsidRPr="00472EA7">
              <w:t>($000)</w:t>
            </w:r>
          </w:p>
        </w:tc>
      </w:tr>
      <w:tr w:rsidR="001A292D" w:rsidRPr="00472EA7" w:rsidTr="001E2405">
        <w:trPr>
          <w:trHeight w:val="45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A292D" w:rsidRDefault="001A292D" w:rsidP="001E2405"/>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1A292D" w:rsidRPr="00472EA7" w:rsidRDefault="001A292D" w:rsidP="001E2405">
            <w:pPr>
              <w:pStyle w:val="xl19"/>
              <w:jc w:val="right"/>
            </w:pP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bottom"/>
          </w:tcPr>
          <w:p w:rsidR="001A292D" w:rsidRPr="00472EA7" w:rsidRDefault="001A292D" w:rsidP="001E2405">
            <w:pPr>
              <w:jc w:val="right"/>
            </w:pP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bottom"/>
          </w:tcPr>
          <w:p w:rsidR="001A292D" w:rsidRPr="00472EA7" w:rsidRDefault="001A292D" w:rsidP="001E2405">
            <w:pPr>
              <w:jc w:val="right"/>
            </w:pP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bottom"/>
          </w:tcPr>
          <w:p w:rsidR="001A292D" w:rsidRDefault="001A292D" w:rsidP="001E2405">
            <w:pPr>
              <w:jc w:val="right"/>
            </w:pPr>
          </w:p>
          <w:p w:rsidR="001A292D" w:rsidRPr="00472EA7" w:rsidRDefault="001A292D" w:rsidP="001E2405">
            <w:pPr>
              <w:jc w:val="right"/>
            </w:pPr>
          </w:p>
        </w:tc>
      </w:tr>
      <w:tr w:rsidR="001A292D" w:rsidRPr="00472EA7" w:rsidTr="001E2405">
        <w:trPr>
          <w:trHeight w:val="322"/>
        </w:trPr>
        <w:tc>
          <w:tcPr>
            <w:tcW w:w="270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1A292D" w:rsidRDefault="001A292D" w:rsidP="001E2405">
            <w:r w:rsidRPr="00472EA7">
              <w:rPr>
                <w:b/>
                <w:bCs/>
              </w:rPr>
              <w:t>Total Non-Personnel</w:t>
            </w:r>
          </w:p>
        </w:tc>
        <w:tc>
          <w:tcPr>
            <w:tcW w:w="162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A292D" w:rsidRPr="006606D7" w:rsidRDefault="001A292D" w:rsidP="001E2405">
            <w:pPr>
              <w:pStyle w:val="xl19"/>
              <w:jc w:val="right"/>
              <w:rPr>
                <w:b/>
              </w:rPr>
            </w:pPr>
          </w:p>
        </w:tc>
        <w:tc>
          <w:tcPr>
            <w:tcW w:w="149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A292D" w:rsidRPr="006606D7" w:rsidRDefault="001A292D" w:rsidP="001E2405">
            <w:pPr>
              <w:jc w:val="right"/>
              <w:rPr>
                <w:b/>
              </w:rPr>
            </w:pPr>
          </w:p>
        </w:tc>
        <w:tc>
          <w:tcPr>
            <w:tcW w:w="197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A292D" w:rsidRPr="006606D7" w:rsidRDefault="001A292D" w:rsidP="001E2405">
            <w:pPr>
              <w:jc w:val="right"/>
              <w:rPr>
                <w:b/>
                <w:bCs/>
              </w:rPr>
            </w:pPr>
          </w:p>
        </w:tc>
        <w:tc>
          <w:tcPr>
            <w:tcW w:w="201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A292D" w:rsidRPr="006606D7" w:rsidRDefault="001A292D" w:rsidP="001E2405">
            <w:pPr>
              <w:jc w:val="right"/>
              <w:rPr>
                <w:b/>
              </w:rPr>
            </w:pPr>
          </w:p>
        </w:tc>
      </w:tr>
    </w:tbl>
    <w:p w:rsidR="001A292D" w:rsidRPr="00347F5C" w:rsidRDefault="001A292D" w:rsidP="001A292D">
      <w:pPr>
        <w:pStyle w:val="xl24"/>
        <w:spacing w:before="0" w:after="0"/>
        <w:rPr>
          <w:u w:val="single"/>
        </w:rPr>
      </w:pPr>
      <w:r w:rsidRPr="00347F5C">
        <w:rPr>
          <w:u w:val="single"/>
        </w:rPr>
        <w:t>Total Request for this Item</w:t>
      </w:r>
    </w:p>
    <w:tbl>
      <w:tblPr>
        <w:tblW w:w="9720" w:type="dxa"/>
        <w:tblInd w:w="-252" w:type="dxa"/>
        <w:tblCellMar>
          <w:left w:w="0" w:type="dxa"/>
          <w:right w:w="0" w:type="dxa"/>
        </w:tblCellMar>
        <w:tblLook w:val="0000"/>
      </w:tblPr>
      <w:tblGrid>
        <w:gridCol w:w="1929"/>
        <w:gridCol w:w="951"/>
        <w:gridCol w:w="900"/>
        <w:gridCol w:w="1080"/>
        <w:gridCol w:w="1446"/>
        <w:gridCol w:w="1800"/>
        <w:gridCol w:w="1614"/>
      </w:tblGrid>
      <w:tr w:rsidR="001A292D" w:rsidRPr="00472EA7" w:rsidTr="001E2405">
        <w:trPr>
          <w:trHeight w:val="658"/>
        </w:trPr>
        <w:tc>
          <w:tcPr>
            <w:tcW w:w="1929"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1A292D" w:rsidRPr="00472EA7" w:rsidRDefault="001A292D" w:rsidP="001E2405"/>
          <w:p w:rsidR="001A292D" w:rsidRPr="00472EA7" w:rsidRDefault="001A292D" w:rsidP="001E2405"/>
        </w:tc>
        <w:tc>
          <w:tcPr>
            <w:tcW w:w="9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center"/>
            </w:pPr>
            <w:r w:rsidRPr="00472EA7">
              <w:t>Pos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center"/>
            </w:pPr>
            <w:r>
              <w:t>Agt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center"/>
            </w:pPr>
            <w:r w:rsidRPr="00472EA7">
              <w:t>FTE</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center"/>
            </w:pPr>
            <w:r w:rsidRPr="00472EA7">
              <w:t>Personnel</w:t>
            </w:r>
          </w:p>
          <w:p w:rsidR="001A292D" w:rsidRPr="00472EA7" w:rsidRDefault="001A292D" w:rsidP="001E2405">
            <w:pPr>
              <w:jc w:val="center"/>
            </w:pPr>
            <w:r w:rsidRPr="00472EA7">
              <w:t>($000)</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center"/>
            </w:pPr>
            <w:r w:rsidRPr="00472EA7">
              <w:t>Non-Personnel</w:t>
            </w:r>
          </w:p>
          <w:p w:rsidR="001A292D" w:rsidRPr="00472EA7" w:rsidRDefault="001A292D" w:rsidP="001E2405">
            <w:pPr>
              <w:jc w:val="center"/>
            </w:pPr>
            <w:r w:rsidRPr="00472EA7">
              <w:t>($000)</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center"/>
            </w:pPr>
            <w:r w:rsidRPr="00472EA7">
              <w:t>Total</w:t>
            </w:r>
          </w:p>
          <w:p w:rsidR="001A292D" w:rsidRPr="00472EA7" w:rsidRDefault="001A292D" w:rsidP="001E2405">
            <w:pPr>
              <w:jc w:val="center"/>
            </w:pPr>
            <w:r w:rsidRPr="00472EA7">
              <w:t>($000)</w:t>
            </w:r>
          </w:p>
        </w:tc>
      </w:tr>
      <w:tr w:rsidR="001A292D" w:rsidRPr="00472EA7" w:rsidTr="001E2405">
        <w:trPr>
          <w:trHeight w:val="350"/>
        </w:trPr>
        <w:tc>
          <w:tcPr>
            <w:tcW w:w="1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r w:rsidRPr="00472EA7">
              <w:t>Current Services</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DA143A" w:rsidP="00DA143A">
            <w:pPr>
              <w:jc w:val="right"/>
            </w:pPr>
            <w: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DA143A" w:rsidP="001E2405">
            <w:pPr>
              <w:jc w:val="right"/>
            </w:pPr>
            <w:r>
              <w:t>N/A</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DA143A" w:rsidP="001E2405">
            <w:pPr>
              <w:jc w:val="right"/>
            </w:pPr>
            <w:r>
              <w:t>N/A</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DA143A" w:rsidP="001E2405">
            <w:pPr>
              <w:jc w:val="right"/>
            </w:pPr>
            <w:r>
              <w:t>N/A</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DA143A" w:rsidP="001E2405">
            <w:pPr>
              <w:jc w:val="right"/>
            </w:pPr>
            <w:r>
              <w:t>N/A</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DA143A" w:rsidP="001E2405">
            <w:pPr>
              <w:jc w:val="right"/>
            </w:pPr>
            <w:r>
              <w:t>N/A</w:t>
            </w:r>
          </w:p>
        </w:tc>
      </w:tr>
      <w:tr w:rsidR="001A292D" w:rsidRPr="00472EA7" w:rsidTr="001E2405">
        <w:trPr>
          <w:trHeight w:val="250"/>
        </w:trPr>
        <w:tc>
          <w:tcPr>
            <w:tcW w:w="1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r w:rsidRPr="00472EA7">
              <w:t>Increases</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Default="001A292D" w:rsidP="001E2405">
            <w:pPr>
              <w:jc w:val="right"/>
            </w:pPr>
            <w:r>
              <w:t>(164)</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Default="001A292D" w:rsidP="001E2405">
            <w:pPr>
              <w:jc w:val="right"/>
            </w:pPr>
            <w:r>
              <w:t>(34)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Default="001A292D" w:rsidP="001E2405">
            <w:pPr>
              <w:jc w:val="right"/>
            </w:pPr>
            <w: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right"/>
            </w:pPr>
            <w:r>
              <w:t>($7,399)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right"/>
            </w:pPr>
            <w:r>
              <w:t>0</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8A5616" w:rsidP="008A5616">
            <w:pPr>
              <w:jc w:val="right"/>
            </w:pPr>
            <w:r>
              <w:t>($7,399)</w:t>
            </w:r>
          </w:p>
        </w:tc>
      </w:tr>
      <w:tr w:rsidR="001A292D" w:rsidRPr="00472EA7" w:rsidTr="001E2405">
        <w:trPr>
          <w:trHeight w:val="250"/>
        </w:trPr>
        <w:tc>
          <w:tcPr>
            <w:tcW w:w="1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r w:rsidRPr="00472EA7">
              <w:t>Grand Total</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right"/>
            </w:pPr>
            <w:r>
              <w:t>(164)</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right"/>
            </w:pPr>
            <w:r>
              <w:t>(34)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right"/>
            </w:pPr>
            <w: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right"/>
            </w:pPr>
            <w:r>
              <w:t>($7,399)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1A292D" w:rsidP="001E2405">
            <w:pPr>
              <w:jc w:val="right"/>
            </w:pPr>
            <w:r>
              <w:t>0</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1A292D" w:rsidRPr="00472EA7" w:rsidRDefault="008A5616" w:rsidP="001E2405">
            <w:pPr>
              <w:jc w:val="right"/>
            </w:pPr>
            <w:r>
              <w:t>($7,399)</w:t>
            </w:r>
          </w:p>
        </w:tc>
      </w:tr>
    </w:tbl>
    <w:p w:rsidR="001A292D" w:rsidRDefault="001A292D" w:rsidP="001A292D">
      <w:pPr>
        <w:rPr>
          <w:b/>
        </w:rPr>
      </w:pPr>
    </w:p>
    <w:p w:rsidR="001A292D" w:rsidRDefault="001A292D" w:rsidP="001A292D">
      <w:pPr>
        <w:rPr>
          <w:b/>
        </w:rPr>
      </w:pPr>
    </w:p>
    <w:p w:rsidR="00856E08" w:rsidRDefault="00856E08" w:rsidP="00635F9D">
      <w:pPr>
        <w:rPr>
          <w:b/>
        </w:rPr>
      </w:pPr>
    </w:p>
    <w:p w:rsidR="001A292D" w:rsidRDefault="001A292D" w:rsidP="00635F9D">
      <w:pPr>
        <w:rPr>
          <w:b/>
        </w:rPr>
      </w:pPr>
    </w:p>
    <w:p w:rsidR="001A292D" w:rsidRDefault="001A292D" w:rsidP="00635F9D">
      <w:pPr>
        <w:rPr>
          <w:b/>
        </w:rPr>
      </w:pPr>
    </w:p>
    <w:p w:rsidR="001A292D" w:rsidRDefault="001A292D" w:rsidP="00635F9D">
      <w:pPr>
        <w:rPr>
          <w:b/>
        </w:rPr>
      </w:pPr>
    </w:p>
    <w:p w:rsidR="001A292D" w:rsidRDefault="001A292D" w:rsidP="00635F9D">
      <w:pPr>
        <w:rPr>
          <w:b/>
        </w:rPr>
      </w:pPr>
    </w:p>
    <w:p w:rsidR="001A292D" w:rsidRDefault="001A292D" w:rsidP="00635F9D">
      <w:pPr>
        <w:rPr>
          <w:b/>
        </w:rPr>
      </w:pPr>
    </w:p>
    <w:p w:rsidR="00856E08" w:rsidRDefault="00856E08" w:rsidP="00635F9D">
      <w:pPr>
        <w:rPr>
          <w:b/>
        </w:rPr>
      </w:pPr>
    </w:p>
    <w:p w:rsidR="00856E08" w:rsidRDefault="00856E08" w:rsidP="00635F9D">
      <w:pPr>
        <w:rPr>
          <w:b/>
        </w:rPr>
      </w:pPr>
    </w:p>
    <w:p w:rsidR="00856E08" w:rsidRDefault="00856E08" w:rsidP="00635F9D">
      <w:pPr>
        <w:rPr>
          <w:b/>
        </w:rPr>
      </w:pPr>
    </w:p>
    <w:p w:rsidR="00856E08" w:rsidRPr="00472EA7" w:rsidRDefault="00856E08" w:rsidP="00856E08">
      <w:r w:rsidRPr="00472EA7">
        <w:rPr>
          <w:b/>
          <w:bCs/>
        </w:rPr>
        <w:lastRenderedPageBreak/>
        <w:t>Item Name:</w:t>
      </w:r>
      <w:r w:rsidRPr="00472EA7">
        <w:t>                                      </w:t>
      </w:r>
      <w:r w:rsidR="001A292D">
        <w:rPr>
          <w:b/>
        </w:rPr>
        <w:t>Information Technology Savings</w:t>
      </w:r>
    </w:p>
    <w:p w:rsidR="00856E08" w:rsidRPr="00472EA7" w:rsidRDefault="00856E08" w:rsidP="00856E08"/>
    <w:p w:rsidR="00856E08" w:rsidRPr="00D72FDB" w:rsidRDefault="00856E08" w:rsidP="00856E08">
      <w:pPr>
        <w:ind w:left="3510" w:hanging="3510"/>
      </w:pPr>
      <w:r w:rsidRPr="00D72FDB">
        <w:rPr>
          <w:bCs/>
        </w:rPr>
        <w:t>Budget Decision Unit(s):</w:t>
      </w:r>
      <w:r w:rsidRPr="00D72FDB">
        <w:t>                  </w:t>
      </w:r>
      <w:r>
        <w:t>Law Enforcement Operations and Investigative Support Services</w:t>
      </w:r>
    </w:p>
    <w:p w:rsidR="00856E08" w:rsidRPr="00D72FDB" w:rsidRDefault="00856E08" w:rsidP="00856E08"/>
    <w:p w:rsidR="00856E08" w:rsidRPr="00D72FDB" w:rsidRDefault="00856E08" w:rsidP="00856E08">
      <w:pPr>
        <w:pStyle w:val="xl19"/>
        <w:ind w:left="3600" w:hanging="3600"/>
      </w:pPr>
      <w:r w:rsidRPr="00D72FDB">
        <w:rPr>
          <w:bCs/>
        </w:rPr>
        <w:t>Strategic Goal(s) and Objective(s):</w:t>
      </w:r>
      <w:r w:rsidRPr="00D72FDB">
        <w:t> </w:t>
      </w:r>
      <w:r>
        <w:t xml:space="preserve">   </w:t>
      </w:r>
      <w:r w:rsidRPr="00D72FDB">
        <w:t>Strategic Goal 1:  Prevent Terrorism and Promote the Nation’s Security, Objectives 1.1 and 1.2</w:t>
      </w:r>
    </w:p>
    <w:p w:rsidR="00856E08" w:rsidRPr="00D72FDB" w:rsidRDefault="00856E08" w:rsidP="00856E08">
      <w:pPr>
        <w:pStyle w:val="xl19"/>
      </w:pPr>
    </w:p>
    <w:p w:rsidR="00856E08" w:rsidRPr="00D72FDB" w:rsidRDefault="00856E08" w:rsidP="00856E08">
      <w:pPr>
        <w:ind w:left="3600"/>
      </w:pPr>
      <w:r w:rsidRPr="00D72FDB">
        <w:t>Strategic Goal 2:  Prevent Crime, Enforce Federal Laws, and Represent the Rights and Interests of the American People, Objectives 2.1 and 2.2</w:t>
      </w:r>
    </w:p>
    <w:p w:rsidR="00856E08" w:rsidRPr="00D72FDB" w:rsidRDefault="00856E08" w:rsidP="00856E08"/>
    <w:p w:rsidR="00856E08" w:rsidRPr="00D72FDB" w:rsidRDefault="00856E08" w:rsidP="00856E08">
      <w:pPr>
        <w:pStyle w:val="xl19"/>
      </w:pPr>
      <w:r w:rsidRPr="00D72FDB">
        <w:rPr>
          <w:bCs/>
        </w:rPr>
        <w:t>Component Ranking of Item</w:t>
      </w:r>
      <w:r w:rsidR="001A292D">
        <w:rPr>
          <w:bCs/>
        </w:rPr>
        <w:t xml:space="preserve">:  </w:t>
      </w:r>
      <w:r w:rsidR="001A292D">
        <w:rPr>
          <w:bCs/>
        </w:rPr>
        <w:tab/>
        <w:t xml:space="preserve">Item </w:t>
      </w:r>
      <w:r w:rsidR="008F5544">
        <w:rPr>
          <w:bCs/>
        </w:rPr>
        <w:t>2</w:t>
      </w:r>
      <w:r w:rsidR="001A292D">
        <w:rPr>
          <w:bCs/>
        </w:rPr>
        <w:t xml:space="preserve"> </w:t>
      </w:r>
      <w:r>
        <w:rPr>
          <w:bCs/>
        </w:rPr>
        <w:t xml:space="preserve">of </w:t>
      </w:r>
      <w:r w:rsidR="008F5544">
        <w:rPr>
          <w:bCs/>
        </w:rPr>
        <w:t>2</w:t>
      </w:r>
    </w:p>
    <w:p w:rsidR="00856E08" w:rsidRPr="00D72FDB" w:rsidRDefault="00856E08" w:rsidP="00856E08"/>
    <w:p w:rsidR="00856E08" w:rsidRPr="008B7C3C" w:rsidRDefault="00856E08" w:rsidP="00856E08">
      <w:r w:rsidRPr="008B7C3C">
        <w:rPr>
          <w:bCs/>
        </w:rPr>
        <w:t>Program Increase:</w:t>
      </w:r>
      <w:r w:rsidRPr="008B7C3C">
        <w:t>  Positions</w:t>
      </w:r>
      <w:r>
        <w:t xml:space="preserve">: </w:t>
      </w:r>
      <w:r w:rsidR="001A292D">
        <w:rPr>
          <w:u w:val="single"/>
        </w:rPr>
        <w:t>0</w:t>
      </w:r>
      <w:r>
        <w:t>;</w:t>
      </w:r>
      <w:r w:rsidRPr="00D048E8">
        <w:t xml:space="preserve"> </w:t>
      </w:r>
      <w:r w:rsidRPr="008572B2">
        <w:t>Agent</w:t>
      </w:r>
      <w:r>
        <w:t>s:</w:t>
      </w:r>
      <w:r w:rsidRPr="008572B2">
        <w:t xml:space="preserve"> </w:t>
      </w:r>
      <w:r w:rsidR="001A292D">
        <w:rPr>
          <w:u w:val="single"/>
        </w:rPr>
        <w:t>0</w:t>
      </w:r>
      <w:r>
        <w:t>;</w:t>
      </w:r>
      <w:r w:rsidRPr="008572B2">
        <w:t xml:space="preserve"> FTE</w:t>
      </w:r>
      <w:r>
        <w:t>:</w:t>
      </w:r>
      <w:r w:rsidRPr="008572B2">
        <w:t xml:space="preserve"> </w:t>
      </w:r>
      <w:r>
        <w:rPr>
          <w:u w:val="single"/>
        </w:rPr>
        <w:t>0</w:t>
      </w:r>
      <w:r w:rsidRPr="008572B2">
        <w:t>;</w:t>
      </w:r>
      <w:r w:rsidRPr="00977714">
        <w:t xml:space="preserve"> Dollars</w:t>
      </w:r>
      <w:r w:rsidRPr="008B7C3C">
        <w:t xml:space="preserve">: </w:t>
      </w:r>
      <w:r w:rsidR="00AC44CC">
        <w:t>(</w:t>
      </w:r>
      <w:r w:rsidRPr="008B7C3C">
        <w:rPr>
          <w:u w:val="single"/>
        </w:rPr>
        <w:t>$</w:t>
      </w:r>
      <w:r w:rsidR="001A292D">
        <w:rPr>
          <w:u w:val="single"/>
        </w:rPr>
        <w:t>2</w:t>
      </w:r>
      <w:r>
        <w:rPr>
          <w:u w:val="single"/>
        </w:rPr>
        <w:t>,</w:t>
      </w:r>
      <w:r w:rsidR="001A292D">
        <w:rPr>
          <w:u w:val="single"/>
        </w:rPr>
        <w:t>748</w:t>
      </w:r>
      <w:r>
        <w:rPr>
          <w:u w:val="single"/>
        </w:rPr>
        <w:t>,000</w:t>
      </w:r>
      <w:r w:rsidR="00AC44CC">
        <w:rPr>
          <w:u w:val="single"/>
        </w:rPr>
        <w:t>)</w:t>
      </w:r>
    </w:p>
    <w:p w:rsidR="00856E08" w:rsidRPr="008B7C3C" w:rsidRDefault="00856E08" w:rsidP="00856E08">
      <w:pPr>
        <w:rPr>
          <w:u w:val="single"/>
        </w:rPr>
      </w:pPr>
    </w:p>
    <w:p w:rsidR="00856E08" w:rsidRPr="00E91805" w:rsidRDefault="00856E08" w:rsidP="00856E08">
      <w:pPr>
        <w:rPr>
          <w:b/>
          <w:bCs/>
          <w:u w:val="single"/>
        </w:rPr>
      </w:pPr>
      <w:r w:rsidRPr="00E91805">
        <w:rPr>
          <w:b/>
          <w:bCs/>
          <w:u w:val="single"/>
        </w:rPr>
        <w:t xml:space="preserve">Description of Item: </w:t>
      </w:r>
    </w:p>
    <w:p w:rsidR="00856E08" w:rsidRPr="008B7C3C" w:rsidRDefault="001A292D" w:rsidP="001E2405">
      <w:pPr>
        <w:pStyle w:val="BodyText"/>
        <w:spacing w:before="100" w:beforeAutospacing="1" w:after="100" w:afterAutospacing="1"/>
      </w:pPr>
      <w:r w:rsidRPr="00875443">
        <w:t>The IT contract savings offset is a program initiative generated by the SAVE Council with the full support of Departmental Leadership.  It is designed to accomplish two objectives; first, it encourages components to make thoughtful decisions regarding procurement spending and to participate in a Department-wide effort to generate management savings; second, it provides a source of funding, without requiring a program enhancement request, for two major priority initiatives of the Department and the Administration – Cybersecurity and IT Transformation (including email system upgrade and data center consolidation</w:t>
      </w:r>
      <w:r>
        <w:t xml:space="preserve"> </w:t>
      </w:r>
    </w:p>
    <w:p w:rsidR="00856E08" w:rsidRPr="00E91805" w:rsidRDefault="00856E08" w:rsidP="00856E08">
      <w:pPr>
        <w:rPr>
          <w:b/>
          <w:bCs/>
          <w:u w:val="single"/>
        </w:rPr>
      </w:pPr>
      <w:r w:rsidRPr="00E91805">
        <w:rPr>
          <w:b/>
          <w:bCs/>
          <w:u w:val="single"/>
        </w:rPr>
        <w:t xml:space="preserve">Justification:  </w:t>
      </w:r>
    </w:p>
    <w:p w:rsidR="001A292D" w:rsidRDefault="001A292D" w:rsidP="001A292D">
      <w:pPr>
        <w:pStyle w:val="NormalWeb"/>
        <w:spacing w:before="0" w:after="0"/>
        <w:rPr>
          <w:rFonts w:ascii="Times New Roman" w:hAnsi="Times New Roman"/>
          <w:color w:val="000000"/>
          <w:szCs w:val="24"/>
        </w:rPr>
      </w:pPr>
    </w:p>
    <w:p w:rsidR="001A292D" w:rsidRDefault="001A292D" w:rsidP="001A292D">
      <w:pPr>
        <w:pStyle w:val="NormalWeb"/>
        <w:rPr>
          <w:rFonts w:ascii="Times New Roman" w:hAnsi="Times New Roman"/>
          <w:color w:val="000000"/>
          <w:szCs w:val="24"/>
        </w:rPr>
      </w:pPr>
      <w:r w:rsidRPr="00875443">
        <w:rPr>
          <w:rFonts w:ascii="Times New Roman" w:hAnsi="Times New Roman"/>
          <w:color w:val="000000"/>
          <w:szCs w:val="24"/>
        </w:rPr>
        <w:t>As part of its effort to increase IT management efficiency and  reform IT management activities, the Department is implementing a cost saving initiative as well as IT transformation projects.  To support cost savings, the Department is developing an infrastructure to enable DOJ components to better collaborate on IT contracting; which should result in lo</w:t>
      </w:r>
      <w:r>
        <w:rPr>
          <w:rFonts w:ascii="Times New Roman" w:hAnsi="Times New Roman"/>
          <w:color w:val="000000"/>
          <w:szCs w:val="24"/>
        </w:rPr>
        <w:t>wer IT expenditures.  In FY 2014</w:t>
      </w:r>
      <w:r w:rsidRPr="00875443">
        <w:rPr>
          <w:rFonts w:ascii="Times New Roman" w:hAnsi="Times New Roman"/>
          <w:color w:val="000000"/>
          <w:szCs w:val="24"/>
        </w:rPr>
        <w:t xml:space="preserve"> the Department anticipates realizing savings on all direct non-personnel IT spending through IT contracting collaboration.  These savings will not only support greater management efficiency within components but will also support </w:t>
      </w:r>
      <w:r w:rsidR="00EB0392">
        <w:rPr>
          <w:rFonts w:ascii="Times New Roman" w:hAnsi="Times New Roman"/>
          <w:color w:val="000000"/>
          <w:szCs w:val="24"/>
        </w:rPr>
        <w:t xml:space="preserve">the </w:t>
      </w:r>
      <w:r w:rsidRPr="00875443">
        <w:rPr>
          <w:rFonts w:ascii="Times New Roman" w:hAnsi="Times New Roman"/>
          <w:color w:val="000000"/>
          <w:szCs w:val="24"/>
        </w:rPr>
        <w:t>IT Reform plan by providing resources to support major initiatives in Cybersecurity, data center consolidation, and enterprise e-mail systems. </w:t>
      </w:r>
      <w:r>
        <w:rPr>
          <w:rFonts w:ascii="Times New Roman" w:hAnsi="Times New Roman"/>
          <w:color w:val="000000"/>
          <w:szCs w:val="24"/>
        </w:rPr>
        <w:t xml:space="preserve">  </w:t>
      </w:r>
      <w:r w:rsidRPr="00875443">
        <w:rPr>
          <w:rFonts w:ascii="Times New Roman" w:hAnsi="Times New Roman"/>
          <w:color w:val="000000"/>
          <w:szCs w:val="24"/>
        </w:rPr>
        <w:t>The offset to support these initiatives for ATF is $2,</w:t>
      </w:r>
      <w:r>
        <w:rPr>
          <w:rFonts w:ascii="Times New Roman" w:hAnsi="Times New Roman"/>
          <w:color w:val="000000"/>
          <w:szCs w:val="24"/>
        </w:rPr>
        <w:t>748</w:t>
      </w:r>
      <w:r w:rsidRPr="00875443">
        <w:rPr>
          <w:rFonts w:ascii="Times New Roman" w:hAnsi="Times New Roman"/>
          <w:color w:val="000000"/>
          <w:szCs w:val="24"/>
        </w:rPr>
        <w:t>,000.</w:t>
      </w:r>
    </w:p>
    <w:p w:rsidR="001A292D" w:rsidRPr="001A292D" w:rsidRDefault="001A292D" w:rsidP="001A292D">
      <w:pPr>
        <w:pStyle w:val="NormalWeb"/>
        <w:spacing w:before="0" w:after="0"/>
        <w:rPr>
          <w:rFonts w:ascii="Times New Roman" w:hAnsi="Times New Roman"/>
          <w:szCs w:val="24"/>
        </w:rPr>
      </w:pPr>
    </w:p>
    <w:p w:rsidR="00856E08" w:rsidRDefault="00856E08" w:rsidP="00856E08">
      <w:pPr>
        <w:rPr>
          <w:b/>
          <w:bCs/>
          <w:u w:val="single"/>
        </w:rPr>
      </w:pPr>
      <w:r>
        <w:rPr>
          <w:b/>
          <w:bCs/>
          <w:u w:val="single"/>
        </w:rPr>
        <w:t>Impact on Performance:</w:t>
      </w:r>
    </w:p>
    <w:p w:rsidR="001A292D" w:rsidRDefault="001A292D" w:rsidP="001A292D">
      <w:pPr>
        <w:pStyle w:val="BodyText2"/>
        <w:rPr>
          <w:rFonts w:ascii="Times New Roman" w:hAnsi="Times New Roman" w:cs="Times New Roman"/>
          <w:color w:val="auto"/>
        </w:rPr>
      </w:pPr>
    </w:p>
    <w:p w:rsidR="001A292D" w:rsidRPr="00875443" w:rsidRDefault="001A292D" w:rsidP="001A292D">
      <w:pPr>
        <w:pStyle w:val="BodyText2"/>
        <w:rPr>
          <w:rFonts w:ascii="Times New Roman" w:hAnsi="Times New Roman" w:cs="Times New Roman"/>
          <w:color w:val="auto"/>
        </w:rPr>
      </w:pPr>
      <w:r w:rsidRPr="00875443">
        <w:rPr>
          <w:rFonts w:ascii="Times New Roman" w:hAnsi="Times New Roman" w:cs="Times New Roman"/>
          <w:color w:val="auto"/>
        </w:rPr>
        <w:t xml:space="preserve">The Department and its components are continually evaluating programs and operations with the goal of achieving economies of scale that result in increase efficiencies, cost savings and cost avoidance.  This IT management efficiency will achieve savings, transform IT contracting efforts and effectively reform IT procurement and management. </w:t>
      </w:r>
    </w:p>
    <w:p w:rsidR="00856E08" w:rsidRPr="00472EA7" w:rsidRDefault="00856E08" w:rsidP="00856E08">
      <w:pPr>
        <w:rPr>
          <w:b/>
          <w:bCs/>
          <w:u w:val="single"/>
        </w:rPr>
      </w:pPr>
      <w:r>
        <w:rPr>
          <w:b/>
          <w:bCs/>
          <w:u w:val="single"/>
        </w:rPr>
        <w:br w:type="page"/>
      </w:r>
    </w:p>
    <w:p w:rsidR="00856E08" w:rsidRPr="00472EA7" w:rsidRDefault="00856E08" w:rsidP="00856E08">
      <w:pPr>
        <w:jc w:val="center"/>
        <w:rPr>
          <w:b/>
          <w:bCs/>
        </w:rPr>
      </w:pPr>
      <w:r w:rsidRPr="008572B2">
        <w:rPr>
          <w:b/>
          <w:bCs/>
        </w:rPr>
        <w:lastRenderedPageBreak/>
        <w:t>Funding</w:t>
      </w:r>
    </w:p>
    <w:p w:rsidR="00856E08" w:rsidRPr="00472EA7" w:rsidRDefault="00856E08" w:rsidP="00856E08">
      <w:pPr>
        <w:pStyle w:val="Header"/>
        <w:rPr>
          <w:u w:val="single"/>
        </w:rPr>
      </w:pPr>
      <w:r w:rsidRPr="00472EA7">
        <w:rPr>
          <w:u w:val="single"/>
        </w:rPr>
        <w:t>Base Funding</w:t>
      </w:r>
    </w:p>
    <w:p w:rsidR="00856E08" w:rsidRPr="00472EA7" w:rsidRDefault="00856E08" w:rsidP="00856E08">
      <w:pPr>
        <w:pStyle w:val="Header"/>
        <w:rPr>
          <w:u w:val="single"/>
        </w:rPr>
      </w:pPr>
    </w:p>
    <w:tbl>
      <w:tblPr>
        <w:tblW w:w="0" w:type="auto"/>
        <w:tblInd w:w="-252" w:type="dxa"/>
        <w:tblCellMar>
          <w:left w:w="0" w:type="dxa"/>
          <w:right w:w="0" w:type="dxa"/>
        </w:tblCellMar>
        <w:tblLook w:val="0000"/>
      </w:tblPr>
      <w:tblGrid>
        <w:gridCol w:w="680"/>
        <w:gridCol w:w="683"/>
        <w:gridCol w:w="700"/>
        <w:gridCol w:w="1156"/>
        <w:gridCol w:w="680"/>
        <w:gridCol w:w="683"/>
        <w:gridCol w:w="834"/>
        <w:gridCol w:w="1023"/>
        <w:gridCol w:w="680"/>
        <w:gridCol w:w="817"/>
        <w:gridCol w:w="834"/>
        <w:gridCol w:w="1058"/>
      </w:tblGrid>
      <w:tr w:rsidR="00856E08" w:rsidRPr="00472EA7" w:rsidTr="00856E08">
        <w:tc>
          <w:tcPr>
            <w:tcW w:w="3420"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856E08" w:rsidRPr="00692A6E" w:rsidRDefault="00856E08" w:rsidP="00856E08">
            <w:pPr>
              <w:pStyle w:val="Heading7"/>
              <w:rPr>
                <w:b w:val="0"/>
                <w:szCs w:val="24"/>
              </w:rPr>
            </w:pPr>
            <w:r w:rsidRPr="00692A6E">
              <w:rPr>
                <w:b w:val="0"/>
                <w:szCs w:val="24"/>
              </w:rPr>
              <w:t>FY 20</w:t>
            </w:r>
            <w:r>
              <w:rPr>
                <w:b w:val="0"/>
                <w:szCs w:val="24"/>
              </w:rPr>
              <w:t>12</w:t>
            </w:r>
            <w:r w:rsidRPr="00692A6E">
              <w:rPr>
                <w:b w:val="0"/>
                <w:szCs w:val="24"/>
              </w:rPr>
              <w:t xml:space="preserve"> Enacted </w:t>
            </w:r>
          </w:p>
        </w:tc>
        <w:tc>
          <w:tcPr>
            <w:tcW w:w="3420" w:type="dxa"/>
            <w:gridSpan w:val="4"/>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856E08" w:rsidRPr="00692A6E" w:rsidRDefault="00856E08" w:rsidP="00856E08">
            <w:pPr>
              <w:pStyle w:val="Heading7"/>
              <w:rPr>
                <w:b w:val="0"/>
                <w:szCs w:val="24"/>
              </w:rPr>
            </w:pPr>
            <w:r w:rsidRPr="00692A6E">
              <w:rPr>
                <w:b w:val="0"/>
                <w:szCs w:val="24"/>
              </w:rPr>
              <w:t>FY 201</w:t>
            </w:r>
            <w:r>
              <w:rPr>
                <w:b w:val="0"/>
                <w:szCs w:val="24"/>
              </w:rPr>
              <w:t xml:space="preserve">3 </w:t>
            </w:r>
            <w:r w:rsidR="007C6619">
              <w:rPr>
                <w:b w:val="0"/>
                <w:szCs w:val="24"/>
              </w:rPr>
              <w:t>President’s Budget</w:t>
            </w:r>
          </w:p>
        </w:tc>
        <w:tc>
          <w:tcPr>
            <w:tcW w:w="3600" w:type="dxa"/>
            <w:gridSpan w:val="4"/>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856E08" w:rsidRPr="00692A6E" w:rsidRDefault="00856E08" w:rsidP="00856E08">
            <w:pPr>
              <w:pStyle w:val="Heading7"/>
              <w:rPr>
                <w:b w:val="0"/>
                <w:szCs w:val="24"/>
              </w:rPr>
            </w:pPr>
            <w:r w:rsidRPr="00692A6E">
              <w:rPr>
                <w:b w:val="0"/>
                <w:szCs w:val="24"/>
              </w:rPr>
              <w:t>FY 201</w:t>
            </w:r>
            <w:r>
              <w:rPr>
                <w:b w:val="0"/>
                <w:szCs w:val="24"/>
              </w:rPr>
              <w:t>4</w:t>
            </w:r>
            <w:r w:rsidRPr="00692A6E">
              <w:rPr>
                <w:b w:val="0"/>
                <w:szCs w:val="24"/>
              </w:rPr>
              <w:t xml:space="preserve"> Current Services</w:t>
            </w:r>
          </w:p>
        </w:tc>
      </w:tr>
      <w:tr w:rsidR="00856E08" w:rsidRPr="00472EA7" w:rsidTr="00856E08">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6E08" w:rsidRPr="00472EA7" w:rsidRDefault="00856E08" w:rsidP="00856E08">
            <w:pPr>
              <w:pStyle w:val="xl24"/>
              <w:jc w:val="center"/>
            </w:pPr>
            <w:r w:rsidRPr="00472EA7">
              <w:t>Pos</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856E08" w:rsidRPr="00472EA7" w:rsidRDefault="00856E08" w:rsidP="00856E08">
            <w:pPr>
              <w:pStyle w:val="xl24"/>
              <w:jc w:val="center"/>
            </w:pPr>
            <w:r w:rsidRPr="00472EA7">
              <w:t>Agt</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856E08" w:rsidRPr="00472EA7" w:rsidRDefault="00856E08" w:rsidP="00856E08">
            <w:pPr>
              <w:pStyle w:val="xl24"/>
              <w:jc w:val="center"/>
            </w:pPr>
            <w:r w:rsidRPr="00472EA7">
              <w:t>FTE</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56E08" w:rsidRPr="00472EA7" w:rsidRDefault="00856E08" w:rsidP="00856E08">
            <w:pPr>
              <w:pStyle w:val="xl24"/>
              <w:jc w:val="center"/>
            </w:pPr>
            <w:r w:rsidRPr="00472EA7">
              <w:t>$(000)</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856E08" w:rsidRPr="00472EA7" w:rsidRDefault="00856E08" w:rsidP="00856E08">
            <w:pPr>
              <w:pStyle w:val="xl24"/>
              <w:jc w:val="center"/>
            </w:pPr>
            <w:r w:rsidRPr="00472EA7">
              <w:t>Pos</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856E08" w:rsidRPr="00472EA7" w:rsidRDefault="00856E08" w:rsidP="00856E08">
            <w:pPr>
              <w:pStyle w:val="xl24"/>
              <w:jc w:val="center"/>
            </w:pPr>
            <w:r w:rsidRPr="00472EA7">
              <w:t>Agt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56E08" w:rsidRPr="00472EA7" w:rsidRDefault="00856E08" w:rsidP="00856E08">
            <w:pPr>
              <w:pStyle w:val="xl24"/>
              <w:jc w:val="center"/>
            </w:pPr>
            <w:r w:rsidRPr="00472EA7">
              <w:t>FTE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56E08" w:rsidRPr="00472EA7" w:rsidRDefault="00856E08" w:rsidP="00856E08">
            <w:pPr>
              <w:pStyle w:val="xl24"/>
              <w:jc w:val="center"/>
            </w:pPr>
            <w:r w:rsidRPr="00472EA7">
              <w:t>$(000)</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856E08" w:rsidRPr="00472EA7" w:rsidRDefault="00856E08" w:rsidP="00856E08">
            <w:pPr>
              <w:pStyle w:val="xl24"/>
              <w:jc w:val="center"/>
            </w:pPr>
            <w:r w:rsidRPr="00472EA7">
              <w:t>Pos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56E08" w:rsidRPr="00472EA7" w:rsidRDefault="00856E08" w:rsidP="00856E08">
            <w:pPr>
              <w:pStyle w:val="xl24"/>
              <w:jc w:val="center"/>
            </w:pPr>
            <w:r w:rsidRPr="00472EA7">
              <w:t>Agt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856E08" w:rsidRPr="00472EA7" w:rsidRDefault="00856E08" w:rsidP="00856E08">
            <w:pPr>
              <w:pStyle w:val="xl24"/>
              <w:jc w:val="center"/>
            </w:pPr>
            <w:r w:rsidRPr="00472EA7">
              <w:t>FTE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56E08" w:rsidRPr="00472EA7" w:rsidRDefault="00856E08" w:rsidP="00856E08">
            <w:pPr>
              <w:pStyle w:val="xl24"/>
              <w:jc w:val="center"/>
            </w:pPr>
            <w:r w:rsidRPr="00472EA7">
              <w:t>$(000)</w:t>
            </w:r>
          </w:p>
        </w:tc>
      </w:tr>
      <w:tr w:rsidR="00856E08" w:rsidRPr="00206A84" w:rsidTr="00856E08">
        <w:tc>
          <w:tcPr>
            <w:tcW w:w="720" w:type="dxa"/>
            <w:tcBorders>
              <w:top w:val="nil"/>
              <w:left w:val="single" w:sz="8" w:space="0" w:color="auto"/>
              <w:bottom w:val="single" w:sz="8" w:space="0" w:color="auto"/>
              <w:right w:val="single" w:sz="8" w:space="0" w:color="auto"/>
            </w:tcBorders>
          </w:tcPr>
          <w:p w:rsidR="00856E08" w:rsidRPr="00206A84" w:rsidRDefault="00DA143A" w:rsidP="00856E08">
            <w:pPr>
              <w:pStyle w:val="xl24"/>
              <w:jc w:val="right"/>
            </w:pPr>
            <w:r>
              <w:t>9</w:t>
            </w:r>
            <w:r w:rsidR="00856E08">
              <w:t>0</w:t>
            </w:r>
          </w:p>
        </w:tc>
        <w:tc>
          <w:tcPr>
            <w:tcW w:w="720" w:type="dxa"/>
            <w:tcBorders>
              <w:top w:val="nil"/>
              <w:left w:val="nil"/>
              <w:bottom w:val="single" w:sz="8" w:space="0" w:color="auto"/>
              <w:right w:val="single" w:sz="8" w:space="0" w:color="auto"/>
            </w:tcBorders>
          </w:tcPr>
          <w:p w:rsidR="00856E08" w:rsidRPr="00206A84" w:rsidRDefault="00856E08" w:rsidP="00856E08">
            <w:pPr>
              <w:pStyle w:val="xl24"/>
              <w:jc w:val="right"/>
            </w:pPr>
            <w:r>
              <w:t>0</w:t>
            </w:r>
          </w:p>
        </w:tc>
        <w:tc>
          <w:tcPr>
            <w:tcW w:w="720" w:type="dxa"/>
            <w:tcBorders>
              <w:top w:val="nil"/>
              <w:left w:val="nil"/>
              <w:bottom w:val="single" w:sz="8" w:space="0" w:color="auto"/>
              <w:right w:val="single" w:sz="8" w:space="0" w:color="auto"/>
            </w:tcBorders>
          </w:tcPr>
          <w:p w:rsidR="00856E08" w:rsidRPr="00206A84" w:rsidRDefault="00DA143A" w:rsidP="00856E08">
            <w:pPr>
              <w:pStyle w:val="xl24"/>
              <w:jc w:val="right"/>
            </w:pPr>
            <w:r>
              <w:t>9</w:t>
            </w:r>
            <w:r w:rsidR="00856E08">
              <w:t>0</w:t>
            </w:r>
          </w:p>
        </w:tc>
        <w:tc>
          <w:tcPr>
            <w:tcW w:w="1260" w:type="dxa"/>
            <w:tcBorders>
              <w:top w:val="nil"/>
              <w:left w:val="nil"/>
              <w:bottom w:val="single" w:sz="8" w:space="0" w:color="auto"/>
              <w:right w:val="single" w:sz="8" w:space="0" w:color="auto"/>
            </w:tcBorders>
          </w:tcPr>
          <w:p w:rsidR="00856E08" w:rsidRPr="00206A84" w:rsidRDefault="00DA143A" w:rsidP="00DA143A">
            <w:pPr>
              <w:pStyle w:val="xl24"/>
              <w:jc w:val="right"/>
            </w:pPr>
            <w:r>
              <w:t>123,163</w:t>
            </w:r>
          </w:p>
        </w:tc>
        <w:tc>
          <w:tcPr>
            <w:tcW w:w="720" w:type="dxa"/>
            <w:tcBorders>
              <w:top w:val="nil"/>
              <w:left w:val="nil"/>
              <w:bottom w:val="single" w:sz="8" w:space="0" w:color="auto"/>
              <w:right w:val="single" w:sz="8" w:space="0" w:color="auto"/>
            </w:tcBorders>
          </w:tcPr>
          <w:p w:rsidR="00856E08" w:rsidRPr="00206A84" w:rsidRDefault="00DA143A" w:rsidP="00856E08">
            <w:pPr>
              <w:pStyle w:val="xl24"/>
              <w:jc w:val="right"/>
            </w:pPr>
            <w:r>
              <w:t>9</w:t>
            </w:r>
            <w:r w:rsidR="00856E08">
              <w:t>0</w:t>
            </w:r>
          </w:p>
        </w:tc>
        <w:tc>
          <w:tcPr>
            <w:tcW w:w="720" w:type="dxa"/>
            <w:tcBorders>
              <w:top w:val="nil"/>
              <w:left w:val="nil"/>
              <w:bottom w:val="single" w:sz="8" w:space="0" w:color="auto"/>
              <w:right w:val="single" w:sz="8" w:space="0" w:color="auto"/>
            </w:tcBorders>
          </w:tcPr>
          <w:p w:rsidR="00856E08" w:rsidRPr="00206A84" w:rsidRDefault="00856E08" w:rsidP="00856E08">
            <w:pPr>
              <w:pStyle w:val="xl24"/>
              <w:jc w:val="right"/>
            </w:pPr>
            <w:r>
              <w:t>0</w:t>
            </w:r>
          </w:p>
        </w:tc>
        <w:tc>
          <w:tcPr>
            <w:tcW w:w="900" w:type="dxa"/>
            <w:tcBorders>
              <w:top w:val="nil"/>
              <w:left w:val="nil"/>
              <w:bottom w:val="single" w:sz="8" w:space="0" w:color="auto"/>
              <w:right w:val="single" w:sz="8" w:space="0" w:color="auto"/>
            </w:tcBorders>
          </w:tcPr>
          <w:p w:rsidR="00856E08" w:rsidRPr="00206A84" w:rsidRDefault="00DA143A" w:rsidP="00856E08">
            <w:pPr>
              <w:pStyle w:val="xl24"/>
              <w:jc w:val="right"/>
            </w:pPr>
            <w:r>
              <w:t>9</w:t>
            </w:r>
            <w:r w:rsidR="00856E08">
              <w:t>0</w:t>
            </w:r>
          </w:p>
        </w:tc>
        <w:tc>
          <w:tcPr>
            <w:tcW w:w="1080" w:type="dxa"/>
            <w:tcBorders>
              <w:top w:val="nil"/>
              <w:left w:val="nil"/>
              <w:bottom w:val="single" w:sz="8" w:space="0" w:color="auto"/>
              <w:right w:val="single" w:sz="8" w:space="0" w:color="auto"/>
            </w:tcBorders>
          </w:tcPr>
          <w:p w:rsidR="00856E08" w:rsidRPr="00206A84" w:rsidRDefault="00DA143A" w:rsidP="00DA143A">
            <w:pPr>
              <w:pStyle w:val="xl24"/>
              <w:jc w:val="right"/>
            </w:pPr>
            <w:r>
              <w:t>123,163</w:t>
            </w:r>
          </w:p>
        </w:tc>
        <w:tc>
          <w:tcPr>
            <w:tcW w:w="720" w:type="dxa"/>
            <w:tcBorders>
              <w:top w:val="nil"/>
              <w:left w:val="nil"/>
              <w:bottom w:val="single" w:sz="8" w:space="0" w:color="auto"/>
              <w:right w:val="single" w:sz="8" w:space="0" w:color="auto"/>
            </w:tcBorders>
          </w:tcPr>
          <w:p w:rsidR="00856E08" w:rsidRPr="00206A84" w:rsidRDefault="00DA143A" w:rsidP="00856E08">
            <w:pPr>
              <w:pStyle w:val="xl24"/>
              <w:jc w:val="right"/>
            </w:pPr>
            <w:r>
              <w:t>9</w:t>
            </w:r>
            <w:r w:rsidR="00856E08">
              <w:t>0</w:t>
            </w:r>
          </w:p>
        </w:tc>
        <w:tc>
          <w:tcPr>
            <w:tcW w:w="900" w:type="dxa"/>
            <w:tcBorders>
              <w:top w:val="nil"/>
              <w:left w:val="nil"/>
              <w:bottom w:val="single" w:sz="8" w:space="0" w:color="auto"/>
              <w:right w:val="single" w:sz="8" w:space="0" w:color="auto"/>
            </w:tcBorders>
          </w:tcPr>
          <w:p w:rsidR="00856E08" w:rsidRPr="00206A84" w:rsidRDefault="00856E08" w:rsidP="00856E08">
            <w:pPr>
              <w:pStyle w:val="xl24"/>
              <w:jc w:val="right"/>
            </w:pPr>
            <w:r>
              <w:t>0</w:t>
            </w:r>
          </w:p>
        </w:tc>
        <w:tc>
          <w:tcPr>
            <w:tcW w:w="900" w:type="dxa"/>
            <w:tcBorders>
              <w:top w:val="nil"/>
              <w:left w:val="nil"/>
              <w:bottom w:val="single" w:sz="8" w:space="0" w:color="auto"/>
              <w:right w:val="single" w:sz="8" w:space="0" w:color="auto"/>
            </w:tcBorders>
            <w:tcMar>
              <w:top w:w="0" w:type="dxa"/>
              <w:left w:w="115" w:type="dxa"/>
              <w:bottom w:w="0" w:type="dxa"/>
              <w:right w:w="115" w:type="dxa"/>
            </w:tcMar>
          </w:tcPr>
          <w:p w:rsidR="00856E08" w:rsidRPr="00206A84" w:rsidRDefault="00DA143A" w:rsidP="00856E08">
            <w:pPr>
              <w:pStyle w:val="xl24"/>
              <w:jc w:val="right"/>
            </w:pPr>
            <w:r>
              <w:t>9</w:t>
            </w:r>
            <w:r w:rsidR="00856E08">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56E08" w:rsidRPr="00206A84" w:rsidRDefault="00DA143A" w:rsidP="00DA143A">
            <w:pPr>
              <w:pStyle w:val="xl24"/>
              <w:jc w:val="right"/>
            </w:pPr>
            <w:r>
              <w:t>132,169</w:t>
            </w:r>
          </w:p>
        </w:tc>
      </w:tr>
    </w:tbl>
    <w:p w:rsidR="00856E08" w:rsidRDefault="00856E08" w:rsidP="00856E08">
      <w:pPr>
        <w:pStyle w:val="Header"/>
        <w:rPr>
          <w:u w:val="single"/>
        </w:rPr>
      </w:pPr>
    </w:p>
    <w:p w:rsidR="00856E08" w:rsidRPr="00472EA7" w:rsidRDefault="00856E08" w:rsidP="00856E08">
      <w:pPr>
        <w:pStyle w:val="Header"/>
        <w:rPr>
          <w:u w:val="single"/>
        </w:rPr>
      </w:pPr>
      <w:r w:rsidRPr="00472EA7">
        <w:rPr>
          <w:u w:val="single"/>
        </w:rPr>
        <w:t>Personnel Increase Cost Summary</w:t>
      </w:r>
    </w:p>
    <w:p w:rsidR="00856E08" w:rsidRPr="00472EA7" w:rsidRDefault="00856E08" w:rsidP="00856E08">
      <w:pPr>
        <w:pStyle w:val="Header"/>
        <w:rPr>
          <w:b/>
          <w:bCs/>
        </w:rPr>
      </w:pPr>
    </w:p>
    <w:tbl>
      <w:tblPr>
        <w:tblW w:w="9810" w:type="dxa"/>
        <w:tblInd w:w="-252" w:type="dxa"/>
        <w:tblCellMar>
          <w:left w:w="0" w:type="dxa"/>
          <w:right w:w="0" w:type="dxa"/>
        </w:tblCellMar>
        <w:tblLook w:val="0000"/>
      </w:tblPr>
      <w:tblGrid>
        <w:gridCol w:w="2700"/>
        <w:gridCol w:w="1620"/>
        <w:gridCol w:w="1440"/>
        <w:gridCol w:w="2070"/>
        <w:gridCol w:w="1980"/>
      </w:tblGrid>
      <w:tr w:rsidR="00856E08" w:rsidRPr="00472EA7" w:rsidTr="00856E08">
        <w:trPr>
          <w:cantSplit/>
          <w:trHeight w:val="935"/>
          <w:tblHeader/>
        </w:trPr>
        <w:tc>
          <w:tcPr>
            <w:tcW w:w="2700"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rsidR="00856E08" w:rsidRPr="005444C2" w:rsidRDefault="00856E08" w:rsidP="00856E08">
            <w:pPr>
              <w:jc w:val="center"/>
              <w:rPr>
                <w:sz w:val="22"/>
                <w:szCs w:val="22"/>
              </w:rPr>
            </w:pPr>
            <w:r w:rsidRPr="005444C2">
              <w:rPr>
                <w:sz w:val="22"/>
                <w:szCs w:val="22"/>
              </w:rPr>
              <w:t>Type of Position</w:t>
            </w:r>
          </w:p>
        </w:tc>
        <w:tc>
          <w:tcPr>
            <w:tcW w:w="162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856E08" w:rsidRPr="005444C2" w:rsidRDefault="00856E08" w:rsidP="00856E08">
            <w:pPr>
              <w:jc w:val="center"/>
              <w:rPr>
                <w:sz w:val="22"/>
                <w:szCs w:val="22"/>
              </w:rPr>
            </w:pPr>
            <w:r w:rsidRPr="005444C2">
              <w:rPr>
                <w:sz w:val="22"/>
                <w:szCs w:val="22"/>
              </w:rPr>
              <w:t>Modular Cost per Position ($000)</w:t>
            </w:r>
          </w:p>
        </w:tc>
        <w:tc>
          <w:tcPr>
            <w:tcW w:w="144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856E08" w:rsidRPr="005444C2" w:rsidRDefault="00856E08" w:rsidP="00856E08">
            <w:pPr>
              <w:jc w:val="center"/>
              <w:rPr>
                <w:sz w:val="22"/>
                <w:szCs w:val="22"/>
              </w:rPr>
            </w:pPr>
            <w:r w:rsidRPr="005444C2">
              <w:rPr>
                <w:sz w:val="22"/>
                <w:szCs w:val="22"/>
              </w:rPr>
              <w:t>Number of Positions Requested</w:t>
            </w:r>
          </w:p>
        </w:tc>
        <w:tc>
          <w:tcPr>
            <w:tcW w:w="207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856E08" w:rsidRPr="005444C2" w:rsidRDefault="00856E08" w:rsidP="00856E08">
            <w:pPr>
              <w:jc w:val="center"/>
              <w:rPr>
                <w:sz w:val="22"/>
                <w:szCs w:val="22"/>
              </w:rPr>
            </w:pPr>
            <w:r w:rsidRPr="005444C2">
              <w:rPr>
                <w:sz w:val="22"/>
                <w:szCs w:val="22"/>
              </w:rPr>
              <w:t>FY 2014 Request ($000)</w:t>
            </w:r>
          </w:p>
        </w:tc>
        <w:tc>
          <w:tcPr>
            <w:tcW w:w="198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856E08" w:rsidRPr="005444C2" w:rsidRDefault="00856E08" w:rsidP="00856E08">
            <w:pPr>
              <w:jc w:val="center"/>
              <w:rPr>
                <w:sz w:val="22"/>
                <w:szCs w:val="22"/>
              </w:rPr>
            </w:pPr>
            <w:r w:rsidRPr="005444C2">
              <w:rPr>
                <w:sz w:val="22"/>
                <w:szCs w:val="22"/>
              </w:rPr>
              <w:t>FY 2015 Net Annualization (change from 2014)</w:t>
            </w:r>
          </w:p>
          <w:p w:rsidR="00856E08" w:rsidRPr="005444C2" w:rsidRDefault="00856E08" w:rsidP="00856E08">
            <w:pPr>
              <w:jc w:val="center"/>
              <w:rPr>
                <w:sz w:val="22"/>
                <w:szCs w:val="22"/>
              </w:rPr>
            </w:pPr>
            <w:r w:rsidRPr="005444C2">
              <w:rPr>
                <w:sz w:val="22"/>
                <w:szCs w:val="22"/>
              </w:rPr>
              <w:t>($000)</w:t>
            </w:r>
          </w:p>
        </w:tc>
      </w:tr>
      <w:tr w:rsidR="00856E08" w:rsidRPr="006B60AD" w:rsidTr="00856E08">
        <w:trPr>
          <w:cantSplit/>
          <w:trHeight w:val="142"/>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6E08" w:rsidRPr="00B45035" w:rsidRDefault="00856E08" w:rsidP="00856E08"/>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856E08" w:rsidRPr="006B60AD" w:rsidRDefault="00856E08" w:rsidP="00856E08">
            <w:pPr>
              <w:pStyle w:val="xl19"/>
              <w:jc w:val="right"/>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856E08" w:rsidRPr="002E5248" w:rsidRDefault="00856E08" w:rsidP="00856E08">
            <w:pPr>
              <w:jc w:val="right"/>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tcPr>
          <w:p w:rsidR="00856E08" w:rsidRPr="006B60AD" w:rsidRDefault="00856E08" w:rsidP="00856E08">
            <w:pPr>
              <w:jc w:val="right"/>
            </w:pP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tcPr>
          <w:p w:rsidR="00856E08" w:rsidRPr="006B60AD" w:rsidRDefault="00856E08" w:rsidP="00856E08">
            <w:pPr>
              <w:jc w:val="right"/>
            </w:pPr>
          </w:p>
        </w:tc>
      </w:tr>
      <w:tr w:rsidR="00856E08" w:rsidRPr="00472EA7" w:rsidTr="00856E08">
        <w:trPr>
          <w:cantSplit/>
        </w:trPr>
        <w:tc>
          <w:tcPr>
            <w:tcW w:w="270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856E08" w:rsidRPr="00472EA7" w:rsidRDefault="00856E08" w:rsidP="00856E08">
            <w:pPr>
              <w:rPr>
                <w:b/>
                <w:bCs/>
                <w:i/>
                <w:iCs/>
              </w:rPr>
            </w:pPr>
            <w:r>
              <w:rPr>
                <w:b/>
                <w:bCs/>
              </w:rPr>
              <w:t>Total Personnel</w:t>
            </w:r>
          </w:p>
        </w:tc>
        <w:tc>
          <w:tcPr>
            <w:tcW w:w="162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856E08" w:rsidRPr="00472EA7" w:rsidRDefault="00856E08" w:rsidP="00856E08">
            <w:pPr>
              <w:pStyle w:val="xl19"/>
              <w:jc w:val="right"/>
            </w:pPr>
          </w:p>
        </w:tc>
        <w:tc>
          <w:tcPr>
            <w:tcW w:w="144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856E08" w:rsidRPr="0058242F" w:rsidRDefault="00856E08" w:rsidP="00856E08">
            <w:pPr>
              <w:jc w:val="right"/>
              <w:rPr>
                <w:b/>
              </w:rPr>
            </w:pPr>
          </w:p>
        </w:tc>
        <w:tc>
          <w:tcPr>
            <w:tcW w:w="207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856E08" w:rsidRPr="00472EA7" w:rsidRDefault="00856E08" w:rsidP="00856E08">
            <w:pPr>
              <w:jc w:val="right"/>
              <w:rPr>
                <w:b/>
                <w:bCs/>
              </w:rPr>
            </w:pPr>
          </w:p>
        </w:tc>
        <w:tc>
          <w:tcPr>
            <w:tcW w:w="19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856E08" w:rsidRPr="00472EA7" w:rsidRDefault="00856E08" w:rsidP="00856E08">
            <w:pPr>
              <w:jc w:val="right"/>
              <w:rPr>
                <w:b/>
                <w:bCs/>
              </w:rPr>
            </w:pPr>
          </w:p>
        </w:tc>
      </w:tr>
    </w:tbl>
    <w:p w:rsidR="00856E08" w:rsidRDefault="00856E08" w:rsidP="00856E08"/>
    <w:p w:rsidR="00856E08" w:rsidRDefault="00856E08" w:rsidP="00856E08">
      <w:pPr>
        <w:rPr>
          <w:u w:val="single"/>
        </w:rPr>
      </w:pPr>
      <w:r w:rsidRPr="00472EA7">
        <w:rPr>
          <w:u w:val="single"/>
        </w:rPr>
        <w:t xml:space="preserve">Non-Personnel Increase Cost Summary </w:t>
      </w:r>
    </w:p>
    <w:p w:rsidR="00856E08" w:rsidRPr="00472EA7" w:rsidRDefault="00856E08" w:rsidP="00856E08">
      <w:pPr>
        <w:rPr>
          <w:u w:val="single"/>
        </w:rPr>
      </w:pPr>
    </w:p>
    <w:tbl>
      <w:tblPr>
        <w:tblW w:w="9810" w:type="dxa"/>
        <w:tblInd w:w="-252" w:type="dxa"/>
        <w:tblCellMar>
          <w:left w:w="0" w:type="dxa"/>
          <w:right w:w="0" w:type="dxa"/>
        </w:tblCellMar>
        <w:tblLook w:val="0000"/>
      </w:tblPr>
      <w:tblGrid>
        <w:gridCol w:w="2700"/>
        <w:gridCol w:w="1620"/>
        <w:gridCol w:w="1498"/>
        <w:gridCol w:w="1973"/>
        <w:gridCol w:w="2019"/>
      </w:tblGrid>
      <w:tr w:rsidR="00856E08" w:rsidRPr="00472EA7" w:rsidTr="00856E08">
        <w:tc>
          <w:tcPr>
            <w:tcW w:w="270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856E08" w:rsidRPr="00472EA7" w:rsidRDefault="00856E08" w:rsidP="00856E08">
            <w:pPr>
              <w:jc w:val="center"/>
            </w:pPr>
            <w:r w:rsidRPr="00472EA7">
              <w:t>Non-Personnel Item</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pPr>
              <w:jc w:val="center"/>
            </w:pPr>
            <w:r w:rsidRPr="00472EA7">
              <w:t>Unit Cost</w:t>
            </w:r>
          </w:p>
          <w:p w:rsidR="00856E08" w:rsidRPr="00472EA7" w:rsidRDefault="00856E08" w:rsidP="00856E08">
            <w:pPr>
              <w:jc w:val="center"/>
            </w:pPr>
            <w:r w:rsidRPr="00472EA7">
              <w:t>($000)</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pPr>
              <w:jc w:val="center"/>
            </w:pPr>
            <w:r w:rsidRPr="00472EA7">
              <w:t>Quantity</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pPr>
              <w:jc w:val="center"/>
            </w:pPr>
            <w:r>
              <w:t>FY 2014</w:t>
            </w:r>
            <w:r w:rsidRPr="00472EA7">
              <w:t xml:space="preserve"> Request</w:t>
            </w:r>
          </w:p>
          <w:p w:rsidR="00856E08" w:rsidRPr="00472EA7" w:rsidRDefault="00856E08" w:rsidP="00856E08">
            <w:pPr>
              <w:jc w:val="center"/>
            </w:pPr>
            <w:r w:rsidRPr="00472EA7">
              <w:t>($000)</w:t>
            </w:r>
          </w:p>
        </w:tc>
        <w:tc>
          <w:tcPr>
            <w:tcW w:w="20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pPr>
              <w:jc w:val="center"/>
            </w:pPr>
            <w:r>
              <w:t>FY 2015</w:t>
            </w:r>
            <w:r w:rsidRPr="00472EA7">
              <w:t xml:space="preserve"> Net</w:t>
            </w:r>
          </w:p>
          <w:p w:rsidR="00856E08" w:rsidRPr="00472EA7" w:rsidRDefault="00856E08" w:rsidP="00856E08">
            <w:pPr>
              <w:jc w:val="center"/>
            </w:pPr>
            <w:r w:rsidRPr="00472EA7">
              <w:t>Annualization</w:t>
            </w:r>
          </w:p>
          <w:p w:rsidR="00856E08" w:rsidRPr="00472EA7" w:rsidRDefault="00856E08" w:rsidP="00856E08">
            <w:pPr>
              <w:jc w:val="center"/>
            </w:pPr>
            <w:r w:rsidRPr="00472EA7">
              <w:t>(Change from 201</w:t>
            </w:r>
            <w:r>
              <w:t>4</w:t>
            </w:r>
            <w:r w:rsidRPr="00472EA7">
              <w:t>)</w:t>
            </w:r>
          </w:p>
          <w:p w:rsidR="00856E08" w:rsidRPr="00472EA7" w:rsidRDefault="00856E08" w:rsidP="00856E08">
            <w:pPr>
              <w:jc w:val="center"/>
            </w:pPr>
            <w:r w:rsidRPr="00472EA7">
              <w:t>($000)</w:t>
            </w:r>
          </w:p>
        </w:tc>
      </w:tr>
      <w:tr w:rsidR="00FF1F73" w:rsidRPr="00472EA7" w:rsidTr="00FF1F73">
        <w:trPr>
          <w:trHeight w:val="2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F1F73" w:rsidRPr="00B45035" w:rsidRDefault="00FF1F73" w:rsidP="008A5616">
            <w:r>
              <w:t>IT Savings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FF1F73" w:rsidRPr="00472EA7" w:rsidRDefault="00FF1F73" w:rsidP="00FF1F73">
            <w:pPr>
              <w:pStyle w:val="xl19"/>
            </w:pP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bottom"/>
          </w:tcPr>
          <w:p w:rsidR="00FF1F73" w:rsidRPr="00472EA7" w:rsidRDefault="00FF1F73" w:rsidP="00856E08">
            <w:pPr>
              <w:jc w:val="right"/>
            </w:pP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rsidR="00FF1F73" w:rsidRPr="00472EA7" w:rsidRDefault="00FF1F73" w:rsidP="00FF1F73">
            <w:pPr>
              <w:jc w:val="center"/>
            </w:pPr>
            <w:r>
              <w:t>($2,748)</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bottom"/>
          </w:tcPr>
          <w:p w:rsidR="00FF1F73" w:rsidRDefault="00FF1F73" w:rsidP="00856E08">
            <w:pPr>
              <w:jc w:val="right"/>
            </w:pPr>
          </w:p>
          <w:p w:rsidR="00FF1F73" w:rsidRPr="00472EA7" w:rsidRDefault="00FF1F73" w:rsidP="00856E08">
            <w:pPr>
              <w:jc w:val="right"/>
            </w:pPr>
          </w:p>
        </w:tc>
      </w:tr>
      <w:tr w:rsidR="00856E08" w:rsidRPr="00472EA7" w:rsidTr="00856E08">
        <w:trPr>
          <w:trHeight w:val="322"/>
        </w:trPr>
        <w:tc>
          <w:tcPr>
            <w:tcW w:w="270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856E08" w:rsidRDefault="00856E08" w:rsidP="00856E08">
            <w:r w:rsidRPr="00472EA7">
              <w:rPr>
                <w:b/>
                <w:bCs/>
              </w:rPr>
              <w:t>Total Non-Personnel</w:t>
            </w:r>
          </w:p>
        </w:tc>
        <w:tc>
          <w:tcPr>
            <w:tcW w:w="162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856E08" w:rsidRPr="006606D7" w:rsidRDefault="00856E08" w:rsidP="00856E08">
            <w:pPr>
              <w:pStyle w:val="xl19"/>
              <w:jc w:val="right"/>
              <w:rPr>
                <w:b/>
              </w:rPr>
            </w:pPr>
          </w:p>
        </w:tc>
        <w:tc>
          <w:tcPr>
            <w:tcW w:w="149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856E08" w:rsidRPr="006606D7" w:rsidRDefault="00856E08" w:rsidP="00856E08">
            <w:pPr>
              <w:jc w:val="right"/>
              <w:rPr>
                <w:b/>
              </w:rPr>
            </w:pPr>
          </w:p>
        </w:tc>
        <w:tc>
          <w:tcPr>
            <w:tcW w:w="197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856E08" w:rsidRPr="006606D7" w:rsidRDefault="00856E08" w:rsidP="00856E08">
            <w:pPr>
              <w:jc w:val="right"/>
              <w:rPr>
                <w:b/>
                <w:bCs/>
              </w:rPr>
            </w:pPr>
          </w:p>
        </w:tc>
        <w:tc>
          <w:tcPr>
            <w:tcW w:w="201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856E08" w:rsidRPr="006606D7" w:rsidRDefault="00856E08" w:rsidP="00856E08">
            <w:pPr>
              <w:jc w:val="right"/>
              <w:rPr>
                <w:b/>
              </w:rPr>
            </w:pPr>
          </w:p>
        </w:tc>
      </w:tr>
    </w:tbl>
    <w:p w:rsidR="00856E08" w:rsidRPr="00347F5C" w:rsidRDefault="00856E08" w:rsidP="00856E08">
      <w:pPr>
        <w:pStyle w:val="xl24"/>
        <w:spacing w:before="0" w:after="0"/>
        <w:rPr>
          <w:u w:val="single"/>
        </w:rPr>
      </w:pPr>
      <w:r w:rsidRPr="00347F5C">
        <w:rPr>
          <w:u w:val="single"/>
        </w:rPr>
        <w:t>Total Request for this Item</w:t>
      </w:r>
    </w:p>
    <w:tbl>
      <w:tblPr>
        <w:tblW w:w="9720" w:type="dxa"/>
        <w:tblInd w:w="-252" w:type="dxa"/>
        <w:tblCellMar>
          <w:left w:w="0" w:type="dxa"/>
          <w:right w:w="0" w:type="dxa"/>
        </w:tblCellMar>
        <w:tblLook w:val="0000"/>
      </w:tblPr>
      <w:tblGrid>
        <w:gridCol w:w="1929"/>
        <w:gridCol w:w="951"/>
        <w:gridCol w:w="900"/>
        <w:gridCol w:w="1080"/>
        <w:gridCol w:w="1446"/>
        <w:gridCol w:w="1800"/>
        <w:gridCol w:w="1614"/>
      </w:tblGrid>
      <w:tr w:rsidR="00856E08" w:rsidRPr="00472EA7" w:rsidTr="00856E08">
        <w:trPr>
          <w:trHeight w:val="658"/>
        </w:trPr>
        <w:tc>
          <w:tcPr>
            <w:tcW w:w="1929"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856E08" w:rsidRPr="00472EA7" w:rsidRDefault="00856E08" w:rsidP="00856E08"/>
          <w:p w:rsidR="00856E08" w:rsidRPr="00472EA7" w:rsidRDefault="00856E08" w:rsidP="00856E08"/>
        </w:tc>
        <w:tc>
          <w:tcPr>
            <w:tcW w:w="9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pPr>
              <w:jc w:val="center"/>
            </w:pPr>
            <w:r w:rsidRPr="00472EA7">
              <w:t>Pos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pPr>
              <w:jc w:val="center"/>
            </w:pPr>
            <w:r>
              <w:t>Agt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pPr>
              <w:jc w:val="center"/>
            </w:pPr>
            <w:r w:rsidRPr="00472EA7">
              <w:t>FTE</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pPr>
              <w:jc w:val="center"/>
            </w:pPr>
            <w:r w:rsidRPr="00472EA7">
              <w:t>Personnel</w:t>
            </w:r>
          </w:p>
          <w:p w:rsidR="00856E08" w:rsidRPr="00472EA7" w:rsidRDefault="00856E08" w:rsidP="00856E08">
            <w:pPr>
              <w:jc w:val="center"/>
            </w:pPr>
            <w:r w:rsidRPr="00472EA7">
              <w:t>($000)</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pPr>
              <w:jc w:val="center"/>
            </w:pPr>
            <w:r w:rsidRPr="00472EA7">
              <w:t>Non-Personnel</w:t>
            </w:r>
          </w:p>
          <w:p w:rsidR="00856E08" w:rsidRPr="00472EA7" w:rsidRDefault="00856E08" w:rsidP="00856E08">
            <w:pPr>
              <w:jc w:val="center"/>
            </w:pPr>
            <w:r w:rsidRPr="00472EA7">
              <w:t>($000)</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pPr>
              <w:jc w:val="center"/>
            </w:pPr>
            <w:r w:rsidRPr="00472EA7">
              <w:t>Total</w:t>
            </w:r>
          </w:p>
          <w:p w:rsidR="00856E08" w:rsidRPr="00472EA7" w:rsidRDefault="00856E08" w:rsidP="00856E08">
            <w:pPr>
              <w:jc w:val="center"/>
            </w:pPr>
            <w:r w:rsidRPr="00472EA7">
              <w:t>($000)</w:t>
            </w:r>
          </w:p>
        </w:tc>
      </w:tr>
      <w:tr w:rsidR="00856E08" w:rsidRPr="00472EA7" w:rsidTr="00856E08">
        <w:trPr>
          <w:trHeight w:val="350"/>
        </w:trPr>
        <w:tc>
          <w:tcPr>
            <w:tcW w:w="1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r w:rsidRPr="00472EA7">
              <w:t>Current Services</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DA143A" w:rsidP="00856E08">
            <w:pPr>
              <w:jc w:val="right"/>
            </w:pPr>
            <w:r>
              <w:t>9</w:t>
            </w:r>
            <w:r w:rsidR="00856E08">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pPr>
              <w:jc w:val="right"/>
            </w:pPr>
            <w: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DA143A" w:rsidP="00856E08">
            <w:pPr>
              <w:jc w:val="right"/>
            </w:pPr>
            <w:r>
              <w:t>9</w:t>
            </w:r>
            <w:r w:rsidR="00856E08">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pPr>
              <w:jc w:val="right"/>
            </w:pPr>
            <w:r>
              <w:t>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DA143A" w:rsidP="00DA143A">
            <w:pPr>
              <w:jc w:val="right"/>
            </w:pPr>
            <w:r>
              <w:t>132,169</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DA143A" w:rsidP="00DA143A">
            <w:pPr>
              <w:jc w:val="right"/>
            </w:pPr>
            <w:r>
              <w:t>132,169</w:t>
            </w:r>
          </w:p>
        </w:tc>
      </w:tr>
      <w:tr w:rsidR="00856E08" w:rsidRPr="00472EA7" w:rsidTr="00856E08">
        <w:trPr>
          <w:trHeight w:val="250"/>
        </w:trPr>
        <w:tc>
          <w:tcPr>
            <w:tcW w:w="1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r w:rsidRPr="00472EA7">
              <w:t>Increases</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Default="00FF1F73" w:rsidP="00541C70">
            <w:pPr>
              <w:jc w:val="right"/>
            </w:pPr>
            <w:r>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Default="00FF1F73" w:rsidP="00856E08">
            <w:pPr>
              <w:jc w:val="right"/>
            </w:pPr>
            <w: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Default="00541C70" w:rsidP="00856E08">
            <w:pPr>
              <w:jc w:val="right"/>
            </w:pPr>
            <w: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FF1F73" w:rsidP="00541C70">
            <w:pPr>
              <w:jc w:val="right"/>
            </w:pPr>
            <w:r>
              <w:t>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FF1F73" w:rsidP="00FF1F73">
            <w:pPr>
              <w:jc w:val="right"/>
            </w:pPr>
            <w:r>
              <w:t>($2,748)</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FF1F73" w:rsidP="00FF1F73">
            <w:pPr>
              <w:jc w:val="right"/>
            </w:pPr>
            <w:r>
              <w:t>($2,748)</w:t>
            </w:r>
          </w:p>
        </w:tc>
      </w:tr>
      <w:tr w:rsidR="00856E08" w:rsidRPr="00472EA7" w:rsidTr="00856E08">
        <w:trPr>
          <w:trHeight w:val="250"/>
        </w:trPr>
        <w:tc>
          <w:tcPr>
            <w:tcW w:w="1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6E08" w:rsidRPr="00472EA7" w:rsidRDefault="00856E08" w:rsidP="00856E08">
            <w:r w:rsidRPr="00472EA7">
              <w:t>Grand Total</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DA143A" w:rsidP="00541C70">
            <w:pPr>
              <w:jc w:val="right"/>
            </w:pPr>
            <w:r>
              <w:t>9</w:t>
            </w:r>
            <w:r w:rsidR="00FF1F73">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FF1F73" w:rsidP="00856E08">
            <w:pPr>
              <w:jc w:val="right"/>
            </w:pPr>
            <w: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DA143A" w:rsidP="00856E08">
            <w:pPr>
              <w:jc w:val="right"/>
            </w:pPr>
            <w:r>
              <w:t>9</w:t>
            </w:r>
            <w:r w:rsidR="00856E08">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FF1F73" w:rsidP="00541C70">
            <w:pPr>
              <w:jc w:val="right"/>
            </w:pPr>
            <w:r>
              <w:t>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DA143A" w:rsidP="00DA143A">
            <w:pPr>
              <w:jc w:val="right"/>
            </w:pPr>
            <w:r>
              <w:t>129,421</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856E08" w:rsidRPr="00472EA7" w:rsidRDefault="00DA143A" w:rsidP="00DA143A">
            <w:pPr>
              <w:jc w:val="right"/>
            </w:pPr>
            <w:r>
              <w:t>129,421</w:t>
            </w:r>
          </w:p>
        </w:tc>
      </w:tr>
    </w:tbl>
    <w:p w:rsidR="00856E08" w:rsidRDefault="00856E08" w:rsidP="00856E08">
      <w:pPr>
        <w:rPr>
          <w:b/>
        </w:rPr>
      </w:pPr>
    </w:p>
    <w:p w:rsidR="00856E08" w:rsidRDefault="00856E08" w:rsidP="00635F9D">
      <w:pPr>
        <w:rPr>
          <w:b/>
        </w:rPr>
      </w:pPr>
    </w:p>
    <w:sectPr w:rsidR="00856E08" w:rsidSect="008D79C3">
      <w:headerReference w:type="even" r:id="rId31"/>
      <w:headerReference w:type="default" r:id="rId32"/>
      <w:footerReference w:type="default" r:id="rId33"/>
      <w:headerReference w:type="first" r:id="rId34"/>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D24" w:rsidRDefault="00025D24">
      <w:r>
        <w:separator/>
      </w:r>
    </w:p>
  </w:endnote>
  <w:endnote w:type="continuationSeparator" w:id="0">
    <w:p w:rsidR="00025D24" w:rsidRDefault="00025D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Univers-Condensed">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NewCenturySchlbk-Italic">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43" w:rsidRDefault="0032687B" w:rsidP="005027FD">
    <w:pPr>
      <w:pStyle w:val="Footer"/>
      <w:framePr w:wrap="around" w:vAnchor="text" w:hAnchor="margin" w:xAlign="center" w:y="1"/>
      <w:rPr>
        <w:rStyle w:val="PageNumber"/>
      </w:rPr>
    </w:pPr>
    <w:r>
      <w:rPr>
        <w:rStyle w:val="PageNumber"/>
      </w:rPr>
      <w:fldChar w:fldCharType="begin"/>
    </w:r>
    <w:r w:rsidR="00E01243">
      <w:rPr>
        <w:rStyle w:val="PageNumber"/>
      </w:rPr>
      <w:instrText xml:space="preserve">PAGE  </w:instrText>
    </w:r>
    <w:r>
      <w:rPr>
        <w:rStyle w:val="PageNumber"/>
      </w:rPr>
      <w:fldChar w:fldCharType="separate"/>
    </w:r>
    <w:r w:rsidR="00E01243">
      <w:rPr>
        <w:rStyle w:val="PageNumber"/>
        <w:noProof/>
      </w:rPr>
      <w:t>123</w:t>
    </w:r>
    <w:r>
      <w:rPr>
        <w:rStyle w:val="PageNumber"/>
      </w:rPr>
      <w:fldChar w:fldCharType="end"/>
    </w:r>
    <w:r>
      <w:rPr>
        <w:rStyle w:val="PageNumber"/>
      </w:rPr>
      <w:fldChar w:fldCharType="begin"/>
    </w:r>
    <w:r w:rsidR="00E01243">
      <w:rPr>
        <w:rStyle w:val="PageNumber"/>
      </w:rPr>
      <w:instrText xml:space="preserve">PAGE  </w:instrText>
    </w:r>
    <w:r>
      <w:rPr>
        <w:rStyle w:val="PageNumber"/>
      </w:rPr>
      <w:fldChar w:fldCharType="end"/>
    </w:r>
  </w:p>
  <w:p w:rsidR="00E01243" w:rsidRDefault="00E012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43" w:rsidRDefault="00E01243">
    <w:pPr>
      <w:pStyle w:val="Footer"/>
    </w:pPr>
  </w:p>
  <w:p w:rsidR="00E01243" w:rsidRDefault="00E012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3178"/>
      <w:docPartObj>
        <w:docPartGallery w:val="Page Numbers (Bottom of Page)"/>
        <w:docPartUnique/>
      </w:docPartObj>
    </w:sdtPr>
    <w:sdtContent>
      <w:p w:rsidR="00E01243" w:rsidRDefault="0032687B">
        <w:pPr>
          <w:pStyle w:val="Footer"/>
          <w:jc w:val="center"/>
        </w:pPr>
        <w:r>
          <w:fldChar w:fldCharType="begin"/>
        </w:r>
        <w:r w:rsidR="00010C2F">
          <w:instrText xml:space="preserve"> PAGE   \* MERGEFORMAT </w:instrText>
        </w:r>
        <w:r>
          <w:fldChar w:fldCharType="separate"/>
        </w:r>
        <w:r w:rsidR="00724F20">
          <w:rPr>
            <w:noProof/>
          </w:rPr>
          <w:t>50</w:t>
        </w:r>
        <w:r>
          <w:rPr>
            <w:noProof/>
          </w:rPr>
          <w:fldChar w:fldCharType="end"/>
        </w:r>
      </w:p>
    </w:sdtContent>
  </w:sdt>
  <w:p w:rsidR="00E01243" w:rsidRPr="00477590" w:rsidRDefault="00E01243" w:rsidP="005027F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43" w:rsidRDefault="0032687B" w:rsidP="005027FD">
    <w:pPr>
      <w:pStyle w:val="Footer"/>
      <w:framePr w:wrap="around" w:vAnchor="text" w:hAnchor="margin" w:xAlign="center" w:y="1"/>
      <w:rPr>
        <w:rStyle w:val="PageNumber"/>
      </w:rPr>
    </w:pPr>
    <w:r>
      <w:rPr>
        <w:rStyle w:val="PageNumber"/>
      </w:rPr>
      <w:fldChar w:fldCharType="begin"/>
    </w:r>
    <w:r w:rsidR="00E01243">
      <w:rPr>
        <w:rStyle w:val="PageNumber"/>
      </w:rPr>
      <w:instrText xml:space="preserve">PAGE  </w:instrText>
    </w:r>
    <w:r>
      <w:rPr>
        <w:rStyle w:val="PageNumber"/>
      </w:rPr>
      <w:fldChar w:fldCharType="separate"/>
    </w:r>
    <w:r w:rsidR="00724F20">
      <w:rPr>
        <w:rStyle w:val="PageNumber"/>
        <w:noProof/>
      </w:rPr>
      <w:t>64</w:t>
    </w:r>
    <w:r>
      <w:rPr>
        <w:rStyle w:val="PageNumber"/>
      </w:rPr>
      <w:fldChar w:fldCharType="end"/>
    </w:r>
  </w:p>
  <w:p w:rsidR="00E01243" w:rsidRDefault="00E012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D24" w:rsidRDefault="00025D24">
      <w:r>
        <w:separator/>
      </w:r>
    </w:p>
  </w:footnote>
  <w:footnote w:type="continuationSeparator" w:id="0">
    <w:p w:rsidR="00025D24" w:rsidRDefault="00025D24">
      <w:r>
        <w:continuationSeparator/>
      </w:r>
    </w:p>
  </w:footnote>
  <w:footnote w:id="1">
    <w:p w:rsidR="00E01243" w:rsidRPr="00D76572" w:rsidRDefault="00E01243" w:rsidP="008F15D2">
      <w:pPr>
        <w:contextualSpacing/>
      </w:pPr>
    </w:p>
    <w:p w:rsidR="00E01243" w:rsidRDefault="00E01243" w:rsidP="008F15D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43" w:rsidRDefault="0032687B" w:rsidP="005027FD">
    <w:pPr>
      <w:pStyle w:val="Header"/>
      <w:framePr w:wrap="around" w:vAnchor="text" w:hAnchor="margin" w:xAlign="center" w:y="1"/>
      <w:rPr>
        <w:rStyle w:val="PageNumber"/>
      </w:rPr>
    </w:pPr>
    <w:r>
      <w:rPr>
        <w:rStyle w:val="PageNumber"/>
      </w:rPr>
      <w:fldChar w:fldCharType="begin"/>
    </w:r>
    <w:r w:rsidR="00E01243">
      <w:rPr>
        <w:rStyle w:val="PageNumber"/>
      </w:rPr>
      <w:instrText xml:space="preserve">PAGE  </w:instrText>
    </w:r>
    <w:r>
      <w:rPr>
        <w:rStyle w:val="PageNumber"/>
      </w:rPr>
      <w:fldChar w:fldCharType="separate"/>
    </w:r>
    <w:r w:rsidR="00E01243">
      <w:rPr>
        <w:rStyle w:val="PageNumber"/>
        <w:noProof/>
      </w:rPr>
      <w:t>123</w:t>
    </w:r>
    <w:r>
      <w:rPr>
        <w:rStyle w:val="PageNumber"/>
      </w:rPr>
      <w:fldChar w:fldCharType="end"/>
    </w:r>
    <w:r>
      <w:rPr>
        <w:rStyle w:val="PageNumber"/>
      </w:rPr>
      <w:fldChar w:fldCharType="begin"/>
    </w:r>
    <w:r w:rsidR="00E01243">
      <w:rPr>
        <w:rStyle w:val="PageNumber"/>
      </w:rPr>
      <w:instrText xml:space="preserve">PAGE  </w:instrText>
    </w:r>
    <w:r>
      <w:rPr>
        <w:rStyle w:val="PageNumber"/>
      </w:rPr>
      <w:fldChar w:fldCharType="end"/>
    </w:r>
  </w:p>
  <w:p w:rsidR="00E01243" w:rsidRDefault="00E012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43" w:rsidRPr="00CA0626" w:rsidRDefault="00E01243" w:rsidP="00CA0626">
    <w:pPr>
      <w:pStyle w:val="Header"/>
      <w:jc w:val="right"/>
      <w:rPr>
        <w:rFonts w:ascii="Times New Roman Bold" w:hAnsi="Times New Roman Bold"/>
        <w:b/>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43" w:rsidRDefault="00E0124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43" w:rsidRPr="008D5213" w:rsidRDefault="00E01243" w:rsidP="008D5213">
    <w:pPr>
      <w:pStyle w:val="Header"/>
      <w:jc w:val="right"/>
      <w:rPr>
        <w:b/>
        <w:sz w:val="32"/>
        <w:szCs w:val="3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43" w:rsidRDefault="00E012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BB4"/>
    <w:multiLevelType w:val="hybridMultilevel"/>
    <w:tmpl w:val="EB1AF3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5E5311"/>
    <w:multiLevelType w:val="hybridMultilevel"/>
    <w:tmpl w:val="07EC3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107CB"/>
    <w:multiLevelType w:val="hybridMultilevel"/>
    <w:tmpl w:val="7062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C46E9"/>
    <w:multiLevelType w:val="hybridMultilevel"/>
    <w:tmpl w:val="5DA4C7AA"/>
    <w:lvl w:ilvl="0" w:tplc="729E75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36800"/>
    <w:multiLevelType w:val="hybridMultilevel"/>
    <w:tmpl w:val="223CE12C"/>
    <w:lvl w:ilvl="0" w:tplc="DDFA5E90">
      <w:start w:val="4"/>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2A6FB6"/>
    <w:multiLevelType w:val="hybridMultilevel"/>
    <w:tmpl w:val="2A0EAEF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D9285A"/>
    <w:multiLevelType w:val="hybridMultilevel"/>
    <w:tmpl w:val="3A4011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35C210E0"/>
    <w:multiLevelType w:val="multilevel"/>
    <w:tmpl w:val="3CEEF1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AD07451"/>
    <w:multiLevelType w:val="hybridMultilevel"/>
    <w:tmpl w:val="4EACB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3404A3"/>
    <w:multiLevelType w:val="hybridMultilevel"/>
    <w:tmpl w:val="14E62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E204D1"/>
    <w:multiLevelType w:val="hybridMultilevel"/>
    <w:tmpl w:val="082E23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7601D5"/>
    <w:multiLevelType w:val="hybridMultilevel"/>
    <w:tmpl w:val="E536DCB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482039B"/>
    <w:multiLevelType w:val="hybridMultilevel"/>
    <w:tmpl w:val="8BE69222"/>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8A69B8">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47716EB0"/>
    <w:multiLevelType w:val="hybridMultilevel"/>
    <w:tmpl w:val="33EC71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7DA3700"/>
    <w:multiLevelType w:val="hybridMultilevel"/>
    <w:tmpl w:val="A3E2919A"/>
    <w:lvl w:ilvl="0" w:tplc="729E7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6B41B8"/>
    <w:multiLevelType w:val="hybridMultilevel"/>
    <w:tmpl w:val="47A86F24"/>
    <w:lvl w:ilvl="0" w:tplc="FA6227E8">
      <w:start w:val="1"/>
      <w:numFmt w:val="upperRoman"/>
      <w:pStyle w:val="BudgetHeading1"/>
      <w:lvlText w:val="%1."/>
      <w:lvlJc w:val="right"/>
      <w:pPr>
        <w:ind w:left="720" w:hanging="360"/>
      </w:pPr>
      <w:rPr>
        <w:rFonts w:hint="default"/>
      </w:rPr>
    </w:lvl>
    <w:lvl w:ilvl="1" w:tplc="A21A5F00">
      <w:start w:val="1"/>
      <w:numFmt w:val="upperLetter"/>
      <w:pStyle w:val="BudgetHeading2"/>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792AE1"/>
    <w:multiLevelType w:val="hybridMultilevel"/>
    <w:tmpl w:val="EB1AF3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EB26BB"/>
    <w:multiLevelType w:val="hybridMultilevel"/>
    <w:tmpl w:val="2A0EAEF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3F79C4"/>
    <w:multiLevelType w:val="hybridMultilevel"/>
    <w:tmpl w:val="6C2E7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DE28BB"/>
    <w:multiLevelType w:val="hybridMultilevel"/>
    <w:tmpl w:val="9B58F9F0"/>
    <w:lvl w:ilvl="0" w:tplc="03065BB0">
      <w:start w:val="1"/>
      <w:numFmt w:val="bullet"/>
      <w:lvlText w:val=""/>
      <w:lvlJc w:val="left"/>
      <w:pPr>
        <w:tabs>
          <w:tab w:val="num" w:pos="720"/>
        </w:tabs>
        <w:ind w:left="720" w:hanging="360"/>
      </w:pPr>
      <w:rPr>
        <w:rFonts w:ascii="Symbol" w:hAnsi="Symbol" w:hint="default"/>
      </w:rPr>
    </w:lvl>
    <w:lvl w:ilvl="1" w:tplc="6B18ED5E"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600434E7"/>
    <w:multiLevelType w:val="hybridMultilevel"/>
    <w:tmpl w:val="92D21D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0112EC9"/>
    <w:multiLevelType w:val="hybridMultilevel"/>
    <w:tmpl w:val="FD2AE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A839F0"/>
    <w:multiLevelType w:val="hybridMultilevel"/>
    <w:tmpl w:val="6FE2CA04"/>
    <w:lvl w:ilvl="0" w:tplc="45762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08E3F4F"/>
    <w:multiLevelType w:val="hybridMultilevel"/>
    <w:tmpl w:val="429E02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6F30DE"/>
    <w:multiLevelType w:val="hybridMultilevel"/>
    <w:tmpl w:val="BFEC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321E94"/>
    <w:multiLevelType w:val="hybridMultilevel"/>
    <w:tmpl w:val="5D200AF6"/>
    <w:lvl w:ilvl="0" w:tplc="0409000F">
      <w:start w:val="1"/>
      <w:numFmt w:val="decimal"/>
      <w:lvlText w:val="%1."/>
      <w:lvlJc w:val="left"/>
      <w:pPr>
        <w:tabs>
          <w:tab w:val="num" w:pos="990"/>
        </w:tabs>
        <w:ind w:left="990" w:hanging="360"/>
      </w:pPr>
      <w:rPr>
        <w:rFonts w:cs="Times New Roman"/>
      </w:rPr>
    </w:lvl>
    <w:lvl w:ilvl="1" w:tplc="E130875A">
      <w:start w:val="1"/>
      <w:numFmt w:val="lowerLetter"/>
      <w:lvlText w:val="%2."/>
      <w:lvlJc w:val="left"/>
      <w:pPr>
        <w:tabs>
          <w:tab w:val="num" w:pos="1800"/>
        </w:tabs>
        <w:ind w:left="1800" w:hanging="360"/>
      </w:pPr>
      <w:rPr>
        <w:rFonts w:cs="Times New Roman" w:hint="default"/>
      </w:rPr>
    </w:lvl>
    <w:lvl w:ilvl="2" w:tplc="C714E6A2">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7E81795D"/>
    <w:multiLevelType w:val="hybridMultilevel"/>
    <w:tmpl w:val="E5E62850"/>
    <w:lvl w:ilvl="0" w:tplc="0409000F">
      <w:start w:val="1"/>
      <w:numFmt w:val="bullet"/>
      <w:lvlText w:val=""/>
      <w:lvlJc w:val="left"/>
      <w:pPr>
        <w:tabs>
          <w:tab w:val="num" w:pos="1080"/>
        </w:tabs>
        <w:ind w:left="1080" w:hanging="360"/>
      </w:pPr>
      <w:rPr>
        <w:rFonts w:ascii="Symbol" w:hAnsi="Symbol" w:hint="default"/>
      </w:rPr>
    </w:lvl>
    <w:lvl w:ilvl="1" w:tplc="E130875A"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7">
    <w:nsid w:val="7ED916BD"/>
    <w:multiLevelType w:val="hybridMultilevel"/>
    <w:tmpl w:val="068E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616FAB"/>
    <w:multiLevelType w:val="hybridMultilevel"/>
    <w:tmpl w:val="099051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2"/>
  </w:num>
  <w:num w:numId="3">
    <w:abstractNumId w:val="11"/>
  </w:num>
  <w:num w:numId="4">
    <w:abstractNumId w:val="15"/>
  </w:num>
  <w:num w:numId="5">
    <w:abstractNumId w:val="3"/>
  </w:num>
  <w:num w:numId="6">
    <w:abstractNumId w:val="14"/>
  </w:num>
  <w:num w:numId="7">
    <w:abstractNumId w:val="24"/>
  </w:num>
  <w:num w:numId="8">
    <w:abstractNumId w:val="9"/>
  </w:num>
  <w:num w:numId="9">
    <w:abstractNumId w:val="2"/>
  </w:num>
  <w:num w:numId="10">
    <w:abstractNumId w:val="23"/>
  </w:num>
  <w:num w:numId="11">
    <w:abstractNumId w:val="5"/>
  </w:num>
  <w:num w:numId="12">
    <w:abstractNumId w:val="28"/>
  </w:num>
  <w:num w:numId="13">
    <w:abstractNumId w:val="10"/>
  </w:num>
  <w:num w:numId="14">
    <w:abstractNumId w:val="22"/>
  </w:num>
  <w:num w:numId="15">
    <w:abstractNumId w:val="17"/>
  </w:num>
  <w:num w:numId="16">
    <w:abstractNumId w:val="6"/>
  </w:num>
  <w:num w:numId="17">
    <w:abstractNumId w:val="26"/>
  </w:num>
  <w:num w:numId="18">
    <w:abstractNumId w:val="20"/>
  </w:num>
  <w:num w:numId="19">
    <w:abstractNumId w:val="27"/>
  </w:num>
  <w:num w:numId="20">
    <w:abstractNumId w:val="18"/>
  </w:num>
  <w:num w:numId="21">
    <w:abstractNumId w:val="0"/>
  </w:num>
  <w:num w:numId="22">
    <w:abstractNumId w:val="4"/>
  </w:num>
  <w:num w:numId="23">
    <w:abstractNumId w:val="16"/>
  </w:num>
  <w:num w:numId="2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num>
  <w:num w:numId="39">
    <w:abstractNumId w:val="19"/>
  </w:num>
  <w:num w:numId="40">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rsids>
    <w:rsidRoot w:val="005027FD"/>
    <w:rsid w:val="00000622"/>
    <w:rsid w:val="00000882"/>
    <w:rsid w:val="00000D34"/>
    <w:rsid w:val="000012A4"/>
    <w:rsid w:val="000013B6"/>
    <w:rsid w:val="0000140E"/>
    <w:rsid w:val="00001D61"/>
    <w:rsid w:val="00001E61"/>
    <w:rsid w:val="00002658"/>
    <w:rsid w:val="00002690"/>
    <w:rsid w:val="00002ACA"/>
    <w:rsid w:val="00002ADE"/>
    <w:rsid w:val="00002AEC"/>
    <w:rsid w:val="00002C26"/>
    <w:rsid w:val="00002C4B"/>
    <w:rsid w:val="00002C85"/>
    <w:rsid w:val="00003C09"/>
    <w:rsid w:val="00003C13"/>
    <w:rsid w:val="00003F45"/>
    <w:rsid w:val="00004332"/>
    <w:rsid w:val="0000434B"/>
    <w:rsid w:val="00004641"/>
    <w:rsid w:val="00004679"/>
    <w:rsid w:val="00004CF6"/>
    <w:rsid w:val="00005459"/>
    <w:rsid w:val="00005511"/>
    <w:rsid w:val="0000568C"/>
    <w:rsid w:val="00006257"/>
    <w:rsid w:val="00006356"/>
    <w:rsid w:val="000064C8"/>
    <w:rsid w:val="00006B17"/>
    <w:rsid w:val="00006CDB"/>
    <w:rsid w:val="00006DC5"/>
    <w:rsid w:val="000071DF"/>
    <w:rsid w:val="000071EE"/>
    <w:rsid w:val="0000720D"/>
    <w:rsid w:val="0000765D"/>
    <w:rsid w:val="00007700"/>
    <w:rsid w:val="00007900"/>
    <w:rsid w:val="00007F0A"/>
    <w:rsid w:val="00010144"/>
    <w:rsid w:val="00010455"/>
    <w:rsid w:val="00010641"/>
    <w:rsid w:val="00010C2F"/>
    <w:rsid w:val="000114F5"/>
    <w:rsid w:val="000114FD"/>
    <w:rsid w:val="00011804"/>
    <w:rsid w:val="00012260"/>
    <w:rsid w:val="000123D3"/>
    <w:rsid w:val="00012433"/>
    <w:rsid w:val="000126CB"/>
    <w:rsid w:val="00012B97"/>
    <w:rsid w:val="0001307E"/>
    <w:rsid w:val="0001368F"/>
    <w:rsid w:val="00013799"/>
    <w:rsid w:val="00013874"/>
    <w:rsid w:val="00013C5C"/>
    <w:rsid w:val="00013D6B"/>
    <w:rsid w:val="00013E12"/>
    <w:rsid w:val="00014458"/>
    <w:rsid w:val="00014515"/>
    <w:rsid w:val="000145E8"/>
    <w:rsid w:val="00014863"/>
    <w:rsid w:val="0001531E"/>
    <w:rsid w:val="00015453"/>
    <w:rsid w:val="00015CD3"/>
    <w:rsid w:val="0001684B"/>
    <w:rsid w:val="00016AE2"/>
    <w:rsid w:val="00017D89"/>
    <w:rsid w:val="00020C25"/>
    <w:rsid w:val="00020F8B"/>
    <w:rsid w:val="00021165"/>
    <w:rsid w:val="000212E7"/>
    <w:rsid w:val="00021737"/>
    <w:rsid w:val="0002351E"/>
    <w:rsid w:val="00023782"/>
    <w:rsid w:val="000237C4"/>
    <w:rsid w:val="00023FF8"/>
    <w:rsid w:val="00025585"/>
    <w:rsid w:val="00025A1A"/>
    <w:rsid w:val="00025D24"/>
    <w:rsid w:val="00025E48"/>
    <w:rsid w:val="0002618F"/>
    <w:rsid w:val="00027DE2"/>
    <w:rsid w:val="00027FBC"/>
    <w:rsid w:val="0003010E"/>
    <w:rsid w:val="00030268"/>
    <w:rsid w:val="00030B46"/>
    <w:rsid w:val="00030F44"/>
    <w:rsid w:val="00031E74"/>
    <w:rsid w:val="00031F2E"/>
    <w:rsid w:val="00031FFC"/>
    <w:rsid w:val="00032557"/>
    <w:rsid w:val="00032787"/>
    <w:rsid w:val="000327AA"/>
    <w:rsid w:val="00033A51"/>
    <w:rsid w:val="00033E4F"/>
    <w:rsid w:val="00033ED7"/>
    <w:rsid w:val="00034CF3"/>
    <w:rsid w:val="00035597"/>
    <w:rsid w:val="00035A8F"/>
    <w:rsid w:val="00035B47"/>
    <w:rsid w:val="00036310"/>
    <w:rsid w:val="000366C5"/>
    <w:rsid w:val="00036A74"/>
    <w:rsid w:val="00037171"/>
    <w:rsid w:val="00037757"/>
    <w:rsid w:val="00037E6E"/>
    <w:rsid w:val="00040051"/>
    <w:rsid w:val="00040179"/>
    <w:rsid w:val="0004042D"/>
    <w:rsid w:val="0004085C"/>
    <w:rsid w:val="000408EA"/>
    <w:rsid w:val="000409EB"/>
    <w:rsid w:val="00040A89"/>
    <w:rsid w:val="000414DE"/>
    <w:rsid w:val="0004175E"/>
    <w:rsid w:val="00042BE3"/>
    <w:rsid w:val="00043547"/>
    <w:rsid w:val="000438B2"/>
    <w:rsid w:val="00043CDC"/>
    <w:rsid w:val="000445DF"/>
    <w:rsid w:val="00044B3F"/>
    <w:rsid w:val="00044D11"/>
    <w:rsid w:val="00044F53"/>
    <w:rsid w:val="000450ED"/>
    <w:rsid w:val="00045436"/>
    <w:rsid w:val="000457A3"/>
    <w:rsid w:val="00045964"/>
    <w:rsid w:val="000462EB"/>
    <w:rsid w:val="00046607"/>
    <w:rsid w:val="00046856"/>
    <w:rsid w:val="000474B0"/>
    <w:rsid w:val="000478CC"/>
    <w:rsid w:val="00047A84"/>
    <w:rsid w:val="00047C51"/>
    <w:rsid w:val="00047D04"/>
    <w:rsid w:val="00050244"/>
    <w:rsid w:val="00050889"/>
    <w:rsid w:val="00050E93"/>
    <w:rsid w:val="00051247"/>
    <w:rsid w:val="00051394"/>
    <w:rsid w:val="000513F1"/>
    <w:rsid w:val="00051656"/>
    <w:rsid w:val="000516E3"/>
    <w:rsid w:val="0005170F"/>
    <w:rsid w:val="00052286"/>
    <w:rsid w:val="0005249D"/>
    <w:rsid w:val="00052592"/>
    <w:rsid w:val="00053087"/>
    <w:rsid w:val="00053246"/>
    <w:rsid w:val="000532A5"/>
    <w:rsid w:val="000532CE"/>
    <w:rsid w:val="00053A54"/>
    <w:rsid w:val="000541BB"/>
    <w:rsid w:val="00054A97"/>
    <w:rsid w:val="00055392"/>
    <w:rsid w:val="00055868"/>
    <w:rsid w:val="000559A0"/>
    <w:rsid w:val="000559AF"/>
    <w:rsid w:val="00055B3A"/>
    <w:rsid w:val="00055D70"/>
    <w:rsid w:val="0005652D"/>
    <w:rsid w:val="00056A4E"/>
    <w:rsid w:val="00056D3B"/>
    <w:rsid w:val="00057E93"/>
    <w:rsid w:val="000603C2"/>
    <w:rsid w:val="000604B7"/>
    <w:rsid w:val="000606E4"/>
    <w:rsid w:val="0006082A"/>
    <w:rsid w:val="0006084A"/>
    <w:rsid w:val="0006132B"/>
    <w:rsid w:val="00061721"/>
    <w:rsid w:val="00061BFF"/>
    <w:rsid w:val="00061CF1"/>
    <w:rsid w:val="00061E6D"/>
    <w:rsid w:val="00062274"/>
    <w:rsid w:val="000625C2"/>
    <w:rsid w:val="000629D9"/>
    <w:rsid w:val="00063DAF"/>
    <w:rsid w:val="00063F15"/>
    <w:rsid w:val="00064259"/>
    <w:rsid w:val="00064CC2"/>
    <w:rsid w:val="00064EDA"/>
    <w:rsid w:val="000655E4"/>
    <w:rsid w:val="00065726"/>
    <w:rsid w:val="000658F4"/>
    <w:rsid w:val="00065F1F"/>
    <w:rsid w:val="000663CF"/>
    <w:rsid w:val="00066449"/>
    <w:rsid w:val="000667C3"/>
    <w:rsid w:val="00066DF2"/>
    <w:rsid w:val="00066E5E"/>
    <w:rsid w:val="00066E69"/>
    <w:rsid w:val="0006795D"/>
    <w:rsid w:val="00067D7A"/>
    <w:rsid w:val="0007043E"/>
    <w:rsid w:val="00070C6F"/>
    <w:rsid w:val="000711D6"/>
    <w:rsid w:val="000713FE"/>
    <w:rsid w:val="000714C4"/>
    <w:rsid w:val="000716DD"/>
    <w:rsid w:val="00071C1B"/>
    <w:rsid w:val="00071FED"/>
    <w:rsid w:val="00072366"/>
    <w:rsid w:val="000723EB"/>
    <w:rsid w:val="0007298E"/>
    <w:rsid w:val="000729D9"/>
    <w:rsid w:val="00072E7E"/>
    <w:rsid w:val="0007357C"/>
    <w:rsid w:val="00073711"/>
    <w:rsid w:val="00074243"/>
    <w:rsid w:val="00074473"/>
    <w:rsid w:val="000744A4"/>
    <w:rsid w:val="0007453E"/>
    <w:rsid w:val="000749A2"/>
    <w:rsid w:val="0007595C"/>
    <w:rsid w:val="0007663C"/>
    <w:rsid w:val="000766C9"/>
    <w:rsid w:val="0007671E"/>
    <w:rsid w:val="00076881"/>
    <w:rsid w:val="00076B5E"/>
    <w:rsid w:val="00076BD9"/>
    <w:rsid w:val="00077033"/>
    <w:rsid w:val="00080EFA"/>
    <w:rsid w:val="00081053"/>
    <w:rsid w:val="000816FC"/>
    <w:rsid w:val="000817D2"/>
    <w:rsid w:val="00081B48"/>
    <w:rsid w:val="00081D4A"/>
    <w:rsid w:val="00081E30"/>
    <w:rsid w:val="00081EB2"/>
    <w:rsid w:val="0008296F"/>
    <w:rsid w:val="00082AFE"/>
    <w:rsid w:val="000831E3"/>
    <w:rsid w:val="0008345B"/>
    <w:rsid w:val="0008373A"/>
    <w:rsid w:val="000838F8"/>
    <w:rsid w:val="00084127"/>
    <w:rsid w:val="000842B9"/>
    <w:rsid w:val="000844B4"/>
    <w:rsid w:val="00084E3C"/>
    <w:rsid w:val="000851DD"/>
    <w:rsid w:val="00085DB1"/>
    <w:rsid w:val="00085FAE"/>
    <w:rsid w:val="00086196"/>
    <w:rsid w:val="000900E7"/>
    <w:rsid w:val="00090330"/>
    <w:rsid w:val="000912FC"/>
    <w:rsid w:val="000914D7"/>
    <w:rsid w:val="0009194F"/>
    <w:rsid w:val="00092041"/>
    <w:rsid w:val="000921E1"/>
    <w:rsid w:val="00092352"/>
    <w:rsid w:val="0009295F"/>
    <w:rsid w:val="00092A3A"/>
    <w:rsid w:val="00092BDE"/>
    <w:rsid w:val="00093857"/>
    <w:rsid w:val="00094208"/>
    <w:rsid w:val="000948CB"/>
    <w:rsid w:val="00094A0A"/>
    <w:rsid w:val="00095311"/>
    <w:rsid w:val="00095B48"/>
    <w:rsid w:val="00095F8D"/>
    <w:rsid w:val="00095FE7"/>
    <w:rsid w:val="00096D74"/>
    <w:rsid w:val="0009706B"/>
    <w:rsid w:val="0009731C"/>
    <w:rsid w:val="00097574"/>
    <w:rsid w:val="000A0030"/>
    <w:rsid w:val="000A051C"/>
    <w:rsid w:val="000A05EC"/>
    <w:rsid w:val="000A062D"/>
    <w:rsid w:val="000A07B7"/>
    <w:rsid w:val="000A0808"/>
    <w:rsid w:val="000A0DF2"/>
    <w:rsid w:val="000A0FFE"/>
    <w:rsid w:val="000A23DF"/>
    <w:rsid w:val="000A28FC"/>
    <w:rsid w:val="000A2E1E"/>
    <w:rsid w:val="000A3312"/>
    <w:rsid w:val="000A3ACB"/>
    <w:rsid w:val="000A3AE9"/>
    <w:rsid w:val="000A4ABF"/>
    <w:rsid w:val="000A4ACC"/>
    <w:rsid w:val="000A4DE1"/>
    <w:rsid w:val="000A4F3A"/>
    <w:rsid w:val="000A5375"/>
    <w:rsid w:val="000A6AFA"/>
    <w:rsid w:val="000A6D56"/>
    <w:rsid w:val="000A709B"/>
    <w:rsid w:val="000A7402"/>
    <w:rsid w:val="000A7AC6"/>
    <w:rsid w:val="000A7FDC"/>
    <w:rsid w:val="000B00C6"/>
    <w:rsid w:val="000B0329"/>
    <w:rsid w:val="000B035C"/>
    <w:rsid w:val="000B0556"/>
    <w:rsid w:val="000B08AE"/>
    <w:rsid w:val="000B1154"/>
    <w:rsid w:val="000B1270"/>
    <w:rsid w:val="000B1B74"/>
    <w:rsid w:val="000B1E40"/>
    <w:rsid w:val="000B201B"/>
    <w:rsid w:val="000B38B9"/>
    <w:rsid w:val="000B3BDE"/>
    <w:rsid w:val="000B47E9"/>
    <w:rsid w:val="000B5468"/>
    <w:rsid w:val="000B5522"/>
    <w:rsid w:val="000B5D83"/>
    <w:rsid w:val="000B61EB"/>
    <w:rsid w:val="000B6248"/>
    <w:rsid w:val="000B63CB"/>
    <w:rsid w:val="000B6DB3"/>
    <w:rsid w:val="000B6E2F"/>
    <w:rsid w:val="000B7D0E"/>
    <w:rsid w:val="000B7D10"/>
    <w:rsid w:val="000C007B"/>
    <w:rsid w:val="000C0422"/>
    <w:rsid w:val="000C065D"/>
    <w:rsid w:val="000C0747"/>
    <w:rsid w:val="000C13CD"/>
    <w:rsid w:val="000C1B36"/>
    <w:rsid w:val="000C1BF9"/>
    <w:rsid w:val="000C1C2B"/>
    <w:rsid w:val="000C1D1C"/>
    <w:rsid w:val="000C1EAA"/>
    <w:rsid w:val="000C1EEA"/>
    <w:rsid w:val="000C32BA"/>
    <w:rsid w:val="000C3307"/>
    <w:rsid w:val="000C3D8D"/>
    <w:rsid w:val="000C4430"/>
    <w:rsid w:val="000C4AD3"/>
    <w:rsid w:val="000C4F8C"/>
    <w:rsid w:val="000C5140"/>
    <w:rsid w:val="000C5232"/>
    <w:rsid w:val="000C52A7"/>
    <w:rsid w:val="000C56F3"/>
    <w:rsid w:val="000C575F"/>
    <w:rsid w:val="000C5C93"/>
    <w:rsid w:val="000C6191"/>
    <w:rsid w:val="000C65DC"/>
    <w:rsid w:val="000C6824"/>
    <w:rsid w:val="000C6990"/>
    <w:rsid w:val="000C7CB3"/>
    <w:rsid w:val="000D090C"/>
    <w:rsid w:val="000D0CF6"/>
    <w:rsid w:val="000D111C"/>
    <w:rsid w:val="000D155F"/>
    <w:rsid w:val="000D2456"/>
    <w:rsid w:val="000D25E7"/>
    <w:rsid w:val="000D2E25"/>
    <w:rsid w:val="000D353A"/>
    <w:rsid w:val="000D35D3"/>
    <w:rsid w:val="000D36EF"/>
    <w:rsid w:val="000D38FA"/>
    <w:rsid w:val="000D3D6B"/>
    <w:rsid w:val="000D3FE7"/>
    <w:rsid w:val="000D427D"/>
    <w:rsid w:val="000D48C2"/>
    <w:rsid w:val="000D4912"/>
    <w:rsid w:val="000D4D9F"/>
    <w:rsid w:val="000D583F"/>
    <w:rsid w:val="000D5CE1"/>
    <w:rsid w:val="000D5EA0"/>
    <w:rsid w:val="000D6B65"/>
    <w:rsid w:val="000D78D8"/>
    <w:rsid w:val="000E0B1B"/>
    <w:rsid w:val="000E0DB5"/>
    <w:rsid w:val="000E2874"/>
    <w:rsid w:val="000E3293"/>
    <w:rsid w:val="000E3B2D"/>
    <w:rsid w:val="000E41AA"/>
    <w:rsid w:val="000E4234"/>
    <w:rsid w:val="000E4473"/>
    <w:rsid w:val="000E48E8"/>
    <w:rsid w:val="000E49FE"/>
    <w:rsid w:val="000E4E87"/>
    <w:rsid w:val="000E523C"/>
    <w:rsid w:val="000E54A1"/>
    <w:rsid w:val="000E54C7"/>
    <w:rsid w:val="000E5B09"/>
    <w:rsid w:val="000E5ED9"/>
    <w:rsid w:val="000E66F2"/>
    <w:rsid w:val="000E6F9D"/>
    <w:rsid w:val="000E7428"/>
    <w:rsid w:val="000E7649"/>
    <w:rsid w:val="000E76A4"/>
    <w:rsid w:val="000E7C82"/>
    <w:rsid w:val="000F00F5"/>
    <w:rsid w:val="000F03A1"/>
    <w:rsid w:val="000F0CAC"/>
    <w:rsid w:val="000F0CD1"/>
    <w:rsid w:val="000F1162"/>
    <w:rsid w:val="000F1187"/>
    <w:rsid w:val="000F120B"/>
    <w:rsid w:val="000F16BF"/>
    <w:rsid w:val="000F170E"/>
    <w:rsid w:val="000F1A1A"/>
    <w:rsid w:val="000F2045"/>
    <w:rsid w:val="000F22CD"/>
    <w:rsid w:val="000F24B2"/>
    <w:rsid w:val="000F2E8E"/>
    <w:rsid w:val="000F39CD"/>
    <w:rsid w:val="000F3AE3"/>
    <w:rsid w:val="000F3D38"/>
    <w:rsid w:val="000F3D8E"/>
    <w:rsid w:val="000F3DE9"/>
    <w:rsid w:val="000F43DB"/>
    <w:rsid w:val="000F48E8"/>
    <w:rsid w:val="000F4BAB"/>
    <w:rsid w:val="000F4FB0"/>
    <w:rsid w:val="000F50AA"/>
    <w:rsid w:val="000F5EDD"/>
    <w:rsid w:val="000F6815"/>
    <w:rsid w:val="000F70EE"/>
    <w:rsid w:val="000F7727"/>
    <w:rsid w:val="000F77C1"/>
    <w:rsid w:val="000F7814"/>
    <w:rsid w:val="000F7986"/>
    <w:rsid w:val="000F7D14"/>
    <w:rsid w:val="000F7D73"/>
    <w:rsid w:val="0010017D"/>
    <w:rsid w:val="00100C0F"/>
    <w:rsid w:val="00100F7D"/>
    <w:rsid w:val="00101456"/>
    <w:rsid w:val="001019C8"/>
    <w:rsid w:val="0010210D"/>
    <w:rsid w:val="00102472"/>
    <w:rsid w:val="001025A5"/>
    <w:rsid w:val="001028B8"/>
    <w:rsid w:val="001032AD"/>
    <w:rsid w:val="00103468"/>
    <w:rsid w:val="001037DE"/>
    <w:rsid w:val="0010410B"/>
    <w:rsid w:val="00104151"/>
    <w:rsid w:val="001046DB"/>
    <w:rsid w:val="00104A37"/>
    <w:rsid w:val="00104F29"/>
    <w:rsid w:val="00104F53"/>
    <w:rsid w:val="001055FB"/>
    <w:rsid w:val="00105B46"/>
    <w:rsid w:val="00105EF8"/>
    <w:rsid w:val="001063BB"/>
    <w:rsid w:val="00106741"/>
    <w:rsid w:val="0010691C"/>
    <w:rsid w:val="00106C0B"/>
    <w:rsid w:val="00106D81"/>
    <w:rsid w:val="00107205"/>
    <w:rsid w:val="001076DF"/>
    <w:rsid w:val="00107832"/>
    <w:rsid w:val="001103AB"/>
    <w:rsid w:val="00110B68"/>
    <w:rsid w:val="00111476"/>
    <w:rsid w:val="001115EC"/>
    <w:rsid w:val="00112064"/>
    <w:rsid w:val="00112546"/>
    <w:rsid w:val="001126E7"/>
    <w:rsid w:val="0011281D"/>
    <w:rsid w:val="00112B55"/>
    <w:rsid w:val="00112BF3"/>
    <w:rsid w:val="00112D02"/>
    <w:rsid w:val="00112DCA"/>
    <w:rsid w:val="00112E79"/>
    <w:rsid w:val="00113334"/>
    <w:rsid w:val="001135C3"/>
    <w:rsid w:val="00113A88"/>
    <w:rsid w:val="001145F2"/>
    <w:rsid w:val="0011478D"/>
    <w:rsid w:val="00115713"/>
    <w:rsid w:val="00115B7A"/>
    <w:rsid w:val="00115CC6"/>
    <w:rsid w:val="00115D7C"/>
    <w:rsid w:val="0011657D"/>
    <w:rsid w:val="00116BBF"/>
    <w:rsid w:val="00116FD5"/>
    <w:rsid w:val="001176C3"/>
    <w:rsid w:val="00117A54"/>
    <w:rsid w:val="00117E63"/>
    <w:rsid w:val="001204F8"/>
    <w:rsid w:val="00120D00"/>
    <w:rsid w:val="00121D2D"/>
    <w:rsid w:val="00122256"/>
    <w:rsid w:val="00122812"/>
    <w:rsid w:val="0012290C"/>
    <w:rsid w:val="00122AC6"/>
    <w:rsid w:val="001235E9"/>
    <w:rsid w:val="00123E5B"/>
    <w:rsid w:val="001241FF"/>
    <w:rsid w:val="00124288"/>
    <w:rsid w:val="001248B2"/>
    <w:rsid w:val="00124E07"/>
    <w:rsid w:val="00125BE8"/>
    <w:rsid w:val="00125E4F"/>
    <w:rsid w:val="00126060"/>
    <w:rsid w:val="001263A4"/>
    <w:rsid w:val="00126F07"/>
    <w:rsid w:val="001271F8"/>
    <w:rsid w:val="00127253"/>
    <w:rsid w:val="00127CE8"/>
    <w:rsid w:val="00130218"/>
    <w:rsid w:val="0013044F"/>
    <w:rsid w:val="00130541"/>
    <w:rsid w:val="00130B44"/>
    <w:rsid w:val="00130D87"/>
    <w:rsid w:val="001312B4"/>
    <w:rsid w:val="0013136D"/>
    <w:rsid w:val="0013177A"/>
    <w:rsid w:val="001318AA"/>
    <w:rsid w:val="001318B4"/>
    <w:rsid w:val="001319DF"/>
    <w:rsid w:val="001323C6"/>
    <w:rsid w:val="001333DE"/>
    <w:rsid w:val="0013355D"/>
    <w:rsid w:val="00133B1A"/>
    <w:rsid w:val="0013459C"/>
    <w:rsid w:val="001346E0"/>
    <w:rsid w:val="00134A2A"/>
    <w:rsid w:val="00134ACE"/>
    <w:rsid w:val="001352A6"/>
    <w:rsid w:val="00135476"/>
    <w:rsid w:val="0013620B"/>
    <w:rsid w:val="001363D6"/>
    <w:rsid w:val="001370B5"/>
    <w:rsid w:val="0013719B"/>
    <w:rsid w:val="00137423"/>
    <w:rsid w:val="001375EB"/>
    <w:rsid w:val="0013784C"/>
    <w:rsid w:val="00137B25"/>
    <w:rsid w:val="001404BA"/>
    <w:rsid w:val="001408FE"/>
    <w:rsid w:val="00141127"/>
    <w:rsid w:val="001411FC"/>
    <w:rsid w:val="00142993"/>
    <w:rsid w:val="00143009"/>
    <w:rsid w:val="0014314F"/>
    <w:rsid w:val="0014323B"/>
    <w:rsid w:val="001437CA"/>
    <w:rsid w:val="00143E20"/>
    <w:rsid w:val="00143E46"/>
    <w:rsid w:val="00144086"/>
    <w:rsid w:val="001446DD"/>
    <w:rsid w:val="001449AF"/>
    <w:rsid w:val="00144F80"/>
    <w:rsid w:val="00144F94"/>
    <w:rsid w:val="00144FAF"/>
    <w:rsid w:val="001450D9"/>
    <w:rsid w:val="0014533E"/>
    <w:rsid w:val="0014571D"/>
    <w:rsid w:val="00145EF4"/>
    <w:rsid w:val="001462C3"/>
    <w:rsid w:val="001462F4"/>
    <w:rsid w:val="00146AEF"/>
    <w:rsid w:val="00146C17"/>
    <w:rsid w:val="00146CA4"/>
    <w:rsid w:val="0014754D"/>
    <w:rsid w:val="00147C21"/>
    <w:rsid w:val="00147E6C"/>
    <w:rsid w:val="0015021A"/>
    <w:rsid w:val="00150B2F"/>
    <w:rsid w:val="0015180C"/>
    <w:rsid w:val="00151883"/>
    <w:rsid w:val="00151A70"/>
    <w:rsid w:val="00151B07"/>
    <w:rsid w:val="00151FCE"/>
    <w:rsid w:val="0015283B"/>
    <w:rsid w:val="00152E42"/>
    <w:rsid w:val="00152EF2"/>
    <w:rsid w:val="00153167"/>
    <w:rsid w:val="00153EAD"/>
    <w:rsid w:val="00153F90"/>
    <w:rsid w:val="00154293"/>
    <w:rsid w:val="00154341"/>
    <w:rsid w:val="00154ED8"/>
    <w:rsid w:val="00154F2F"/>
    <w:rsid w:val="001550CC"/>
    <w:rsid w:val="001568B1"/>
    <w:rsid w:val="00157FD9"/>
    <w:rsid w:val="0016039B"/>
    <w:rsid w:val="001608E8"/>
    <w:rsid w:val="001610D9"/>
    <w:rsid w:val="00161258"/>
    <w:rsid w:val="00161301"/>
    <w:rsid w:val="00161588"/>
    <w:rsid w:val="00161C9D"/>
    <w:rsid w:val="00161E4A"/>
    <w:rsid w:val="0016245C"/>
    <w:rsid w:val="00162740"/>
    <w:rsid w:val="00162D70"/>
    <w:rsid w:val="001639BA"/>
    <w:rsid w:val="00163AF3"/>
    <w:rsid w:val="00163C5F"/>
    <w:rsid w:val="0016431F"/>
    <w:rsid w:val="001644D2"/>
    <w:rsid w:val="00165B3A"/>
    <w:rsid w:val="00165DCF"/>
    <w:rsid w:val="001667AC"/>
    <w:rsid w:val="00166DEB"/>
    <w:rsid w:val="00166E53"/>
    <w:rsid w:val="00166FFC"/>
    <w:rsid w:val="001679CE"/>
    <w:rsid w:val="001714AA"/>
    <w:rsid w:val="00171567"/>
    <w:rsid w:val="001716A4"/>
    <w:rsid w:val="00172207"/>
    <w:rsid w:val="00172D12"/>
    <w:rsid w:val="00172D74"/>
    <w:rsid w:val="00173104"/>
    <w:rsid w:val="001731B9"/>
    <w:rsid w:val="00173331"/>
    <w:rsid w:val="00173E25"/>
    <w:rsid w:val="00174069"/>
    <w:rsid w:val="001743B1"/>
    <w:rsid w:val="00175423"/>
    <w:rsid w:val="001754BC"/>
    <w:rsid w:val="001757C0"/>
    <w:rsid w:val="00175A25"/>
    <w:rsid w:val="00175C56"/>
    <w:rsid w:val="00175D6E"/>
    <w:rsid w:val="00175DF6"/>
    <w:rsid w:val="00175F9A"/>
    <w:rsid w:val="0017614C"/>
    <w:rsid w:val="0017615F"/>
    <w:rsid w:val="001761BF"/>
    <w:rsid w:val="001767CF"/>
    <w:rsid w:val="00176864"/>
    <w:rsid w:val="00176A85"/>
    <w:rsid w:val="00176AE6"/>
    <w:rsid w:val="001776A5"/>
    <w:rsid w:val="0017789C"/>
    <w:rsid w:val="0017794C"/>
    <w:rsid w:val="001779DE"/>
    <w:rsid w:val="0018003B"/>
    <w:rsid w:val="001800C3"/>
    <w:rsid w:val="00180B67"/>
    <w:rsid w:val="00180DE5"/>
    <w:rsid w:val="00181582"/>
    <w:rsid w:val="0018158A"/>
    <w:rsid w:val="00182A22"/>
    <w:rsid w:val="00183232"/>
    <w:rsid w:val="00183A9F"/>
    <w:rsid w:val="00183CF8"/>
    <w:rsid w:val="0018410E"/>
    <w:rsid w:val="00184A55"/>
    <w:rsid w:val="00184F26"/>
    <w:rsid w:val="00184F2F"/>
    <w:rsid w:val="00185211"/>
    <w:rsid w:val="001854CA"/>
    <w:rsid w:val="00185BAF"/>
    <w:rsid w:val="00186049"/>
    <w:rsid w:val="001860C0"/>
    <w:rsid w:val="00186E18"/>
    <w:rsid w:val="001877D0"/>
    <w:rsid w:val="00187AF4"/>
    <w:rsid w:val="00187F18"/>
    <w:rsid w:val="00187FCF"/>
    <w:rsid w:val="001903BD"/>
    <w:rsid w:val="0019073E"/>
    <w:rsid w:val="00190A7E"/>
    <w:rsid w:val="001911F1"/>
    <w:rsid w:val="00191510"/>
    <w:rsid w:val="0019153C"/>
    <w:rsid w:val="001922AA"/>
    <w:rsid w:val="00192342"/>
    <w:rsid w:val="00192504"/>
    <w:rsid w:val="0019279A"/>
    <w:rsid w:val="001928B5"/>
    <w:rsid w:val="00192BA3"/>
    <w:rsid w:val="0019306B"/>
    <w:rsid w:val="0019306E"/>
    <w:rsid w:val="00193712"/>
    <w:rsid w:val="00193A5C"/>
    <w:rsid w:val="00193CE6"/>
    <w:rsid w:val="00194336"/>
    <w:rsid w:val="001944D8"/>
    <w:rsid w:val="001945B7"/>
    <w:rsid w:val="00194AD8"/>
    <w:rsid w:val="00195942"/>
    <w:rsid w:val="00195DF5"/>
    <w:rsid w:val="001960D9"/>
    <w:rsid w:val="0019746F"/>
    <w:rsid w:val="0019748E"/>
    <w:rsid w:val="0019798B"/>
    <w:rsid w:val="00197DC7"/>
    <w:rsid w:val="001A007F"/>
    <w:rsid w:val="001A08EB"/>
    <w:rsid w:val="001A09DA"/>
    <w:rsid w:val="001A09FA"/>
    <w:rsid w:val="001A0B1D"/>
    <w:rsid w:val="001A0FCD"/>
    <w:rsid w:val="001A10BD"/>
    <w:rsid w:val="001A22D4"/>
    <w:rsid w:val="001A292D"/>
    <w:rsid w:val="001A29A3"/>
    <w:rsid w:val="001A2C75"/>
    <w:rsid w:val="001A2D16"/>
    <w:rsid w:val="001A2DA2"/>
    <w:rsid w:val="001A2EE8"/>
    <w:rsid w:val="001A389F"/>
    <w:rsid w:val="001A3C1E"/>
    <w:rsid w:val="001A3E4B"/>
    <w:rsid w:val="001A4266"/>
    <w:rsid w:val="001A455D"/>
    <w:rsid w:val="001A48F7"/>
    <w:rsid w:val="001A4CF5"/>
    <w:rsid w:val="001A4DCB"/>
    <w:rsid w:val="001A6223"/>
    <w:rsid w:val="001A68DC"/>
    <w:rsid w:val="001A6973"/>
    <w:rsid w:val="001A6E16"/>
    <w:rsid w:val="001A7027"/>
    <w:rsid w:val="001A75C9"/>
    <w:rsid w:val="001B0C0F"/>
    <w:rsid w:val="001B0C27"/>
    <w:rsid w:val="001B185A"/>
    <w:rsid w:val="001B1BB0"/>
    <w:rsid w:val="001B1CC0"/>
    <w:rsid w:val="001B3341"/>
    <w:rsid w:val="001B35A1"/>
    <w:rsid w:val="001B3B26"/>
    <w:rsid w:val="001B4050"/>
    <w:rsid w:val="001B41CC"/>
    <w:rsid w:val="001B4455"/>
    <w:rsid w:val="001B49BA"/>
    <w:rsid w:val="001B50EE"/>
    <w:rsid w:val="001B514B"/>
    <w:rsid w:val="001B53AF"/>
    <w:rsid w:val="001B5E22"/>
    <w:rsid w:val="001B67A1"/>
    <w:rsid w:val="001B6DFC"/>
    <w:rsid w:val="001B71D2"/>
    <w:rsid w:val="001B73A6"/>
    <w:rsid w:val="001B746B"/>
    <w:rsid w:val="001B7A72"/>
    <w:rsid w:val="001B7D6A"/>
    <w:rsid w:val="001C1073"/>
    <w:rsid w:val="001C120D"/>
    <w:rsid w:val="001C1436"/>
    <w:rsid w:val="001C15DF"/>
    <w:rsid w:val="001C183E"/>
    <w:rsid w:val="001C18BE"/>
    <w:rsid w:val="001C1D60"/>
    <w:rsid w:val="001C203B"/>
    <w:rsid w:val="001C297D"/>
    <w:rsid w:val="001C2ADC"/>
    <w:rsid w:val="001C2B9A"/>
    <w:rsid w:val="001C2BEE"/>
    <w:rsid w:val="001C30A9"/>
    <w:rsid w:val="001C3487"/>
    <w:rsid w:val="001C4463"/>
    <w:rsid w:val="001C4946"/>
    <w:rsid w:val="001C49E4"/>
    <w:rsid w:val="001C4E3E"/>
    <w:rsid w:val="001C52DF"/>
    <w:rsid w:val="001C5C93"/>
    <w:rsid w:val="001C5FBF"/>
    <w:rsid w:val="001C60DC"/>
    <w:rsid w:val="001C61D7"/>
    <w:rsid w:val="001C63D0"/>
    <w:rsid w:val="001C6439"/>
    <w:rsid w:val="001C6640"/>
    <w:rsid w:val="001C6AB6"/>
    <w:rsid w:val="001C6D16"/>
    <w:rsid w:val="001C7256"/>
    <w:rsid w:val="001C769E"/>
    <w:rsid w:val="001C775F"/>
    <w:rsid w:val="001C7C26"/>
    <w:rsid w:val="001D0098"/>
    <w:rsid w:val="001D00A0"/>
    <w:rsid w:val="001D01E9"/>
    <w:rsid w:val="001D0F24"/>
    <w:rsid w:val="001D10C5"/>
    <w:rsid w:val="001D127A"/>
    <w:rsid w:val="001D13CF"/>
    <w:rsid w:val="001D1C39"/>
    <w:rsid w:val="001D22C0"/>
    <w:rsid w:val="001D25AF"/>
    <w:rsid w:val="001D27FC"/>
    <w:rsid w:val="001D2924"/>
    <w:rsid w:val="001D38AB"/>
    <w:rsid w:val="001D3ADF"/>
    <w:rsid w:val="001D42BF"/>
    <w:rsid w:val="001D45E9"/>
    <w:rsid w:val="001D5117"/>
    <w:rsid w:val="001D5875"/>
    <w:rsid w:val="001D591E"/>
    <w:rsid w:val="001D5BA6"/>
    <w:rsid w:val="001D5F2A"/>
    <w:rsid w:val="001D6B17"/>
    <w:rsid w:val="001D6D8B"/>
    <w:rsid w:val="001D72D2"/>
    <w:rsid w:val="001D78B0"/>
    <w:rsid w:val="001D7BC9"/>
    <w:rsid w:val="001E002F"/>
    <w:rsid w:val="001E0254"/>
    <w:rsid w:val="001E04C1"/>
    <w:rsid w:val="001E052A"/>
    <w:rsid w:val="001E0E28"/>
    <w:rsid w:val="001E1BF4"/>
    <w:rsid w:val="001E1CC3"/>
    <w:rsid w:val="001E2405"/>
    <w:rsid w:val="001E2927"/>
    <w:rsid w:val="001E2C28"/>
    <w:rsid w:val="001E3559"/>
    <w:rsid w:val="001E3747"/>
    <w:rsid w:val="001E3B68"/>
    <w:rsid w:val="001E3DF4"/>
    <w:rsid w:val="001E4F28"/>
    <w:rsid w:val="001E531D"/>
    <w:rsid w:val="001E5D34"/>
    <w:rsid w:val="001E6149"/>
    <w:rsid w:val="001E61E6"/>
    <w:rsid w:val="001E6484"/>
    <w:rsid w:val="001E7347"/>
    <w:rsid w:val="001E76EB"/>
    <w:rsid w:val="001F00B0"/>
    <w:rsid w:val="001F0BDD"/>
    <w:rsid w:val="001F16DA"/>
    <w:rsid w:val="001F18DE"/>
    <w:rsid w:val="001F204B"/>
    <w:rsid w:val="001F21D7"/>
    <w:rsid w:val="001F29E9"/>
    <w:rsid w:val="001F2F4B"/>
    <w:rsid w:val="001F317E"/>
    <w:rsid w:val="001F3224"/>
    <w:rsid w:val="001F3338"/>
    <w:rsid w:val="001F3494"/>
    <w:rsid w:val="001F3533"/>
    <w:rsid w:val="001F39C4"/>
    <w:rsid w:val="001F39DC"/>
    <w:rsid w:val="001F4720"/>
    <w:rsid w:val="001F49BD"/>
    <w:rsid w:val="001F4DEE"/>
    <w:rsid w:val="001F53C4"/>
    <w:rsid w:val="001F5E5B"/>
    <w:rsid w:val="001F5EA4"/>
    <w:rsid w:val="001F630E"/>
    <w:rsid w:val="001F69D8"/>
    <w:rsid w:val="001F6BE5"/>
    <w:rsid w:val="001F6CE9"/>
    <w:rsid w:val="001F6E0C"/>
    <w:rsid w:val="001F71A9"/>
    <w:rsid w:val="001F72DE"/>
    <w:rsid w:val="001F748D"/>
    <w:rsid w:val="001F7596"/>
    <w:rsid w:val="001F7C91"/>
    <w:rsid w:val="001F7D2C"/>
    <w:rsid w:val="001F7F5E"/>
    <w:rsid w:val="00200195"/>
    <w:rsid w:val="002001EF"/>
    <w:rsid w:val="00201523"/>
    <w:rsid w:val="00201FFB"/>
    <w:rsid w:val="00202AF5"/>
    <w:rsid w:val="00202F05"/>
    <w:rsid w:val="00203EF0"/>
    <w:rsid w:val="00204A06"/>
    <w:rsid w:val="00204E96"/>
    <w:rsid w:val="00205694"/>
    <w:rsid w:val="00205900"/>
    <w:rsid w:val="00205DE7"/>
    <w:rsid w:val="00206402"/>
    <w:rsid w:val="002064AE"/>
    <w:rsid w:val="00206A84"/>
    <w:rsid w:val="0020766B"/>
    <w:rsid w:val="00207AFF"/>
    <w:rsid w:val="00207D8F"/>
    <w:rsid w:val="00207DA9"/>
    <w:rsid w:val="0021008B"/>
    <w:rsid w:val="002105C4"/>
    <w:rsid w:val="00212E5A"/>
    <w:rsid w:val="00212F78"/>
    <w:rsid w:val="0021393C"/>
    <w:rsid w:val="00213C33"/>
    <w:rsid w:val="002144F3"/>
    <w:rsid w:val="0021491A"/>
    <w:rsid w:val="0021623B"/>
    <w:rsid w:val="002162CA"/>
    <w:rsid w:val="00216352"/>
    <w:rsid w:val="002170E2"/>
    <w:rsid w:val="0021717E"/>
    <w:rsid w:val="0021732F"/>
    <w:rsid w:val="002173DF"/>
    <w:rsid w:val="002174F0"/>
    <w:rsid w:val="0021776B"/>
    <w:rsid w:val="00217B89"/>
    <w:rsid w:val="00217BFE"/>
    <w:rsid w:val="002202BF"/>
    <w:rsid w:val="00220A55"/>
    <w:rsid w:val="00221230"/>
    <w:rsid w:val="002212A2"/>
    <w:rsid w:val="002212F5"/>
    <w:rsid w:val="00221501"/>
    <w:rsid w:val="00221682"/>
    <w:rsid w:val="002219D0"/>
    <w:rsid w:val="002221CB"/>
    <w:rsid w:val="0022306D"/>
    <w:rsid w:val="002236AF"/>
    <w:rsid w:val="00223700"/>
    <w:rsid w:val="00223703"/>
    <w:rsid w:val="00223AA2"/>
    <w:rsid w:val="00223F32"/>
    <w:rsid w:val="00224133"/>
    <w:rsid w:val="002243EF"/>
    <w:rsid w:val="0022457A"/>
    <w:rsid w:val="002250F4"/>
    <w:rsid w:val="00225126"/>
    <w:rsid w:val="002252AC"/>
    <w:rsid w:val="0022554A"/>
    <w:rsid w:val="002255FB"/>
    <w:rsid w:val="002257AC"/>
    <w:rsid w:val="00225C19"/>
    <w:rsid w:val="00226724"/>
    <w:rsid w:val="002267B1"/>
    <w:rsid w:val="00227B00"/>
    <w:rsid w:val="00227E46"/>
    <w:rsid w:val="00230589"/>
    <w:rsid w:val="00230E51"/>
    <w:rsid w:val="0023151E"/>
    <w:rsid w:val="00232655"/>
    <w:rsid w:val="00232A69"/>
    <w:rsid w:val="00232C05"/>
    <w:rsid w:val="0023332C"/>
    <w:rsid w:val="002338EB"/>
    <w:rsid w:val="00233BD4"/>
    <w:rsid w:val="002344CE"/>
    <w:rsid w:val="00234A40"/>
    <w:rsid w:val="002355A2"/>
    <w:rsid w:val="0023574A"/>
    <w:rsid w:val="002357BA"/>
    <w:rsid w:val="00235930"/>
    <w:rsid w:val="0023644C"/>
    <w:rsid w:val="00236AA5"/>
    <w:rsid w:val="00237537"/>
    <w:rsid w:val="00237766"/>
    <w:rsid w:val="00237ABC"/>
    <w:rsid w:val="00237CA0"/>
    <w:rsid w:val="00237FBB"/>
    <w:rsid w:val="00240BCA"/>
    <w:rsid w:val="00240E54"/>
    <w:rsid w:val="00240FCD"/>
    <w:rsid w:val="00240FEA"/>
    <w:rsid w:val="002410C1"/>
    <w:rsid w:val="00241724"/>
    <w:rsid w:val="00241B10"/>
    <w:rsid w:val="00242E62"/>
    <w:rsid w:val="00242EA9"/>
    <w:rsid w:val="002433BE"/>
    <w:rsid w:val="002442F2"/>
    <w:rsid w:val="00244AFA"/>
    <w:rsid w:val="00244C84"/>
    <w:rsid w:val="00245735"/>
    <w:rsid w:val="00245A61"/>
    <w:rsid w:val="00245B1A"/>
    <w:rsid w:val="00245DA2"/>
    <w:rsid w:val="002465D2"/>
    <w:rsid w:val="00246E16"/>
    <w:rsid w:val="00247775"/>
    <w:rsid w:val="0025015F"/>
    <w:rsid w:val="0025122D"/>
    <w:rsid w:val="00251A61"/>
    <w:rsid w:val="00252148"/>
    <w:rsid w:val="002524D0"/>
    <w:rsid w:val="002526DF"/>
    <w:rsid w:val="002526F9"/>
    <w:rsid w:val="0025295F"/>
    <w:rsid w:val="00252DE7"/>
    <w:rsid w:val="00252E13"/>
    <w:rsid w:val="00252EE3"/>
    <w:rsid w:val="00253077"/>
    <w:rsid w:val="00253A49"/>
    <w:rsid w:val="002544C8"/>
    <w:rsid w:val="002546F2"/>
    <w:rsid w:val="00254724"/>
    <w:rsid w:val="00254BE8"/>
    <w:rsid w:val="00254D2D"/>
    <w:rsid w:val="0025572F"/>
    <w:rsid w:val="00255AB5"/>
    <w:rsid w:val="002566A6"/>
    <w:rsid w:val="0025739B"/>
    <w:rsid w:val="0025774A"/>
    <w:rsid w:val="002578CD"/>
    <w:rsid w:val="00260207"/>
    <w:rsid w:val="00260930"/>
    <w:rsid w:val="00260A63"/>
    <w:rsid w:val="00260AD4"/>
    <w:rsid w:val="00260CBD"/>
    <w:rsid w:val="00260CD2"/>
    <w:rsid w:val="00260E63"/>
    <w:rsid w:val="00261102"/>
    <w:rsid w:val="00261633"/>
    <w:rsid w:val="0026199A"/>
    <w:rsid w:val="00261BFE"/>
    <w:rsid w:val="00262362"/>
    <w:rsid w:val="002627B1"/>
    <w:rsid w:val="002628B1"/>
    <w:rsid w:val="00262BEA"/>
    <w:rsid w:val="002637D1"/>
    <w:rsid w:val="002642ED"/>
    <w:rsid w:val="00264392"/>
    <w:rsid w:val="00264465"/>
    <w:rsid w:val="002644AC"/>
    <w:rsid w:val="002648AE"/>
    <w:rsid w:val="00264E55"/>
    <w:rsid w:val="002651D5"/>
    <w:rsid w:val="002652E3"/>
    <w:rsid w:val="002653BB"/>
    <w:rsid w:val="00265432"/>
    <w:rsid w:val="002656A9"/>
    <w:rsid w:val="002657B4"/>
    <w:rsid w:val="00265E3F"/>
    <w:rsid w:val="00265EC1"/>
    <w:rsid w:val="002669B4"/>
    <w:rsid w:val="00266E5D"/>
    <w:rsid w:val="00266E73"/>
    <w:rsid w:val="002708A1"/>
    <w:rsid w:val="00270E1B"/>
    <w:rsid w:val="0027121A"/>
    <w:rsid w:val="00271280"/>
    <w:rsid w:val="00272640"/>
    <w:rsid w:val="00272767"/>
    <w:rsid w:val="00272FFA"/>
    <w:rsid w:val="0027342E"/>
    <w:rsid w:val="00273836"/>
    <w:rsid w:val="00273E46"/>
    <w:rsid w:val="002743F3"/>
    <w:rsid w:val="0027468F"/>
    <w:rsid w:val="00274A00"/>
    <w:rsid w:val="00274A78"/>
    <w:rsid w:val="00275093"/>
    <w:rsid w:val="0027527D"/>
    <w:rsid w:val="0027529A"/>
    <w:rsid w:val="00275555"/>
    <w:rsid w:val="00275D2C"/>
    <w:rsid w:val="00275FAE"/>
    <w:rsid w:val="002761D0"/>
    <w:rsid w:val="00276222"/>
    <w:rsid w:val="00276413"/>
    <w:rsid w:val="002765AD"/>
    <w:rsid w:val="00276E70"/>
    <w:rsid w:val="00276F60"/>
    <w:rsid w:val="00277371"/>
    <w:rsid w:val="00277AB5"/>
    <w:rsid w:val="00280544"/>
    <w:rsid w:val="002805F3"/>
    <w:rsid w:val="0028088E"/>
    <w:rsid w:val="00280ADE"/>
    <w:rsid w:val="00280D98"/>
    <w:rsid w:val="00281517"/>
    <w:rsid w:val="0028154E"/>
    <w:rsid w:val="002815FB"/>
    <w:rsid w:val="00281644"/>
    <w:rsid w:val="00281841"/>
    <w:rsid w:val="0028192A"/>
    <w:rsid w:val="00281E14"/>
    <w:rsid w:val="00281F1E"/>
    <w:rsid w:val="00282384"/>
    <w:rsid w:val="002827B6"/>
    <w:rsid w:val="0028284C"/>
    <w:rsid w:val="00282C36"/>
    <w:rsid w:val="002847A6"/>
    <w:rsid w:val="002852F2"/>
    <w:rsid w:val="00285D6B"/>
    <w:rsid w:val="00285F51"/>
    <w:rsid w:val="00286049"/>
    <w:rsid w:val="002860A8"/>
    <w:rsid w:val="00286383"/>
    <w:rsid w:val="0028642E"/>
    <w:rsid w:val="00286F7F"/>
    <w:rsid w:val="00287324"/>
    <w:rsid w:val="002875C7"/>
    <w:rsid w:val="00287AA1"/>
    <w:rsid w:val="00287E27"/>
    <w:rsid w:val="0029092B"/>
    <w:rsid w:val="00291507"/>
    <w:rsid w:val="0029183C"/>
    <w:rsid w:val="00291AD6"/>
    <w:rsid w:val="00292400"/>
    <w:rsid w:val="00292A63"/>
    <w:rsid w:val="00292DDB"/>
    <w:rsid w:val="00293198"/>
    <w:rsid w:val="00293226"/>
    <w:rsid w:val="0029373C"/>
    <w:rsid w:val="002941A2"/>
    <w:rsid w:val="0029440E"/>
    <w:rsid w:val="00294490"/>
    <w:rsid w:val="00294AB0"/>
    <w:rsid w:val="00294C40"/>
    <w:rsid w:val="002959A8"/>
    <w:rsid w:val="002959F7"/>
    <w:rsid w:val="00295DA3"/>
    <w:rsid w:val="00296098"/>
    <w:rsid w:val="002970B4"/>
    <w:rsid w:val="00297285"/>
    <w:rsid w:val="0029795A"/>
    <w:rsid w:val="002A0252"/>
    <w:rsid w:val="002A039F"/>
    <w:rsid w:val="002A057E"/>
    <w:rsid w:val="002A0663"/>
    <w:rsid w:val="002A081A"/>
    <w:rsid w:val="002A0B96"/>
    <w:rsid w:val="002A0C7F"/>
    <w:rsid w:val="002A0D5D"/>
    <w:rsid w:val="002A0D69"/>
    <w:rsid w:val="002A15FF"/>
    <w:rsid w:val="002A1F6A"/>
    <w:rsid w:val="002A20D5"/>
    <w:rsid w:val="002A21C3"/>
    <w:rsid w:val="002A26B3"/>
    <w:rsid w:val="002A288F"/>
    <w:rsid w:val="002A2985"/>
    <w:rsid w:val="002A2F31"/>
    <w:rsid w:val="002A2F45"/>
    <w:rsid w:val="002A2F95"/>
    <w:rsid w:val="002A3039"/>
    <w:rsid w:val="002A360A"/>
    <w:rsid w:val="002A3A2B"/>
    <w:rsid w:val="002A3AF7"/>
    <w:rsid w:val="002A3D11"/>
    <w:rsid w:val="002A44E4"/>
    <w:rsid w:val="002A4B1E"/>
    <w:rsid w:val="002A5010"/>
    <w:rsid w:val="002A5160"/>
    <w:rsid w:val="002A51C1"/>
    <w:rsid w:val="002A5328"/>
    <w:rsid w:val="002A5418"/>
    <w:rsid w:val="002A55A3"/>
    <w:rsid w:val="002A5AEB"/>
    <w:rsid w:val="002A5BA0"/>
    <w:rsid w:val="002A6112"/>
    <w:rsid w:val="002A653F"/>
    <w:rsid w:val="002A6CA3"/>
    <w:rsid w:val="002A73F3"/>
    <w:rsid w:val="002A740A"/>
    <w:rsid w:val="002A75AA"/>
    <w:rsid w:val="002A7812"/>
    <w:rsid w:val="002B0176"/>
    <w:rsid w:val="002B0334"/>
    <w:rsid w:val="002B106E"/>
    <w:rsid w:val="002B10D2"/>
    <w:rsid w:val="002B1555"/>
    <w:rsid w:val="002B1564"/>
    <w:rsid w:val="002B1626"/>
    <w:rsid w:val="002B179C"/>
    <w:rsid w:val="002B1985"/>
    <w:rsid w:val="002B1BD6"/>
    <w:rsid w:val="002B21A2"/>
    <w:rsid w:val="002B2599"/>
    <w:rsid w:val="002B263C"/>
    <w:rsid w:val="002B2802"/>
    <w:rsid w:val="002B2A24"/>
    <w:rsid w:val="002B2A7B"/>
    <w:rsid w:val="002B363D"/>
    <w:rsid w:val="002B3B4B"/>
    <w:rsid w:val="002B3F14"/>
    <w:rsid w:val="002B414E"/>
    <w:rsid w:val="002B4322"/>
    <w:rsid w:val="002B4384"/>
    <w:rsid w:val="002B43D3"/>
    <w:rsid w:val="002B4BC3"/>
    <w:rsid w:val="002B4E7E"/>
    <w:rsid w:val="002B5156"/>
    <w:rsid w:val="002B531F"/>
    <w:rsid w:val="002B5AEC"/>
    <w:rsid w:val="002B5DD6"/>
    <w:rsid w:val="002B6CF4"/>
    <w:rsid w:val="002B6EEE"/>
    <w:rsid w:val="002B7FF6"/>
    <w:rsid w:val="002C0052"/>
    <w:rsid w:val="002C0093"/>
    <w:rsid w:val="002C0301"/>
    <w:rsid w:val="002C0C0F"/>
    <w:rsid w:val="002C0C83"/>
    <w:rsid w:val="002C15C6"/>
    <w:rsid w:val="002C180D"/>
    <w:rsid w:val="002C1E85"/>
    <w:rsid w:val="002C20C8"/>
    <w:rsid w:val="002C2E7E"/>
    <w:rsid w:val="002C3C72"/>
    <w:rsid w:val="002C3E86"/>
    <w:rsid w:val="002C45AD"/>
    <w:rsid w:val="002C46FE"/>
    <w:rsid w:val="002C47CF"/>
    <w:rsid w:val="002C4DCA"/>
    <w:rsid w:val="002C5C38"/>
    <w:rsid w:val="002C5C9D"/>
    <w:rsid w:val="002C674D"/>
    <w:rsid w:val="002C73C3"/>
    <w:rsid w:val="002C75C3"/>
    <w:rsid w:val="002C79EF"/>
    <w:rsid w:val="002D012D"/>
    <w:rsid w:val="002D09FC"/>
    <w:rsid w:val="002D0FC9"/>
    <w:rsid w:val="002D115E"/>
    <w:rsid w:val="002D146B"/>
    <w:rsid w:val="002D1764"/>
    <w:rsid w:val="002D1D76"/>
    <w:rsid w:val="002D1DE0"/>
    <w:rsid w:val="002D1EB3"/>
    <w:rsid w:val="002D1F18"/>
    <w:rsid w:val="002D24BC"/>
    <w:rsid w:val="002D25FE"/>
    <w:rsid w:val="002D27BA"/>
    <w:rsid w:val="002D27DC"/>
    <w:rsid w:val="002D2AA6"/>
    <w:rsid w:val="002D3BB9"/>
    <w:rsid w:val="002D3BDA"/>
    <w:rsid w:val="002D3C12"/>
    <w:rsid w:val="002D3C9E"/>
    <w:rsid w:val="002D477C"/>
    <w:rsid w:val="002D4832"/>
    <w:rsid w:val="002D4A86"/>
    <w:rsid w:val="002D4CDF"/>
    <w:rsid w:val="002D51B7"/>
    <w:rsid w:val="002D55D4"/>
    <w:rsid w:val="002D5EC0"/>
    <w:rsid w:val="002D673A"/>
    <w:rsid w:val="002D68B3"/>
    <w:rsid w:val="002D68C4"/>
    <w:rsid w:val="002D69EE"/>
    <w:rsid w:val="002D6B59"/>
    <w:rsid w:val="002D7B47"/>
    <w:rsid w:val="002E008D"/>
    <w:rsid w:val="002E022F"/>
    <w:rsid w:val="002E02BB"/>
    <w:rsid w:val="002E064F"/>
    <w:rsid w:val="002E07B6"/>
    <w:rsid w:val="002E0981"/>
    <w:rsid w:val="002E0ACF"/>
    <w:rsid w:val="002E0C11"/>
    <w:rsid w:val="002E10D9"/>
    <w:rsid w:val="002E1130"/>
    <w:rsid w:val="002E15A3"/>
    <w:rsid w:val="002E1902"/>
    <w:rsid w:val="002E2287"/>
    <w:rsid w:val="002E271F"/>
    <w:rsid w:val="002E2B4C"/>
    <w:rsid w:val="002E33B8"/>
    <w:rsid w:val="002E35B0"/>
    <w:rsid w:val="002E39B5"/>
    <w:rsid w:val="002E39D8"/>
    <w:rsid w:val="002E3E7E"/>
    <w:rsid w:val="002E3EAB"/>
    <w:rsid w:val="002E41A6"/>
    <w:rsid w:val="002E4341"/>
    <w:rsid w:val="002E4778"/>
    <w:rsid w:val="002E4B9E"/>
    <w:rsid w:val="002E4F94"/>
    <w:rsid w:val="002E5F94"/>
    <w:rsid w:val="002E63A2"/>
    <w:rsid w:val="002E7460"/>
    <w:rsid w:val="002E77EE"/>
    <w:rsid w:val="002E7AD3"/>
    <w:rsid w:val="002E7E5E"/>
    <w:rsid w:val="002E7F0A"/>
    <w:rsid w:val="002E7FAF"/>
    <w:rsid w:val="002F0E6A"/>
    <w:rsid w:val="002F0E82"/>
    <w:rsid w:val="002F11E6"/>
    <w:rsid w:val="002F130F"/>
    <w:rsid w:val="002F1702"/>
    <w:rsid w:val="002F23B1"/>
    <w:rsid w:val="002F2803"/>
    <w:rsid w:val="002F2C94"/>
    <w:rsid w:val="002F3467"/>
    <w:rsid w:val="002F3905"/>
    <w:rsid w:val="002F39AE"/>
    <w:rsid w:val="002F3C8C"/>
    <w:rsid w:val="002F3CFE"/>
    <w:rsid w:val="002F4614"/>
    <w:rsid w:val="002F482F"/>
    <w:rsid w:val="002F493D"/>
    <w:rsid w:val="002F517D"/>
    <w:rsid w:val="002F550B"/>
    <w:rsid w:val="002F5AC3"/>
    <w:rsid w:val="002F5B2A"/>
    <w:rsid w:val="002F5C21"/>
    <w:rsid w:val="002F62C8"/>
    <w:rsid w:val="002F6AAE"/>
    <w:rsid w:val="002F6FDA"/>
    <w:rsid w:val="002F71E9"/>
    <w:rsid w:val="00300684"/>
    <w:rsid w:val="003019AD"/>
    <w:rsid w:val="003019D2"/>
    <w:rsid w:val="00301DE5"/>
    <w:rsid w:val="00301FA0"/>
    <w:rsid w:val="0030232B"/>
    <w:rsid w:val="0030275B"/>
    <w:rsid w:val="00302A97"/>
    <w:rsid w:val="00302B50"/>
    <w:rsid w:val="00303223"/>
    <w:rsid w:val="003037BB"/>
    <w:rsid w:val="00304602"/>
    <w:rsid w:val="003047A2"/>
    <w:rsid w:val="00304835"/>
    <w:rsid w:val="003048EF"/>
    <w:rsid w:val="00305074"/>
    <w:rsid w:val="00305841"/>
    <w:rsid w:val="0030590E"/>
    <w:rsid w:val="00305B31"/>
    <w:rsid w:val="00305BA6"/>
    <w:rsid w:val="00305D7B"/>
    <w:rsid w:val="0030679F"/>
    <w:rsid w:val="003067B0"/>
    <w:rsid w:val="0030692D"/>
    <w:rsid w:val="00306B8F"/>
    <w:rsid w:val="0030748B"/>
    <w:rsid w:val="003075DA"/>
    <w:rsid w:val="00310116"/>
    <w:rsid w:val="003106D5"/>
    <w:rsid w:val="0031095C"/>
    <w:rsid w:val="00310CB7"/>
    <w:rsid w:val="00310DCB"/>
    <w:rsid w:val="00310FD7"/>
    <w:rsid w:val="003114A9"/>
    <w:rsid w:val="003119F9"/>
    <w:rsid w:val="00311A47"/>
    <w:rsid w:val="00311C9A"/>
    <w:rsid w:val="00311FE0"/>
    <w:rsid w:val="00312198"/>
    <w:rsid w:val="003123D2"/>
    <w:rsid w:val="003128CB"/>
    <w:rsid w:val="003129AA"/>
    <w:rsid w:val="0031306B"/>
    <w:rsid w:val="003130FC"/>
    <w:rsid w:val="00313988"/>
    <w:rsid w:val="00313F6A"/>
    <w:rsid w:val="0031426C"/>
    <w:rsid w:val="003145F1"/>
    <w:rsid w:val="003146D7"/>
    <w:rsid w:val="0031497B"/>
    <w:rsid w:val="00314A23"/>
    <w:rsid w:val="00314A74"/>
    <w:rsid w:val="00315AD1"/>
    <w:rsid w:val="0031621C"/>
    <w:rsid w:val="00316410"/>
    <w:rsid w:val="0031685A"/>
    <w:rsid w:val="003169AD"/>
    <w:rsid w:val="003169D2"/>
    <w:rsid w:val="003170AC"/>
    <w:rsid w:val="003172CD"/>
    <w:rsid w:val="0031732D"/>
    <w:rsid w:val="003176A6"/>
    <w:rsid w:val="0032011B"/>
    <w:rsid w:val="00320FC1"/>
    <w:rsid w:val="0032128C"/>
    <w:rsid w:val="00321596"/>
    <w:rsid w:val="0032161D"/>
    <w:rsid w:val="00321867"/>
    <w:rsid w:val="00321BB7"/>
    <w:rsid w:val="003223F4"/>
    <w:rsid w:val="0032361C"/>
    <w:rsid w:val="00323737"/>
    <w:rsid w:val="00323868"/>
    <w:rsid w:val="00323A28"/>
    <w:rsid w:val="00323B48"/>
    <w:rsid w:val="00323BB3"/>
    <w:rsid w:val="00323E9D"/>
    <w:rsid w:val="00323F42"/>
    <w:rsid w:val="003241BF"/>
    <w:rsid w:val="003251EF"/>
    <w:rsid w:val="003255AF"/>
    <w:rsid w:val="00326516"/>
    <w:rsid w:val="0032687B"/>
    <w:rsid w:val="00327018"/>
    <w:rsid w:val="003277E9"/>
    <w:rsid w:val="00327AF3"/>
    <w:rsid w:val="00330166"/>
    <w:rsid w:val="003303D6"/>
    <w:rsid w:val="0033046B"/>
    <w:rsid w:val="003305A8"/>
    <w:rsid w:val="0033071B"/>
    <w:rsid w:val="003307E1"/>
    <w:rsid w:val="00330814"/>
    <w:rsid w:val="00330F2C"/>
    <w:rsid w:val="003337F7"/>
    <w:rsid w:val="00333BD9"/>
    <w:rsid w:val="00333CA6"/>
    <w:rsid w:val="00334058"/>
    <w:rsid w:val="00334142"/>
    <w:rsid w:val="00334875"/>
    <w:rsid w:val="0033494C"/>
    <w:rsid w:val="00335007"/>
    <w:rsid w:val="0033516E"/>
    <w:rsid w:val="0033521B"/>
    <w:rsid w:val="00335570"/>
    <w:rsid w:val="003356D5"/>
    <w:rsid w:val="003357C3"/>
    <w:rsid w:val="00335ABD"/>
    <w:rsid w:val="00335B6C"/>
    <w:rsid w:val="00335C41"/>
    <w:rsid w:val="00335C79"/>
    <w:rsid w:val="00335C88"/>
    <w:rsid w:val="00335FFE"/>
    <w:rsid w:val="0033648E"/>
    <w:rsid w:val="003366ED"/>
    <w:rsid w:val="00336A7A"/>
    <w:rsid w:val="00337AAD"/>
    <w:rsid w:val="00340082"/>
    <w:rsid w:val="00340560"/>
    <w:rsid w:val="00340949"/>
    <w:rsid w:val="00341582"/>
    <w:rsid w:val="00341FD7"/>
    <w:rsid w:val="003420D9"/>
    <w:rsid w:val="0034237C"/>
    <w:rsid w:val="00342418"/>
    <w:rsid w:val="00342594"/>
    <w:rsid w:val="00342AF0"/>
    <w:rsid w:val="00342D7B"/>
    <w:rsid w:val="00342F8B"/>
    <w:rsid w:val="00343396"/>
    <w:rsid w:val="00343437"/>
    <w:rsid w:val="0034360E"/>
    <w:rsid w:val="003442F0"/>
    <w:rsid w:val="003449B9"/>
    <w:rsid w:val="00344CFD"/>
    <w:rsid w:val="00344E26"/>
    <w:rsid w:val="0034530A"/>
    <w:rsid w:val="00345833"/>
    <w:rsid w:val="00345918"/>
    <w:rsid w:val="00345A79"/>
    <w:rsid w:val="00345F6D"/>
    <w:rsid w:val="003460A2"/>
    <w:rsid w:val="003462D8"/>
    <w:rsid w:val="00346B0F"/>
    <w:rsid w:val="00346B93"/>
    <w:rsid w:val="00346E5C"/>
    <w:rsid w:val="003477DE"/>
    <w:rsid w:val="0034784C"/>
    <w:rsid w:val="00347BB9"/>
    <w:rsid w:val="00347EA3"/>
    <w:rsid w:val="00347F5C"/>
    <w:rsid w:val="00350437"/>
    <w:rsid w:val="003505EF"/>
    <w:rsid w:val="0035143D"/>
    <w:rsid w:val="003514CB"/>
    <w:rsid w:val="003516D6"/>
    <w:rsid w:val="00351975"/>
    <w:rsid w:val="003527AA"/>
    <w:rsid w:val="00352A6E"/>
    <w:rsid w:val="00352C8D"/>
    <w:rsid w:val="00352CA4"/>
    <w:rsid w:val="003532EA"/>
    <w:rsid w:val="00353D9A"/>
    <w:rsid w:val="00353FD8"/>
    <w:rsid w:val="00354450"/>
    <w:rsid w:val="00354617"/>
    <w:rsid w:val="0035483E"/>
    <w:rsid w:val="00354C9D"/>
    <w:rsid w:val="00355047"/>
    <w:rsid w:val="00355450"/>
    <w:rsid w:val="00355E2D"/>
    <w:rsid w:val="00355E85"/>
    <w:rsid w:val="00356013"/>
    <w:rsid w:val="00356238"/>
    <w:rsid w:val="0035631E"/>
    <w:rsid w:val="00356942"/>
    <w:rsid w:val="00356D5F"/>
    <w:rsid w:val="00360963"/>
    <w:rsid w:val="00360A7E"/>
    <w:rsid w:val="00360F67"/>
    <w:rsid w:val="00361664"/>
    <w:rsid w:val="003617A0"/>
    <w:rsid w:val="00361A06"/>
    <w:rsid w:val="003620D0"/>
    <w:rsid w:val="003622BA"/>
    <w:rsid w:val="00362947"/>
    <w:rsid w:val="00362DFF"/>
    <w:rsid w:val="00362E8D"/>
    <w:rsid w:val="0036334D"/>
    <w:rsid w:val="003633A9"/>
    <w:rsid w:val="003636E7"/>
    <w:rsid w:val="00363CAB"/>
    <w:rsid w:val="00364410"/>
    <w:rsid w:val="00364486"/>
    <w:rsid w:val="003661EE"/>
    <w:rsid w:val="00366280"/>
    <w:rsid w:val="003662B1"/>
    <w:rsid w:val="00366A5A"/>
    <w:rsid w:val="00366A78"/>
    <w:rsid w:val="00366C4A"/>
    <w:rsid w:val="00366E63"/>
    <w:rsid w:val="00367005"/>
    <w:rsid w:val="003671A1"/>
    <w:rsid w:val="00367384"/>
    <w:rsid w:val="00367B31"/>
    <w:rsid w:val="00367FC0"/>
    <w:rsid w:val="00370174"/>
    <w:rsid w:val="0037050A"/>
    <w:rsid w:val="0037051E"/>
    <w:rsid w:val="003706AC"/>
    <w:rsid w:val="00370C94"/>
    <w:rsid w:val="00370D36"/>
    <w:rsid w:val="00370DD5"/>
    <w:rsid w:val="00370E03"/>
    <w:rsid w:val="0037180C"/>
    <w:rsid w:val="003719A8"/>
    <w:rsid w:val="00371EB8"/>
    <w:rsid w:val="00372870"/>
    <w:rsid w:val="00372DBA"/>
    <w:rsid w:val="00372EC4"/>
    <w:rsid w:val="00372F5F"/>
    <w:rsid w:val="0037332B"/>
    <w:rsid w:val="003733AF"/>
    <w:rsid w:val="00373C70"/>
    <w:rsid w:val="00373CF2"/>
    <w:rsid w:val="00373DD1"/>
    <w:rsid w:val="003744E6"/>
    <w:rsid w:val="00374616"/>
    <w:rsid w:val="003747FA"/>
    <w:rsid w:val="00374AF6"/>
    <w:rsid w:val="00374B81"/>
    <w:rsid w:val="00374D84"/>
    <w:rsid w:val="0037584E"/>
    <w:rsid w:val="0037595C"/>
    <w:rsid w:val="00375BF5"/>
    <w:rsid w:val="00375E50"/>
    <w:rsid w:val="00375ECF"/>
    <w:rsid w:val="0037659D"/>
    <w:rsid w:val="00377217"/>
    <w:rsid w:val="00377364"/>
    <w:rsid w:val="00377656"/>
    <w:rsid w:val="00380097"/>
    <w:rsid w:val="003802DD"/>
    <w:rsid w:val="00380672"/>
    <w:rsid w:val="00380736"/>
    <w:rsid w:val="0038073F"/>
    <w:rsid w:val="0038080D"/>
    <w:rsid w:val="00380A1F"/>
    <w:rsid w:val="00380C6E"/>
    <w:rsid w:val="00380E62"/>
    <w:rsid w:val="00380EF0"/>
    <w:rsid w:val="00381903"/>
    <w:rsid w:val="00381C4E"/>
    <w:rsid w:val="0038250C"/>
    <w:rsid w:val="00382C7E"/>
    <w:rsid w:val="00382D78"/>
    <w:rsid w:val="003840CB"/>
    <w:rsid w:val="003846F3"/>
    <w:rsid w:val="00384947"/>
    <w:rsid w:val="00384C61"/>
    <w:rsid w:val="00384D88"/>
    <w:rsid w:val="00384EA6"/>
    <w:rsid w:val="0038624E"/>
    <w:rsid w:val="0038661E"/>
    <w:rsid w:val="003866EF"/>
    <w:rsid w:val="003867CD"/>
    <w:rsid w:val="00386875"/>
    <w:rsid w:val="00386C13"/>
    <w:rsid w:val="00386D09"/>
    <w:rsid w:val="00387505"/>
    <w:rsid w:val="00387968"/>
    <w:rsid w:val="00387EC0"/>
    <w:rsid w:val="00387FA7"/>
    <w:rsid w:val="00391939"/>
    <w:rsid w:val="00391AC8"/>
    <w:rsid w:val="00392137"/>
    <w:rsid w:val="003927C0"/>
    <w:rsid w:val="00393E0B"/>
    <w:rsid w:val="00393E52"/>
    <w:rsid w:val="00394287"/>
    <w:rsid w:val="00394315"/>
    <w:rsid w:val="0039458C"/>
    <w:rsid w:val="00394666"/>
    <w:rsid w:val="003947F1"/>
    <w:rsid w:val="00394EA0"/>
    <w:rsid w:val="00394EDD"/>
    <w:rsid w:val="00395168"/>
    <w:rsid w:val="003951BD"/>
    <w:rsid w:val="00395C48"/>
    <w:rsid w:val="00395FB8"/>
    <w:rsid w:val="00396DE1"/>
    <w:rsid w:val="00396E5F"/>
    <w:rsid w:val="0039719E"/>
    <w:rsid w:val="00397503"/>
    <w:rsid w:val="003976CB"/>
    <w:rsid w:val="003976D4"/>
    <w:rsid w:val="00397916"/>
    <w:rsid w:val="003A015D"/>
    <w:rsid w:val="003A01C9"/>
    <w:rsid w:val="003A05FE"/>
    <w:rsid w:val="003A0D3A"/>
    <w:rsid w:val="003A0E3F"/>
    <w:rsid w:val="003A0EDA"/>
    <w:rsid w:val="003A127D"/>
    <w:rsid w:val="003A14A5"/>
    <w:rsid w:val="003A14F6"/>
    <w:rsid w:val="003A1DEB"/>
    <w:rsid w:val="003A2007"/>
    <w:rsid w:val="003A2131"/>
    <w:rsid w:val="003A2AD7"/>
    <w:rsid w:val="003A2B56"/>
    <w:rsid w:val="003A2FA2"/>
    <w:rsid w:val="003A31C5"/>
    <w:rsid w:val="003A39C6"/>
    <w:rsid w:val="003A3EE3"/>
    <w:rsid w:val="003A4395"/>
    <w:rsid w:val="003A4422"/>
    <w:rsid w:val="003A444B"/>
    <w:rsid w:val="003A4C87"/>
    <w:rsid w:val="003A4D99"/>
    <w:rsid w:val="003A55B2"/>
    <w:rsid w:val="003A5938"/>
    <w:rsid w:val="003A68E5"/>
    <w:rsid w:val="003A6E33"/>
    <w:rsid w:val="003A6FE7"/>
    <w:rsid w:val="003A79A0"/>
    <w:rsid w:val="003A79D3"/>
    <w:rsid w:val="003A7EBA"/>
    <w:rsid w:val="003B059A"/>
    <w:rsid w:val="003B1349"/>
    <w:rsid w:val="003B137B"/>
    <w:rsid w:val="003B1411"/>
    <w:rsid w:val="003B1DC2"/>
    <w:rsid w:val="003B2543"/>
    <w:rsid w:val="003B267C"/>
    <w:rsid w:val="003B2920"/>
    <w:rsid w:val="003B2D7D"/>
    <w:rsid w:val="003B2E0B"/>
    <w:rsid w:val="003B345D"/>
    <w:rsid w:val="003B39BB"/>
    <w:rsid w:val="003B3A40"/>
    <w:rsid w:val="003B3BE9"/>
    <w:rsid w:val="003B4CA7"/>
    <w:rsid w:val="003B5197"/>
    <w:rsid w:val="003B52C9"/>
    <w:rsid w:val="003B5D60"/>
    <w:rsid w:val="003B5D72"/>
    <w:rsid w:val="003B5F69"/>
    <w:rsid w:val="003B684D"/>
    <w:rsid w:val="003B7070"/>
    <w:rsid w:val="003B7695"/>
    <w:rsid w:val="003B7E5E"/>
    <w:rsid w:val="003C0C93"/>
    <w:rsid w:val="003C0EB1"/>
    <w:rsid w:val="003C0FB6"/>
    <w:rsid w:val="003C13BF"/>
    <w:rsid w:val="003C1CD7"/>
    <w:rsid w:val="003C1F37"/>
    <w:rsid w:val="003C2053"/>
    <w:rsid w:val="003C20BD"/>
    <w:rsid w:val="003C2685"/>
    <w:rsid w:val="003C2856"/>
    <w:rsid w:val="003C2951"/>
    <w:rsid w:val="003C2B91"/>
    <w:rsid w:val="003C34A1"/>
    <w:rsid w:val="003C35D4"/>
    <w:rsid w:val="003C436B"/>
    <w:rsid w:val="003C4553"/>
    <w:rsid w:val="003C46BE"/>
    <w:rsid w:val="003C4F1F"/>
    <w:rsid w:val="003C59D0"/>
    <w:rsid w:val="003C5F3C"/>
    <w:rsid w:val="003C6024"/>
    <w:rsid w:val="003C6CBF"/>
    <w:rsid w:val="003C6EB7"/>
    <w:rsid w:val="003C6F26"/>
    <w:rsid w:val="003C71CA"/>
    <w:rsid w:val="003C71F4"/>
    <w:rsid w:val="003C7220"/>
    <w:rsid w:val="003C79A4"/>
    <w:rsid w:val="003D00D8"/>
    <w:rsid w:val="003D01EB"/>
    <w:rsid w:val="003D04B2"/>
    <w:rsid w:val="003D0A91"/>
    <w:rsid w:val="003D0CF4"/>
    <w:rsid w:val="003D0F57"/>
    <w:rsid w:val="003D10D0"/>
    <w:rsid w:val="003D13A8"/>
    <w:rsid w:val="003D1488"/>
    <w:rsid w:val="003D16D4"/>
    <w:rsid w:val="003D2239"/>
    <w:rsid w:val="003D226B"/>
    <w:rsid w:val="003D251A"/>
    <w:rsid w:val="003D2F2D"/>
    <w:rsid w:val="003D321F"/>
    <w:rsid w:val="003D38FC"/>
    <w:rsid w:val="003D3D35"/>
    <w:rsid w:val="003D3E51"/>
    <w:rsid w:val="003D4458"/>
    <w:rsid w:val="003D496E"/>
    <w:rsid w:val="003D4C13"/>
    <w:rsid w:val="003D5802"/>
    <w:rsid w:val="003D585B"/>
    <w:rsid w:val="003D58F4"/>
    <w:rsid w:val="003D5932"/>
    <w:rsid w:val="003D68BF"/>
    <w:rsid w:val="003D6AB5"/>
    <w:rsid w:val="003D6DFB"/>
    <w:rsid w:val="003D7044"/>
    <w:rsid w:val="003D750C"/>
    <w:rsid w:val="003D7692"/>
    <w:rsid w:val="003D7CB2"/>
    <w:rsid w:val="003D7F00"/>
    <w:rsid w:val="003E0019"/>
    <w:rsid w:val="003E040E"/>
    <w:rsid w:val="003E053B"/>
    <w:rsid w:val="003E0699"/>
    <w:rsid w:val="003E14B1"/>
    <w:rsid w:val="003E1594"/>
    <w:rsid w:val="003E1B41"/>
    <w:rsid w:val="003E1C64"/>
    <w:rsid w:val="003E2094"/>
    <w:rsid w:val="003E265D"/>
    <w:rsid w:val="003E2E8F"/>
    <w:rsid w:val="003E2F33"/>
    <w:rsid w:val="003E2F44"/>
    <w:rsid w:val="003E3435"/>
    <w:rsid w:val="003E354B"/>
    <w:rsid w:val="003E36C4"/>
    <w:rsid w:val="003E4275"/>
    <w:rsid w:val="003E42DB"/>
    <w:rsid w:val="003E491C"/>
    <w:rsid w:val="003E502D"/>
    <w:rsid w:val="003E518B"/>
    <w:rsid w:val="003E5447"/>
    <w:rsid w:val="003E5EB4"/>
    <w:rsid w:val="003E68B9"/>
    <w:rsid w:val="003E6A5C"/>
    <w:rsid w:val="003E6E66"/>
    <w:rsid w:val="003E6F02"/>
    <w:rsid w:val="003E7289"/>
    <w:rsid w:val="003E76E6"/>
    <w:rsid w:val="003E7910"/>
    <w:rsid w:val="003E7993"/>
    <w:rsid w:val="003E7A10"/>
    <w:rsid w:val="003E7EF6"/>
    <w:rsid w:val="003E7F90"/>
    <w:rsid w:val="003F0CF6"/>
    <w:rsid w:val="003F13EC"/>
    <w:rsid w:val="003F17DB"/>
    <w:rsid w:val="003F20A1"/>
    <w:rsid w:val="003F2CDB"/>
    <w:rsid w:val="003F2F20"/>
    <w:rsid w:val="003F2F66"/>
    <w:rsid w:val="003F362B"/>
    <w:rsid w:val="003F3BA8"/>
    <w:rsid w:val="003F3BCC"/>
    <w:rsid w:val="003F4B00"/>
    <w:rsid w:val="003F5533"/>
    <w:rsid w:val="003F577A"/>
    <w:rsid w:val="003F597D"/>
    <w:rsid w:val="003F5B32"/>
    <w:rsid w:val="003F7022"/>
    <w:rsid w:val="003F7630"/>
    <w:rsid w:val="003F7BFF"/>
    <w:rsid w:val="00400034"/>
    <w:rsid w:val="00400962"/>
    <w:rsid w:val="00401306"/>
    <w:rsid w:val="00401564"/>
    <w:rsid w:val="00401A7C"/>
    <w:rsid w:val="00402091"/>
    <w:rsid w:val="00402097"/>
    <w:rsid w:val="00402172"/>
    <w:rsid w:val="0040236D"/>
    <w:rsid w:val="004026C4"/>
    <w:rsid w:val="00402DEF"/>
    <w:rsid w:val="00402E95"/>
    <w:rsid w:val="00403891"/>
    <w:rsid w:val="00403AA9"/>
    <w:rsid w:val="00403D75"/>
    <w:rsid w:val="004043D4"/>
    <w:rsid w:val="00404BD4"/>
    <w:rsid w:val="00404F39"/>
    <w:rsid w:val="00405204"/>
    <w:rsid w:val="00405809"/>
    <w:rsid w:val="0040602C"/>
    <w:rsid w:val="00406334"/>
    <w:rsid w:val="00406366"/>
    <w:rsid w:val="00407775"/>
    <w:rsid w:val="00407AA6"/>
    <w:rsid w:val="004106A5"/>
    <w:rsid w:val="004107B1"/>
    <w:rsid w:val="00410A8C"/>
    <w:rsid w:val="00410F98"/>
    <w:rsid w:val="004117FD"/>
    <w:rsid w:val="00411B7E"/>
    <w:rsid w:val="00412315"/>
    <w:rsid w:val="00412B77"/>
    <w:rsid w:val="00412F45"/>
    <w:rsid w:val="00413406"/>
    <w:rsid w:val="00413AF0"/>
    <w:rsid w:val="0041445B"/>
    <w:rsid w:val="004144D7"/>
    <w:rsid w:val="004146EB"/>
    <w:rsid w:val="004156D9"/>
    <w:rsid w:val="00415AED"/>
    <w:rsid w:val="00415BB9"/>
    <w:rsid w:val="004164C1"/>
    <w:rsid w:val="0041662F"/>
    <w:rsid w:val="00417E8B"/>
    <w:rsid w:val="004204D5"/>
    <w:rsid w:val="00420EC4"/>
    <w:rsid w:val="00421B00"/>
    <w:rsid w:val="004227C6"/>
    <w:rsid w:val="00422EDD"/>
    <w:rsid w:val="00422F3F"/>
    <w:rsid w:val="00422F4B"/>
    <w:rsid w:val="004230B9"/>
    <w:rsid w:val="004231CC"/>
    <w:rsid w:val="00423259"/>
    <w:rsid w:val="0042357D"/>
    <w:rsid w:val="00423CBF"/>
    <w:rsid w:val="0042417E"/>
    <w:rsid w:val="00424751"/>
    <w:rsid w:val="0042479F"/>
    <w:rsid w:val="00424C7D"/>
    <w:rsid w:val="00425BA8"/>
    <w:rsid w:val="00425FB6"/>
    <w:rsid w:val="004267A1"/>
    <w:rsid w:val="00426BDA"/>
    <w:rsid w:val="00426C49"/>
    <w:rsid w:val="00426F00"/>
    <w:rsid w:val="0042770C"/>
    <w:rsid w:val="00427CC2"/>
    <w:rsid w:val="00427E43"/>
    <w:rsid w:val="00427F50"/>
    <w:rsid w:val="004305F9"/>
    <w:rsid w:val="00430775"/>
    <w:rsid w:val="004307CD"/>
    <w:rsid w:val="004309D3"/>
    <w:rsid w:val="00430A35"/>
    <w:rsid w:val="00430BDC"/>
    <w:rsid w:val="00430CE4"/>
    <w:rsid w:val="0043185B"/>
    <w:rsid w:val="00431CE3"/>
    <w:rsid w:val="004323C5"/>
    <w:rsid w:val="004328E4"/>
    <w:rsid w:val="00432B8D"/>
    <w:rsid w:val="00433183"/>
    <w:rsid w:val="0043365D"/>
    <w:rsid w:val="00433D70"/>
    <w:rsid w:val="00433EF7"/>
    <w:rsid w:val="00433F25"/>
    <w:rsid w:val="004340A8"/>
    <w:rsid w:val="004340CB"/>
    <w:rsid w:val="00434215"/>
    <w:rsid w:val="004343FB"/>
    <w:rsid w:val="004351C2"/>
    <w:rsid w:val="004358B9"/>
    <w:rsid w:val="00435B88"/>
    <w:rsid w:val="00435E2E"/>
    <w:rsid w:val="00436075"/>
    <w:rsid w:val="00436A31"/>
    <w:rsid w:val="00436BBB"/>
    <w:rsid w:val="00437E32"/>
    <w:rsid w:val="00437ECA"/>
    <w:rsid w:val="004409BC"/>
    <w:rsid w:val="004409E9"/>
    <w:rsid w:val="00440E5A"/>
    <w:rsid w:val="004414EA"/>
    <w:rsid w:val="00441A5A"/>
    <w:rsid w:val="00441ADB"/>
    <w:rsid w:val="00442103"/>
    <w:rsid w:val="00442749"/>
    <w:rsid w:val="004429A1"/>
    <w:rsid w:val="00443784"/>
    <w:rsid w:val="00443D56"/>
    <w:rsid w:val="0044468A"/>
    <w:rsid w:val="004446E3"/>
    <w:rsid w:val="00444929"/>
    <w:rsid w:val="00444BC9"/>
    <w:rsid w:val="004456C3"/>
    <w:rsid w:val="00445788"/>
    <w:rsid w:val="0044581B"/>
    <w:rsid w:val="004459BE"/>
    <w:rsid w:val="00445B54"/>
    <w:rsid w:val="00445C99"/>
    <w:rsid w:val="00446796"/>
    <w:rsid w:val="00446A1D"/>
    <w:rsid w:val="004475B7"/>
    <w:rsid w:val="004477F4"/>
    <w:rsid w:val="004479CD"/>
    <w:rsid w:val="00447BC8"/>
    <w:rsid w:val="00447CB6"/>
    <w:rsid w:val="00447D1A"/>
    <w:rsid w:val="00447F46"/>
    <w:rsid w:val="0045004F"/>
    <w:rsid w:val="00450374"/>
    <w:rsid w:val="0045061A"/>
    <w:rsid w:val="004508E5"/>
    <w:rsid w:val="00450975"/>
    <w:rsid w:val="00450A0B"/>
    <w:rsid w:val="00450F96"/>
    <w:rsid w:val="00451B38"/>
    <w:rsid w:val="0045227E"/>
    <w:rsid w:val="004526A2"/>
    <w:rsid w:val="0045307F"/>
    <w:rsid w:val="004533BE"/>
    <w:rsid w:val="00453871"/>
    <w:rsid w:val="004548CB"/>
    <w:rsid w:val="00454932"/>
    <w:rsid w:val="004552D0"/>
    <w:rsid w:val="00455383"/>
    <w:rsid w:val="004554A3"/>
    <w:rsid w:val="0045566A"/>
    <w:rsid w:val="00455925"/>
    <w:rsid w:val="00455B94"/>
    <w:rsid w:val="00455E8D"/>
    <w:rsid w:val="00456322"/>
    <w:rsid w:val="00456426"/>
    <w:rsid w:val="004564FF"/>
    <w:rsid w:val="00456704"/>
    <w:rsid w:val="00456CF4"/>
    <w:rsid w:val="00456F87"/>
    <w:rsid w:val="00456FB5"/>
    <w:rsid w:val="0045716A"/>
    <w:rsid w:val="00457247"/>
    <w:rsid w:val="004573AC"/>
    <w:rsid w:val="00457E37"/>
    <w:rsid w:val="00457F37"/>
    <w:rsid w:val="004604A8"/>
    <w:rsid w:val="0046065C"/>
    <w:rsid w:val="0046073F"/>
    <w:rsid w:val="004607A9"/>
    <w:rsid w:val="00460929"/>
    <w:rsid w:val="0046094C"/>
    <w:rsid w:val="00460A61"/>
    <w:rsid w:val="00460AB0"/>
    <w:rsid w:val="00460F15"/>
    <w:rsid w:val="00460F38"/>
    <w:rsid w:val="00461002"/>
    <w:rsid w:val="004611C0"/>
    <w:rsid w:val="00461261"/>
    <w:rsid w:val="004612A4"/>
    <w:rsid w:val="004619E6"/>
    <w:rsid w:val="00461D8C"/>
    <w:rsid w:val="00461E99"/>
    <w:rsid w:val="00462980"/>
    <w:rsid w:val="00462BB9"/>
    <w:rsid w:val="004634AC"/>
    <w:rsid w:val="004637CC"/>
    <w:rsid w:val="00463DAF"/>
    <w:rsid w:val="00463DC3"/>
    <w:rsid w:val="004643E9"/>
    <w:rsid w:val="0046448F"/>
    <w:rsid w:val="00465648"/>
    <w:rsid w:val="00465E02"/>
    <w:rsid w:val="00465EC5"/>
    <w:rsid w:val="0046632C"/>
    <w:rsid w:val="00466468"/>
    <w:rsid w:val="00467163"/>
    <w:rsid w:val="004671E3"/>
    <w:rsid w:val="0046745F"/>
    <w:rsid w:val="004676E6"/>
    <w:rsid w:val="00467BD3"/>
    <w:rsid w:val="00467F42"/>
    <w:rsid w:val="00467F4E"/>
    <w:rsid w:val="00470009"/>
    <w:rsid w:val="0047045E"/>
    <w:rsid w:val="00470858"/>
    <w:rsid w:val="00471021"/>
    <w:rsid w:val="0047118C"/>
    <w:rsid w:val="004713CA"/>
    <w:rsid w:val="00471D0A"/>
    <w:rsid w:val="00472037"/>
    <w:rsid w:val="00472EA7"/>
    <w:rsid w:val="00473146"/>
    <w:rsid w:val="0047355D"/>
    <w:rsid w:val="004739A5"/>
    <w:rsid w:val="00473D14"/>
    <w:rsid w:val="004746CD"/>
    <w:rsid w:val="00474770"/>
    <w:rsid w:val="0047481A"/>
    <w:rsid w:val="00474E77"/>
    <w:rsid w:val="00474F82"/>
    <w:rsid w:val="0047515E"/>
    <w:rsid w:val="004755AF"/>
    <w:rsid w:val="0047565F"/>
    <w:rsid w:val="00475F12"/>
    <w:rsid w:val="004769FC"/>
    <w:rsid w:val="00476BC7"/>
    <w:rsid w:val="00477008"/>
    <w:rsid w:val="00477033"/>
    <w:rsid w:val="00477590"/>
    <w:rsid w:val="00477A23"/>
    <w:rsid w:val="004802B3"/>
    <w:rsid w:val="0048034D"/>
    <w:rsid w:val="004807C4"/>
    <w:rsid w:val="00480929"/>
    <w:rsid w:val="004809CE"/>
    <w:rsid w:val="0048114E"/>
    <w:rsid w:val="0048154B"/>
    <w:rsid w:val="004817DB"/>
    <w:rsid w:val="004818B5"/>
    <w:rsid w:val="00481CB1"/>
    <w:rsid w:val="00481D69"/>
    <w:rsid w:val="004821D0"/>
    <w:rsid w:val="004827AB"/>
    <w:rsid w:val="00482D19"/>
    <w:rsid w:val="00482DCA"/>
    <w:rsid w:val="0048323C"/>
    <w:rsid w:val="004832FE"/>
    <w:rsid w:val="0048333D"/>
    <w:rsid w:val="004836A9"/>
    <w:rsid w:val="00483A22"/>
    <w:rsid w:val="0048420D"/>
    <w:rsid w:val="00484359"/>
    <w:rsid w:val="00484A35"/>
    <w:rsid w:val="00484B92"/>
    <w:rsid w:val="0048501E"/>
    <w:rsid w:val="004852D5"/>
    <w:rsid w:val="004852E9"/>
    <w:rsid w:val="004856C4"/>
    <w:rsid w:val="0048571E"/>
    <w:rsid w:val="00486199"/>
    <w:rsid w:val="00486241"/>
    <w:rsid w:val="00486364"/>
    <w:rsid w:val="0048668D"/>
    <w:rsid w:val="00486793"/>
    <w:rsid w:val="00487288"/>
    <w:rsid w:val="00487941"/>
    <w:rsid w:val="004879B3"/>
    <w:rsid w:val="00487FA1"/>
    <w:rsid w:val="00490416"/>
    <w:rsid w:val="00490467"/>
    <w:rsid w:val="00491DE0"/>
    <w:rsid w:val="0049307A"/>
    <w:rsid w:val="004934C6"/>
    <w:rsid w:val="00493F15"/>
    <w:rsid w:val="004943F3"/>
    <w:rsid w:val="00494920"/>
    <w:rsid w:val="00494EF9"/>
    <w:rsid w:val="004950EF"/>
    <w:rsid w:val="0049570C"/>
    <w:rsid w:val="0049579A"/>
    <w:rsid w:val="004958BE"/>
    <w:rsid w:val="004958D3"/>
    <w:rsid w:val="00496513"/>
    <w:rsid w:val="0049653A"/>
    <w:rsid w:val="00496DC3"/>
    <w:rsid w:val="00496EAC"/>
    <w:rsid w:val="00497276"/>
    <w:rsid w:val="004978CF"/>
    <w:rsid w:val="004A04AF"/>
    <w:rsid w:val="004A0B15"/>
    <w:rsid w:val="004A1019"/>
    <w:rsid w:val="004A1275"/>
    <w:rsid w:val="004A1B71"/>
    <w:rsid w:val="004A1FEE"/>
    <w:rsid w:val="004A21F4"/>
    <w:rsid w:val="004A271E"/>
    <w:rsid w:val="004A2766"/>
    <w:rsid w:val="004A2794"/>
    <w:rsid w:val="004A2C96"/>
    <w:rsid w:val="004A2F6D"/>
    <w:rsid w:val="004A34DF"/>
    <w:rsid w:val="004A355A"/>
    <w:rsid w:val="004A42AA"/>
    <w:rsid w:val="004A44F9"/>
    <w:rsid w:val="004A4BD1"/>
    <w:rsid w:val="004A527A"/>
    <w:rsid w:val="004A5911"/>
    <w:rsid w:val="004A6389"/>
    <w:rsid w:val="004A64B5"/>
    <w:rsid w:val="004A69B2"/>
    <w:rsid w:val="004A70B5"/>
    <w:rsid w:val="004A71AF"/>
    <w:rsid w:val="004A73A5"/>
    <w:rsid w:val="004A74FF"/>
    <w:rsid w:val="004A7D98"/>
    <w:rsid w:val="004B00CB"/>
    <w:rsid w:val="004B03E1"/>
    <w:rsid w:val="004B0550"/>
    <w:rsid w:val="004B065C"/>
    <w:rsid w:val="004B0807"/>
    <w:rsid w:val="004B09F8"/>
    <w:rsid w:val="004B0B95"/>
    <w:rsid w:val="004B0C00"/>
    <w:rsid w:val="004B1735"/>
    <w:rsid w:val="004B197C"/>
    <w:rsid w:val="004B1A13"/>
    <w:rsid w:val="004B2327"/>
    <w:rsid w:val="004B2A0A"/>
    <w:rsid w:val="004B30CD"/>
    <w:rsid w:val="004B3468"/>
    <w:rsid w:val="004B363C"/>
    <w:rsid w:val="004B3D75"/>
    <w:rsid w:val="004B491B"/>
    <w:rsid w:val="004B4EFB"/>
    <w:rsid w:val="004B5386"/>
    <w:rsid w:val="004B58B4"/>
    <w:rsid w:val="004B659F"/>
    <w:rsid w:val="004B6623"/>
    <w:rsid w:val="004B68BF"/>
    <w:rsid w:val="004B714F"/>
    <w:rsid w:val="004B7185"/>
    <w:rsid w:val="004B73D4"/>
    <w:rsid w:val="004B79AA"/>
    <w:rsid w:val="004B7A61"/>
    <w:rsid w:val="004B7C22"/>
    <w:rsid w:val="004C015D"/>
    <w:rsid w:val="004C03A6"/>
    <w:rsid w:val="004C0760"/>
    <w:rsid w:val="004C118D"/>
    <w:rsid w:val="004C125B"/>
    <w:rsid w:val="004C2052"/>
    <w:rsid w:val="004C237E"/>
    <w:rsid w:val="004C27E7"/>
    <w:rsid w:val="004C28C8"/>
    <w:rsid w:val="004C3523"/>
    <w:rsid w:val="004C3A2A"/>
    <w:rsid w:val="004C4AB2"/>
    <w:rsid w:val="004C5897"/>
    <w:rsid w:val="004C5E97"/>
    <w:rsid w:val="004C629C"/>
    <w:rsid w:val="004C63D3"/>
    <w:rsid w:val="004C65E3"/>
    <w:rsid w:val="004C662E"/>
    <w:rsid w:val="004C66FB"/>
    <w:rsid w:val="004C71AB"/>
    <w:rsid w:val="004C72A6"/>
    <w:rsid w:val="004C72D2"/>
    <w:rsid w:val="004C7E24"/>
    <w:rsid w:val="004D01DD"/>
    <w:rsid w:val="004D04D1"/>
    <w:rsid w:val="004D0552"/>
    <w:rsid w:val="004D0C81"/>
    <w:rsid w:val="004D11BA"/>
    <w:rsid w:val="004D162C"/>
    <w:rsid w:val="004D1A32"/>
    <w:rsid w:val="004D1B52"/>
    <w:rsid w:val="004D1BB4"/>
    <w:rsid w:val="004D1F5E"/>
    <w:rsid w:val="004D247F"/>
    <w:rsid w:val="004D268D"/>
    <w:rsid w:val="004D2773"/>
    <w:rsid w:val="004D2E3C"/>
    <w:rsid w:val="004D3046"/>
    <w:rsid w:val="004D37BB"/>
    <w:rsid w:val="004D3B74"/>
    <w:rsid w:val="004D3C57"/>
    <w:rsid w:val="004D4BB5"/>
    <w:rsid w:val="004D509A"/>
    <w:rsid w:val="004D515B"/>
    <w:rsid w:val="004D5333"/>
    <w:rsid w:val="004D5A33"/>
    <w:rsid w:val="004D6B01"/>
    <w:rsid w:val="004D786C"/>
    <w:rsid w:val="004E002D"/>
    <w:rsid w:val="004E00A2"/>
    <w:rsid w:val="004E0AC7"/>
    <w:rsid w:val="004E0BA2"/>
    <w:rsid w:val="004E0EA9"/>
    <w:rsid w:val="004E0F39"/>
    <w:rsid w:val="004E1020"/>
    <w:rsid w:val="004E2645"/>
    <w:rsid w:val="004E2973"/>
    <w:rsid w:val="004E2E1E"/>
    <w:rsid w:val="004E32F2"/>
    <w:rsid w:val="004E391D"/>
    <w:rsid w:val="004E45F7"/>
    <w:rsid w:val="004E48B6"/>
    <w:rsid w:val="004E4BAF"/>
    <w:rsid w:val="004E4E89"/>
    <w:rsid w:val="004E5107"/>
    <w:rsid w:val="004E5C6E"/>
    <w:rsid w:val="004E61C4"/>
    <w:rsid w:val="004E6F0E"/>
    <w:rsid w:val="004E6F27"/>
    <w:rsid w:val="004E6F59"/>
    <w:rsid w:val="004E7DC9"/>
    <w:rsid w:val="004F0644"/>
    <w:rsid w:val="004F0905"/>
    <w:rsid w:val="004F10A1"/>
    <w:rsid w:val="004F217A"/>
    <w:rsid w:val="004F2718"/>
    <w:rsid w:val="004F2DEE"/>
    <w:rsid w:val="004F3643"/>
    <w:rsid w:val="004F3E58"/>
    <w:rsid w:val="004F4028"/>
    <w:rsid w:val="004F414C"/>
    <w:rsid w:val="004F42A7"/>
    <w:rsid w:val="004F434D"/>
    <w:rsid w:val="004F4AEF"/>
    <w:rsid w:val="004F4B76"/>
    <w:rsid w:val="004F54AE"/>
    <w:rsid w:val="004F58FB"/>
    <w:rsid w:val="004F5C66"/>
    <w:rsid w:val="004F5C6D"/>
    <w:rsid w:val="004F6D9A"/>
    <w:rsid w:val="004F6FD7"/>
    <w:rsid w:val="004F75B4"/>
    <w:rsid w:val="004F78C3"/>
    <w:rsid w:val="004F7B62"/>
    <w:rsid w:val="004F7B6E"/>
    <w:rsid w:val="005009F3"/>
    <w:rsid w:val="00500B0B"/>
    <w:rsid w:val="00500D34"/>
    <w:rsid w:val="00500D81"/>
    <w:rsid w:val="0050129F"/>
    <w:rsid w:val="005017D9"/>
    <w:rsid w:val="00502196"/>
    <w:rsid w:val="0050225D"/>
    <w:rsid w:val="005027FD"/>
    <w:rsid w:val="00502A4E"/>
    <w:rsid w:val="0050306F"/>
    <w:rsid w:val="005037DF"/>
    <w:rsid w:val="00503873"/>
    <w:rsid w:val="00503CAE"/>
    <w:rsid w:val="00503D76"/>
    <w:rsid w:val="00503F01"/>
    <w:rsid w:val="00504A36"/>
    <w:rsid w:val="00504E52"/>
    <w:rsid w:val="00504FC5"/>
    <w:rsid w:val="00505089"/>
    <w:rsid w:val="005052F2"/>
    <w:rsid w:val="00505532"/>
    <w:rsid w:val="00505C06"/>
    <w:rsid w:val="0050663D"/>
    <w:rsid w:val="0050677D"/>
    <w:rsid w:val="005067EF"/>
    <w:rsid w:val="00506D89"/>
    <w:rsid w:val="00506E3E"/>
    <w:rsid w:val="00507293"/>
    <w:rsid w:val="00507554"/>
    <w:rsid w:val="005075CE"/>
    <w:rsid w:val="00507FF5"/>
    <w:rsid w:val="00507FFE"/>
    <w:rsid w:val="00510156"/>
    <w:rsid w:val="00511232"/>
    <w:rsid w:val="00511390"/>
    <w:rsid w:val="005115FC"/>
    <w:rsid w:val="00511CFF"/>
    <w:rsid w:val="0051210E"/>
    <w:rsid w:val="005122DA"/>
    <w:rsid w:val="005128E1"/>
    <w:rsid w:val="00512FBF"/>
    <w:rsid w:val="0051314A"/>
    <w:rsid w:val="00513156"/>
    <w:rsid w:val="005134C3"/>
    <w:rsid w:val="00513BDA"/>
    <w:rsid w:val="00514065"/>
    <w:rsid w:val="005141CF"/>
    <w:rsid w:val="005143EA"/>
    <w:rsid w:val="00514DB2"/>
    <w:rsid w:val="00514FCA"/>
    <w:rsid w:val="005152E7"/>
    <w:rsid w:val="00515532"/>
    <w:rsid w:val="00516021"/>
    <w:rsid w:val="00516025"/>
    <w:rsid w:val="005163D2"/>
    <w:rsid w:val="00516673"/>
    <w:rsid w:val="0051703A"/>
    <w:rsid w:val="005170B0"/>
    <w:rsid w:val="00517209"/>
    <w:rsid w:val="005173B1"/>
    <w:rsid w:val="00517417"/>
    <w:rsid w:val="0051749C"/>
    <w:rsid w:val="00517542"/>
    <w:rsid w:val="00517772"/>
    <w:rsid w:val="0051787E"/>
    <w:rsid w:val="0051793D"/>
    <w:rsid w:val="00517953"/>
    <w:rsid w:val="00517D6D"/>
    <w:rsid w:val="00517DB9"/>
    <w:rsid w:val="0052051A"/>
    <w:rsid w:val="005206C1"/>
    <w:rsid w:val="00520B8A"/>
    <w:rsid w:val="00520D43"/>
    <w:rsid w:val="00520D6D"/>
    <w:rsid w:val="00521134"/>
    <w:rsid w:val="005214AE"/>
    <w:rsid w:val="005215B8"/>
    <w:rsid w:val="00521924"/>
    <w:rsid w:val="00521F91"/>
    <w:rsid w:val="00522185"/>
    <w:rsid w:val="00522274"/>
    <w:rsid w:val="0052227E"/>
    <w:rsid w:val="00522B34"/>
    <w:rsid w:val="00522D1E"/>
    <w:rsid w:val="00523605"/>
    <w:rsid w:val="00523E66"/>
    <w:rsid w:val="00523EBB"/>
    <w:rsid w:val="00524BDC"/>
    <w:rsid w:val="00524F65"/>
    <w:rsid w:val="005251A3"/>
    <w:rsid w:val="005258E7"/>
    <w:rsid w:val="005258E9"/>
    <w:rsid w:val="00525997"/>
    <w:rsid w:val="00525F29"/>
    <w:rsid w:val="005264F7"/>
    <w:rsid w:val="00526B45"/>
    <w:rsid w:val="00526F10"/>
    <w:rsid w:val="005276C9"/>
    <w:rsid w:val="00527A38"/>
    <w:rsid w:val="00527BC8"/>
    <w:rsid w:val="00527E84"/>
    <w:rsid w:val="00527E98"/>
    <w:rsid w:val="0053065D"/>
    <w:rsid w:val="00530719"/>
    <w:rsid w:val="00530B67"/>
    <w:rsid w:val="00531927"/>
    <w:rsid w:val="00531E71"/>
    <w:rsid w:val="00532095"/>
    <w:rsid w:val="0053220E"/>
    <w:rsid w:val="00532845"/>
    <w:rsid w:val="00532888"/>
    <w:rsid w:val="00532BDA"/>
    <w:rsid w:val="00532E0A"/>
    <w:rsid w:val="005331B0"/>
    <w:rsid w:val="0053386C"/>
    <w:rsid w:val="00533906"/>
    <w:rsid w:val="00533D18"/>
    <w:rsid w:val="0053402D"/>
    <w:rsid w:val="00534679"/>
    <w:rsid w:val="0053476E"/>
    <w:rsid w:val="005348E9"/>
    <w:rsid w:val="00535031"/>
    <w:rsid w:val="005354C2"/>
    <w:rsid w:val="0053568F"/>
    <w:rsid w:val="00535BDF"/>
    <w:rsid w:val="00535BFC"/>
    <w:rsid w:val="00535EE2"/>
    <w:rsid w:val="00535F22"/>
    <w:rsid w:val="00536151"/>
    <w:rsid w:val="005363C2"/>
    <w:rsid w:val="00536623"/>
    <w:rsid w:val="00536A21"/>
    <w:rsid w:val="00536C6B"/>
    <w:rsid w:val="00536DD1"/>
    <w:rsid w:val="0053751B"/>
    <w:rsid w:val="00537C6D"/>
    <w:rsid w:val="00537ED2"/>
    <w:rsid w:val="0054024D"/>
    <w:rsid w:val="0054085F"/>
    <w:rsid w:val="00541634"/>
    <w:rsid w:val="00541C70"/>
    <w:rsid w:val="00541FA4"/>
    <w:rsid w:val="00542A63"/>
    <w:rsid w:val="00542ED4"/>
    <w:rsid w:val="00542F87"/>
    <w:rsid w:val="00543327"/>
    <w:rsid w:val="0054359D"/>
    <w:rsid w:val="0054373C"/>
    <w:rsid w:val="00543AF2"/>
    <w:rsid w:val="005444C2"/>
    <w:rsid w:val="0054465F"/>
    <w:rsid w:val="005446F3"/>
    <w:rsid w:val="00544900"/>
    <w:rsid w:val="0054509C"/>
    <w:rsid w:val="00545127"/>
    <w:rsid w:val="005458D5"/>
    <w:rsid w:val="00545E1B"/>
    <w:rsid w:val="00546257"/>
    <w:rsid w:val="0054665B"/>
    <w:rsid w:val="0054691F"/>
    <w:rsid w:val="00546D87"/>
    <w:rsid w:val="00547718"/>
    <w:rsid w:val="00547BD4"/>
    <w:rsid w:val="00547D03"/>
    <w:rsid w:val="005501B3"/>
    <w:rsid w:val="005505ED"/>
    <w:rsid w:val="00550E9D"/>
    <w:rsid w:val="00551F89"/>
    <w:rsid w:val="00552184"/>
    <w:rsid w:val="005529CC"/>
    <w:rsid w:val="00552F16"/>
    <w:rsid w:val="00553ACF"/>
    <w:rsid w:val="00553AE9"/>
    <w:rsid w:val="0055452E"/>
    <w:rsid w:val="005547FE"/>
    <w:rsid w:val="0055491C"/>
    <w:rsid w:val="00554C6C"/>
    <w:rsid w:val="00554D4C"/>
    <w:rsid w:val="00554E16"/>
    <w:rsid w:val="00555048"/>
    <w:rsid w:val="0055510A"/>
    <w:rsid w:val="005552CF"/>
    <w:rsid w:val="005563BB"/>
    <w:rsid w:val="0055647B"/>
    <w:rsid w:val="0055654A"/>
    <w:rsid w:val="00556E5B"/>
    <w:rsid w:val="005570CA"/>
    <w:rsid w:val="0055727B"/>
    <w:rsid w:val="00557E34"/>
    <w:rsid w:val="00557E63"/>
    <w:rsid w:val="005617B7"/>
    <w:rsid w:val="00562068"/>
    <w:rsid w:val="00562285"/>
    <w:rsid w:val="00562FBF"/>
    <w:rsid w:val="00563617"/>
    <w:rsid w:val="00563746"/>
    <w:rsid w:val="00563D27"/>
    <w:rsid w:val="005645D4"/>
    <w:rsid w:val="00564A6B"/>
    <w:rsid w:val="00564D59"/>
    <w:rsid w:val="00564F52"/>
    <w:rsid w:val="0056512F"/>
    <w:rsid w:val="00565538"/>
    <w:rsid w:val="00565A16"/>
    <w:rsid w:val="00565F2E"/>
    <w:rsid w:val="005662C4"/>
    <w:rsid w:val="0056632D"/>
    <w:rsid w:val="005663C1"/>
    <w:rsid w:val="00566434"/>
    <w:rsid w:val="00566591"/>
    <w:rsid w:val="0056660B"/>
    <w:rsid w:val="00566A7E"/>
    <w:rsid w:val="00566A91"/>
    <w:rsid w:val="00566F31"/>
    <w:rsid w:val="005672BB"/>
    <w:rsid w:val="0056764E"/>
    <w:rsid w:val="00567969"/>
    <w:rsid w:val="0056798F"/>
    <w:rsid w:val="00567D45"/>
    <w:rsid w:val="00567DBC"/>
    <w:rsid w:val="00571228"/>
    <w:rsid w:val="00571AF4"/>
    <w:rsid w:val="005723A2"/>
    <w:rsid w:val="00572BA5"/>
    <w:rsid w:val="00572C11"/>
    <w:rsid w:val="00572F38"/>
    <w:rsid w:val="00573018"/>
    <w:rsid w:val="005730D6"/>
    <w:rsid w:val="005732E1"/>
    <w:rsid w:val="00573480"/>
    <w:rsid w:val="005738AB"/>
    <w:rsid w:val="00573B42"/>
    <w:rsid w:val="00573BA5"/>
    <w:rsid w:val="00573DF5"/>
    <w:rsid w:val="00573FA4"/>
    <w:rsid w:val="00574040"/>
    <w:rsid w:val="005749E2"/>
    <w:rsid w:val="00574DEA"/>
    <w:rsid w:val="00575239"/>
    <w:rsid w:val="00575644"/>
    <w:rsid w:val="0057698C"/>
    <w:rsid w:val="005769C4"/>
    <w:rsid w:val="00576B3D"/>
    <w:rsid w:val="00577038"/>
    <w:rsid w:val="005770C4"/>
    <w:rsid w:val="00577AD5"/>
    <w:rsid w:val="00577BA4"/>
    <w:rsid w:val="0058011F"/>
    <w:rsid w:val="005802C3"/>
    <w:rsid w:val="005804DE"/>
    <w:rsid w:val="005804E9"/>
    <w:rsid w:val="00581887"/>
    <w:rsid w:val="00581902"/>
    <w:rsid w:val="005819AE"/>
    <w:rsid w:val="0058297A"/>
    <w:rsid w:val="005829C5"/>
    <w:rsid w:val="00582C6D"/>
    <w:rsid w:val="00583376"/>
    <w:rsid w:val="005834F0"/>
    <w:rsid w:val="00583634"/>
    <w:rsid w:val="005838EC"/>
    <w:rsid w:val="00583BE7"/>
    <w:rsid w:val="00583DAC"/>
    <w:rsid w:val="00584317"/>
    <w:rsid w:val="0058452E"/>
    <w:rsid w:val="00584BB2"/>
    <w:rsid w:val="00584D04"/>
    <w:rsid w:val="00585135"/>
    <w:rsid w:val="005851DA"/>
    <w:rsid w:val="00585232"/>
    <w:rsid w:val="00585825"/>
    <w:rsid w:val="00585DB2"/>
    <w:rsid w:val="00586008"/>
    <w:rsid w:val="0058649F"/>
    <w:rsid w:val="00586588"/>
    <w:rsid w:val="00586A5A"/>
    <w:rsid w:val="0058790F"/>
    <w:rsid w:val="005879C3"/>
    <w:rsid w:val="00587B9F"/>
    <w:rsid w:val="00587F20"/>
    <w:rsid w:val="00590217"/>
    <w:rsid w:val="00590542"/>
    <w:rsid w:val="0059067A"/>
    <w:rsid w:val="00590705"/>
    <w:rsid w:val="0059082E"/>
    <w:rsid w:val="00590B73"/>
    <w:rsid w:val="00590BA6"/>
    <w:rsid w:val="00590C6F"/>
    <w:rsid w:val="00590CAC"/>
    <w:rsid w:val="00591613"/>
    <w:rsid w:val="005917D2"/>
    <w:rsid w:val="00591A15"/>
    <w:rsid w:val="0059209E"/>
    <w:rsid w:val="0059295A"/>
    <w:rsid w:val="00592E38"/>
    <w:rsid w:val="0059379B"/>
    <w:rsid w:val="00593BD0"/>
    <w:rsid w:val="00593FBE"/>
    <w:rsid w:val="005941A6"/>
    <w:rsid w:val="00594479"/>
    <w:rsid w:val="00594A5C"/>
    <w:rsid w:val="00594FBB"/>
    <w:rsid w:val="00595B91"/>
    <w:rsid w:val="005964B6"/>
    <w:rsid w:val="00596BFE"/>
    <w:rsid w:val="00597006"/>
    <w:rsid w:val="00597120"/>
    <w:rsid w:val="00597330"/>
    <w:rsid w:val="00597521"/>
    <w:rsid w:val="0059793B"/>
    <w:rsid w:val="00597E4A"/>
    <w:rsid w:val="005A0094"/>
    <w:rsid w:val="005A047F"/>
    <w:rsid w:val="005A0885"/>
    <w:rsid w:val="005A0A0D"/>
    <w:rsid w:val="005A0B4E"/>
    <w:rsid w:val="005A0CD2"/>
    <w:rsid w:val="005A2512"/>
    <w:rsid w:val="005A2C38"/>
    <w:rsid w:val="005A3884"/>
    <w:rsid w:val="005A4216"/>
    <w:rsid w:val="005A49CC"/>
    <w:rsid w:val="005A4B08"/>
    <w:rsid w:val="005A4B5F"/>
    <w:rsid w:val="005A4C26"/>
    <w:rsid w:val="005A518F"/>
    <w:rsid w:val="005A5302"/>
    <w:rsid w:val="005A5342"/>
    <w:rsid w:val="005A5AD2"/>
    <w:rsid w:val="005A5C1C"/>
    <w:rsid w:val="005A5D0E"/>
    <w:rsid w:val="005A617A"/>
    <w:rsid w:val="005A6858"/>
    <w:rsid w:val="005A6A83"/>
    <w:rsid w:val="005A6FC0"/>
    <w:rsid w:val="005A72BC"/>
    <w:rsid w:val="005A7887"/>
    <w:rsid w:val="005A788E"/>
    <w:rsid w:val="005B0210"/>
    <w:rsid w:val="005B0396"/>
    <w:rsid w:val="005B04F8"/>
    <w:rsid w:val="005B06FD"/>
    <w:rsid w:val="005B12D5"/>
    <w:rsid w:val="005B1689"/>
    <w:rsid w:val="005B19A1"/>
    <w:rsid w:val="005B1BEC"/>
    <w:rsid w:val="005B23FB"/>
    <w:rsid w:val="005B3360"/>
    <w:rsid w:val="005B3882"/>
    <w:rsid w:val="005B3F26"/>
    <w:rsid w:val="005B474F"/>
    <w:rsid w:val="005B4CDD"/>
    <w:rsid w:val="005B4D66"/>
    <w:rsid w:val="005B4F34"/>
    <w:rsid w:val="005B57BD"/>
    <w:rsid w:val="005B5B11"/>
    <w:rsid w:val="005B5EB6"/>
    <w:rsid w:val="005B66BB"/>
    <w:rsid w:val="005B708E"/>
    <w:rsid w:val="005B74ED"/>
    <w:rsid w:val="005B76DE"/>
    <w:rsid w:val="005B7717"/>
    <w:rsid w:val="005C08BA"/>
    <w:rsid w:val="005C0CF5"/>
    <w:rsid w:val="005C0D00"/>
    <w:rsid w:val="005C0DE0"/>
    <w:rsid w:val="005C0EA6"/>
    <w:rsid w:val="005C0F6A"/>
    <w:rsid w:val="005C1126"/>
    <w:rsid w:val="005C1640"/>
    <w:rsid w:val="005C206D"/>
    <w:rsid w:val="005C2799"/>
    <w:rsid w:val="005C2B52"/>
    <w:rsid w:val="005C2CD3"/>
    <w:rsid w:val="005C3005"/>
    <w:rsid w:val="005C3152"/>
    <w:rsid w:val="005C34E1"/>
    <w:rsid w:val="005C3540"/>
    <w:rsid w:val="005C3544"/>
    <w:rsid w:val="005C3795"/>
    <w:rsid w:val="005C3A74"/>
    <w:rsid w:val="005C3E84"/>
    <w:rsid w:val="005C3EDC"/>
    <w:rsid w:val="005C413A"/>
    <w:rsid w:val="005C41A8"/>
    <w:rsid w:val="005C43EF"/>
    <w:rsid w:val="005C497D"/>
    <w:rsid w:val="005C5405"/>
    <w:rsid w:val="005C570C"/>
    <w:rsid w:val="005C5C17"/>
    <w:rsid w:val="005C5C9E"/>
    <w:rsid w:val="005C6609"/>
    <w:rsid w:val="005C6DAA"/>
    <w:rsid w:val="005C6E3D"/>
    <w:rsid w:val="005C707D"/>
    <w:rsid w:val="005C7997"/>
    <w:rsid w:val="005C7AB0"/>
    <w:rsid w:val="005C7D1C"/>
    <w:rsid w:val="005D0C9D"/>
    <w:rsid w:val="005D0FB1"/>
    <w:rsid w:val="005D18D9"/>
    <w:rsid w:val="005D1F55"/>
    <w:rsid w:val="005D2195"/>
    <w:rsid w:val="005D2498"/>
    <w:rsid w:val="005D27E4"/>
    <w:rsid w:val="005D2AE1"/>
    <w:rsid w:val="005D2D0D"/>
    <w:rsid w:val="005D2E68"/>
    <w:rsid w:val="005D2FB2"/>
    <w:rsid w:val="005D301A"/>
    <w:rsid w:val="005D3488"/>
    <w:rsid w:val="005D3974"/>
    <w:rsid w:val="005D39AE"/>
    <w:rsid w:val="005D3A24"/>
    <w:rsid w:val="005D3A6C"/>
    <w:rsid w:val="005D3E82"/>
    <w:rsid w:val="005D4ABD"/>
    <w:rsid w:val="005D4D00"/>
    <w:rsid w:val="005D5492"/>
    <w:rsid w:val="005D5531"/>
    <w:rsid w:val="005D5FAE"/>
    <w:rsid w:val="005D667A"/>
    <w:rsid w:val="005D6BBA"/>
    <w:rsid w:val="005D6F8D"/>
    <w:rsid w:val="005D7457"/>
    <w:rsid w:val="005D7847"/>
    <w:rsid w:val="005D7B51"/>
    <w:rsid w:val="005E0BE9"/>
    <w:rsid w:val="005E0BEB"/>
    <w:rsid w:val="005E0F48"/>
    <w:rsid w:val="005E1BCC"/>
    <w:rsid w:val="005E2154"/>
    <w:rsid w:val="005E23B9"/>
    <w:rsid w:val="005E245E"/>
    <w:rsid w:val="005E2A4F"/>
    <w:rsid w:val="005E3337"/>
    <w:rsid w:val="005E33F0"/>
    <w:rsid w:val="005E3885"/>
    <w:rsid w:val="005E3E89"/>
    <w:rsid w:val="005E3F9B"/>
    <w:rsid w:val="005E4759"/>
    <w:rsid w:val="005E4A99"/>
    <w:rsid w:val="005E53FB"/>
    <w:rsid w:val="005E5CAA"/>
    <w:rsid w:val="005E5D67"/>
    <w:rsid w:val="005E5E93"/>
    <w:rsid w:val="005E5FFE"/>
    <w:rsid w:val="005E671B"/>
    <w:rsid w:val="005E6B33"/>
    <w:rsid w:val="005E6E74"/>
    <w:rsid w:val="005E6F21"/>
    <w:rsid w:val="005E6FDF"/>
    <w:rsid w:val="005E724C"/>
    <w:rsid w:val="005E746B"/>
    <w:rsid w:val="005E74DA"/>
    <w:rsid w:val="005E7548"/>
    <w:rsid w:val="005E7E5E"/>
    <w:rsid w:val="005E7E7F"/>
    <w:rsid w:val="005E7EB7"/>
    <w:rsid w:val="005F01D7"/>
    <w:rsid w:val="005F08DA"/>
    <w:rsid w:val="005F0958"/>
    <w:rsid w:val="005F0A38"/>
    <w:rsid w:val="005F169C"/>
    <w:rsid w:val="005F23D1"/>
    <w:rsid w:val="005F25FD"/>
    <w:rsid w:val="005F2BCE"/>
    <w:rsid w:val="005F30E3"/>
    <w:rsid w:val="005F32E2"/>
    <w:rsid w:val="005F36F3"/>
    <w:rsid w:val="005F3C14"/>
    <w:rsid w:val="005F3F4A"/>
    <w:rsid w:val="005F3FED"/>
    <w:rsid w:val="005F43BC"/>
    <w:rsid w:val="005F4643"/>
    <w:rsid w:val="005F5031"/>
    <w:rsid w:val="005F50ED"/>
    <w:rsid w:val="005F5442"/>
    <w:rsid w:val="005F5907"/>
    <w:rsid w:val="005F5C71"/>
    <w:rsid w:val="005F5E26"/>
    <w:rsid w:val="005F5F55"/>
    <w:rsid w:val="005F5FD0"/>
    <w:rsid w:val="005F60EA"/>
    <w:rsid w:val="005F6145"/>
    <w:rsid w:val="005F63AF"/>
    <w:rsid w:val="005F66E9"/>
    <w:rsid w:val="005F6A0E"/>
    <w:rsid w:val="005F6B7E"/>
    <w:rsid w:val="005F7308"/>
    <w:rsid w:val="005F768E"/>
    <w:rsid w:val="005F797E"/>
    <w:rsid w:val="005F7BA6"/>
    <w:rsid w:val="005F7E3D"/>
    <w:rsid w:val="00600484"/>
    <w:rsid w:val="00600704"/>
    <w:rsid w:val="00600B0A"/>
    <w:rsid w:val="006012F8"/>
    <w:rsid w:val="006013E2"/>
    <w:rsid w:val="00601472"/>
    <w:rsid w:val="0060149E"/>
    <w:rsid w:val="00601E01"/>
    <w:rsid w:val="006020ED"/>
    <w:rsid w:val="00602B73"/>
    <w:rsid w:val="00602E92"/>
    <w:rsid w:val="006030E3"/>
    <w:rsid w:val="00603E45"/>
    <w:rsid w:val="006045E7"/>
    <w:rsid w:val="00604605"/>
    <w:rsid w:val="006046B0"/>
    <w:rsid w:val="00604A53"/>
    <w:rsid w:val="00605444"/>
    <w:rsid w:val="0060589B"/>
    <w:rsid w:val="00605A23"/>
    <w:rsid w:val="00605C80"/>
    <w:rsid w:val="006064E7"/>
    <w:rsid w:val="0060777E"/>
    <w:rsid w:val="00607E1B"/>
    <w:rsid w:val="0061027C"/>
    <w:rsid w:val="006107FD"/>
    <w:rsid w:val="00610CCB"/>
    <w:rsid w:val="006110A6"/>
    <w:rsid w:val="0061164B"/>
    <w:rsid w:val="006119CB"/>
    <w:rsid w:val="00611C0C"/>
    <w:rsid w:val="0061260B"/>
    <w:rsid w:val="006129E8"/>
    <w:rsid w:val="00612A04"/>
    <w:rsid w:val="00612A95"/>
    <w:rsid w:val="00612B83"/>
    <w:rsid w:val="00612C4C"/>
    <w:rsid w:val="00613352"/>
    <w:rsid w:val="00613389"/>
    <w:rsid w:val="006133D5"/>
    <w:rsid w:val="006134E6"/>
    <w:rsid w:val="0061353C"/>
    <w:rsid w:val="006144A7"/>
    <w:rsid w:val="006145F6"/>
    <w:rsid w:val="00614C80"/>
    <w:rsid w:val="00614E2B"/>
    <w:rsid w:val="00615100"/>
    <w:rsid w:val="006152E9"/>
    <w:rsid w:val="00616817"/>
    <w:rsid w:val="006168AD"/>
    <w:rsid w:val="00617030"/>
    <w:rsid w:val="0061757F"/>
    <w:rsid w:val="006176FD"/>
    <w:rsid w:val="00617F44"/>
    <w:rsid w:val="006201A6"/>
    <w:rsid w:val="00620E89"/>
    <w:rsid w:val="00620EE8"/>
    <w:rsid w:val="006215FE"/>
    <w:rsid w:val="00621714"/>
    <w:rsid w:val="00621813"/>
    <w:rsid w:val="00621824"/>
    <w:rsid w:val="00621FF8"/>
    <w:rsid w:val="006226F5"/>
    <w:rsid w:val="00622936"/>
    <w:rsid w:val="00622CE6"/>
    <w:rsid w:val="006230C4"/>
    <w:rsid w:val="00623299"/>
    <w:rsid w:val="0062349C"/>
    <w:rsid w:val="006235BA"/>
    <w:rsid w:val="00623E69"/>
    <w:rsid w:val="006247F0"/>
    <w:rsid w:val="0062527B"/>
    <w:rsid w:val="00625457"/>
    <w:rsid w:val="006254AD"/>
    <w:rsid w:val="0062627D"/>
    <w:rsid w:val="00626725"/>
    <w:rsid w:val="0062684B"/>
    <w:rsid w:val="00626898"/>
    <w:rsid w:val="00626C54"/>
    <w:rsid w:val="00626D76"/>
    <w:rsid w:val="00626D9D"/>
    <w:rsid w:val="00626DDC"/>
    <w:rsid w:val="00627CAA"/>
    <w:rsid w:val="00630315"/>
    <w:rsid w:val="0063036C"/>
    <w:rsid w:val="00630EC9"/>
    <w:rsid w:val="00631FEB"/>
    <w:rsid w:val="006321FC"/>
    <w:rsid w:val="0063335A"/>
    <w:rsid w:val="006335FE"/>
    <w:rsid w:val="00633A6C"/>
    <w:rsid w:val="00633BD0"/>
    <w:rsid w:val="00634209"/>
    <w:rsid w:val="006343F2"/>
    <w:rsid w:val="00634B09"/>
    <w:rsid w:val="00635503"/>
    <w:rsid w:val="00635953"/>
    <w:rsid w:val="00635A78"/>
    <w:rsid w:val="00635F9D"/>
    <w:rsid w:val="00636480"/>
    <w:rsid w:val="006365B3"/>
    <w:rsid w:val="006369C9"/>
    <w:rsid w:val="00636B4F"/>
    <w:rsid w:val="0063730F"/>
    <w:rsid w:val="00637887"/>
    <w:rsid w:val="00637B38"/>
    <w:rsid w:val="00637C1F"/>
    <w:rsid w:val="00640171"/>
    <w:rsid w:val="006406EF"/>
    <w:rsid w:val="00640820"/>
    <w:rsid w:val="00640E6A"/>
    <w:rsid w:val="006416A2"/>
    <w:rsid w:val="00641C6F"/>
    <w:rsid w:val="0064331A"/>
    <w:rsid w:val="00643BC4"/>
    <w:rsid w:val="0064462A"/>
    <w:rsid w:val="0064481D"/>
    <w:rsid w:val="00644EE6"/>
    <w:rsid w:val="00644F4D"/>
    <w:rsid w:val="00645EA0"/>
    <w:rsid w:val="0064616B"/>
    <w:rsid w:val="006462C5"/>
    <w:rsid w:val="00646769"/>
    <w:rsid w:val="00646A13"/>
    <w:rsid w:val="00647DCF"/>
    <w:rsid w:val="0065042F"/>
    <w:rsid w:val="00650838"/>
    <w:rsid w:val="00650E16"/>
    <w:rsid w:val="00650F0D"/>
    <w:rsid w:val="00651890"/>
    <w:rsid w:val="00651FC4"/>
    <w:rsid w:val="006527EF"/>
    <w:rsid w:val="0065298F"/>
    <w:rsid w:val="00652FF6"/>
    <w:rsid w:val="006530F4"/>
    <w:rsid w:val="00653244"/>
    <w:rsid w:val="00653E7A"/>
    <w:rsid w:val="00654269"/>
    <w:rsid w:val="0065483B"/>
    <w:rsid w:val="0065499D"/>
    <w:rsid w:val="00654ACD"/>
    <w:rsid w:val="00654C83"/>
    <w:rsid w:val="00654DE3"/>
    <w:rsid w:val="006553CF"/>
    <w:rsid w:val="006554F6"/>
    <w:rsid w:val="00655650"/>
    <w:rsid w:val="006558B9"/>
    <w:rsid w:val="00655C27"/>
    <w:rsid w:val="00655F6B"/>
    <w:rsid w:val="0065620E"/>
    <w:rsid w:val="0065644C"/>
    <w:rsid w:val="006567B5"/>
    <w:rsid w:val="00656A77"/>
    <w:rsid w:val="00656ADE"/>
    <w:rsid w:val="006571BE"/>
    <w:rsid w:val="0065756D"/>
    <w:rsid w:val="00657B8E"/>
    <w:rsid w:val="006606D7"/>
    <w:rsid w:val="00660BE8"/>
    <w:rsid w:val="00660C60"/>
    <w:rsid w:val="00661C60"/>
    <w:rsid w:val="006633C1"/>
    <w:rsid w:val="00664145"/>
    <w:rsid w:val="00664ACD"/>
    <w:rsid w:val="00664E3A"/>
    <w:rsid w:val="0066513D"/>
    <w:rsid w:val="0066588C"/>
    <w:rsid w:val="006658A4"/>
    <w:rsid w:val="00666313"/>
    <w:rsid w:val="00666C26"/>
    <w:rsid w:val="00667AFE"/>
    <w:rsid w:val="006701AE"/>
    <w:rsid w:val="00670681"/>
    <w:rsid w:val="006706C2"/>
    <w:rsid w:val="00670828"/>
    <w:rsid w:val="006713C1"/>
    <w:rsid w:val="00671758"/>
    <w:rsid w:val="00671829"/>
    <w:rsid w:val="00671852"/>
    <w:rsid w:val="00671967"/>
    <w:rsid w:val="00671C9C"/>
    <w:rsid w:val="00672581"/>
    <w:rsid w:val="00672888"/>
    <w:rsid w:val="00672B39"/>
    <w:rsid w:val="00672DC0"/>
    <w:rsid w:val="00673062"/>
    <w:rsid w:val="00673EF3"/>
    <w:rsid w:val="0067428B"/>
    <w:rsid w:val="0067496F"/>
    <w:rsid w:val="00674D2E"/>
    <w:rsid w:val="00675C35"/>
    <w:rsid w:val="00675D49"/>
    <w:rsid w:val="00675FB4"/>
    <w:rsid w:val="00676091"/>
    <w:rsid w:val="006768D9"/>
    <w:rsid w:val="00676B81"/>
    <w:rsid w:val="00676C34"/>
    <w:rsid w:val="00676C3F"/>
    <w:rsid w:val="00676C5D"/>
    <w:rsid w:val="00676F32"/>
    <w:rsid w:val="0067707F"/>
    <w:rsid w:val="006773DE"/>
    <w:rsid w:val="00677410"/>
    <w:rsid w:val="0067754E"/>
    <w:rsid w:val="006775E2"/>
    <w:rsid w:val="0067761A"/>
    <w:rsid w:val="00677E93"/>
    <w:rsid w:val="006802EC"/>
    <w:rsid w:val="00680573"/>
    <w:rsid w:val="00680605"/>
    <w:rsid w:val="00680CBD"/>
    <w:rsid w:val="0068198B"/>
    <w:rsid w:val="0068257E"/>
    <w:rsid w:val="006827E6"/>
    <w:rsid w:val="00682B3B"/>
    <w:rsid w:val="006830BB"/>
    <w:rsid w:val="006832CF"/>
    <w:rsid w:val="00683400"/>
    <w:rsid w:val="00683604"/>
    <w:rsid w:val="00683887"/>
    <w:rsid w:val="00683A6A"/>
    <w:rsid w:val="00683CFD"/>
    <w:rsid w:val="006846C4"/>
    <w:rsid w:val="00684825"/>
    <w:rsid w:val="006857E4"/>
    <w:rsid w:val="0068604E"/>
    <w:rsid w:val="00686324"/>
    <w:rsid w:val="00686B32"/>
    <w:rsid w:val="00686EFB"/>
    <w:rsid w:val="0068738A"/>
    <w:rsid w:val="00687D02"/>
    <w:rsid w:val="00687D3D"/>
    <w:rsid w:val="00690DFF"/>
    <w:rsid w:val="006910F6"/>
    <w:rsid w:val="00691280"/>
    <w:rsid w:val="00691301"/>
    <w:rsid w:val="0069153D"/>
    <w:rsid w:val="006916EA"/>
    <w:rsid w:val="0069267A"/>
    <w:rsid w:val="006927F2"/>
    <w:rsid w:val="006929CC"/>
    <w:rsid w:val="00692A6E"/>
    <w:rsid w:val="00692A7B"/>
    <w:rsid w:val="00692AAD"/>
    <w:rsid w:val="00692C1F"/>
    <w:rsid w:val="00692C3D"/>
    <w:rsid w:val="00692C90"/>
    <w:rsid w:val="00692CAA"/>
    <w:rsid w:val="00692DED"/>
    <w:rsid w:val="0069335F"/>
    <w:rsid w:val="006933ED"/>
    <w:rsid w:val="0069353F"/>
    <w:rsid w:val="006937CF"/>
    <w:rsid w:val="006941F9"/>
    <w:rsid w:val="006942ED"/>
    <w:rsid w:val="006943AF"/>
    <w:rsid w:val="006943D0"/>
    <w:rsid w:val="00694707"/>
    <w:rsid w:val="0069475B"/>
    <w:rsid w:val="00694C7B"/>
    <w:rsid w:val="00695145"/>
    <w:rsid w:val="0069547C"/>
    <w:rsid w:val="00695544"/>
    <w:rsid w:val="006957A3"/>
    <w:rsid w:val="006961D8"/>
    <w:rsid w:val="00696251"/>
    <w:rsid w:val="00696CC5"/>
    <w:rsid w:val="00697316"/>
    <w:rsid w:val="00697440"/>
    <w:rsid w:val="0069752B"/>
    <w:rsid w:val="006976B2"/>
    <w:rsid w:val="00697742"/>
    <w:rsid w:val="00697FDA"/>
    <w:rsid w:val="006A0546"/>
    <w:rsid w:val="006A057B"/>
    <w:rsid w:val="006A098C"/>
    <w:rsid w:val="006A1126"/>
    <w:rsid w:val="006A115F"/>
    <w:rsid w:val="006A14A4"/>
    <w:rsid w:val="006A156D"/>
    <w:rsid w:val="006A1E6E"/>
    <w:rsid w:val="006A2303"/>
    <w:rsid w:val="006A2582"/>
    <w:rsid w:val="006A266D"/>
    <w:rsid w:val="006A2770"/>
    <w:rsid w:val="006A30E2"/>
    <w:rsid w:val="006A4CF0"/>
    <w:rsid w:val="006A53DF"/>
    <w:rsid w:val="006A561A"/>
    <w:rsid w:val="006A5CF9"/>
    <w:rsid w:val="006A6DED"/>
    <w:rsid w:val="006A7245"/>
    <w:rsid w:val="006A74F5"/>
    <w:rsid w:val="006A75E4"/>
    <w:rsid w:val="006A77FB"/>
    <w:rsid w:val="006A7FC9"/>
    <w:rsid w:val="006B00F7"/>
    <w:rsid w:val="006B08D3"/>
    <w:rsid w:val="006B0B47"/>
    <w:rsid w:val="006B0B7D"/>
    <w:rsid w:val="006B0E7F"/>
    <w:rsid w:val="006B10EB"/>
    <w:rsid w:val="006B1534"/>
    <w:rsid w:val="006B1557"/>
    <w:rsid w:val="006B15A3"/>
    <w:rsid w:val="006B1A34"/>
    <w:rsid w:val="006B1E04"/>
    <w:rsid w:val="006B2174"/>
    <w:rsid w:val="006B2596"/>
    <w:rsid w:val="006B2607"/>
    <w:rsid w:val="006B2B2C"/>
    <w:rsid w:val="006B2EFD"/>
    <w:rsid w:val="006B362A"/>
    <w:rsid w:val="006B3A94"/>
    <w:rsid w:val="006B3A9D"/>
    <w:rsid w:val="006B3ACA"/>
    <w:rsid w:val="006B45E7"/>
    <w:rsid w:val="006B478D"/>
    <w:rsid w:val="006B4895"/>
    <w:rsid w:val="006B4BC5"/>
    <w:rsid w:val="006B51D3"/>
    <w:rsid w:val="006B523F"/>
    <w:rsid w:val="006B5BCB"/>
    <w:rsid w:val="006B5E1C"/>
    <w:rsid w:val="006B5E6B"/>
    <w:rsid w:val="006B6508"/>
    <w:rsid w:val="006B652E"/>
    <w:rsid w:val="006B6CB0"/>
    <w:rsid w:val="006B7185"/>
    <w:rsid w:val="006B7396"/>
    <w:rsid w:val="006B73B6"/>
    <w:rsid w:val="006B753A"/>
    <w:rsid w:val="006C038F"/>
    <w:rsid w:val="006C03FE"/>
    <w:rsid w:val="006C0435"/>
    <w:rsid w:val="006C0768"/>
    <w:rsid w:val="006C0D4A"/>
    <w:rsid w:val="006C143F"/>
    <w:rsid w:val="006C2E3E"/>
    <w:rsid w:val="006C32A0"/>
    <w:rsid w:val="006C34FB"/>
    <w:rsid w:val="006C44F6"/>
    <w:rsid w:val="006C5146"/>
    <w:rsid w:val="006C52F5"/>
    <w:rsid w:val="006C5859"/>
    <w:rsid w:val="006C59FC"/>
    <w:rsid w:val="006C5B9B"/>
    <w:rsid w:val="006C634C"/>
    <w:rsid w:val="006C63F1"/>
    <w:rsid w:val="006C683A"/>
    <w:rsid w:val="006C6E19"/>
    <w:rsid w:val="006C71BE"/>
    <w:rsid w:val="006C723C"/>
    <w:rsid w:val="006C7B95"/>
    <w:rsid w:val="006C7C88"/>
    <w:rsid w:val="006C7DF9"/>
    <w:rsid w:val="006D023C"/>
    <w:rsid w:val="006D0A87"/>
    <w:rsid w:val="006D0D3E"/>
    <w:rsid w:val="006D13D0"/>
    <w:rsid w:val="006D1B6A"/>
    <w:rsid w:val="006D1E7A"/>
    <w:rsid w:val="006D20F7"/>
    <w:rsid w:val="006D233E"/>
    <w:rsid w:val="006D2904"/>
    <w:rsid w:val="006D2CB5"/>
    <w:rsid w:val="006D2E49"/>
    <w:rsid w:val="006D3156"/>
    <w:rsid w:val="006D3C10"/>
    <w:rsid w:val="006D3E1F"/>
    <w:rsid w:val="006D3ED7"/>
    <w:rsid w:val="006D40E1"/>
    <w:rsid w:val="006D4223"/>
    <w:rsid w:val="006D4994"/>
    <w:rsid w:val="006D5542"/>
    <w:rsid w:val="006D5618"/>
    <w:rsid w:val="006D63ED"/>
    <w:rsid w:val="006D67E6"/>
    <w:rsid w:val="006D794C"/>
    <w:rsid w:val="006D7B0B"/>
    <w:rsid w:val="006D7B0E"/>
    <w:rsid w:val="006D7B2F"/>
    <w:rsid w:val="006D7F10"/>
    <w:rsid w:val="006E0110"/>
    <w:rsid w:val="006E0362"/>
    <w:rsid w:val="006E0EF1"/>
    <w:rsid w:val="006E1E5A"/>
    <w:rsid w:val="006E232F"/>
    <w:rsid w:val="006E3223"/>
    <w:rsid w:val="006E33E0"/>
    <w:rsid w:val="006E3614"/>
    <w:rsid w:val="006E38F2"/>
    <w:rsid w:val="006E3A76"/>
    <w:rsid w:val="006E3DC3"/>
    <w:rsid w:val="006E4ABE"/>
    <w:rsid w:val="006E4D7D"/>
    <w:rsid w:val="006E536D"/>
    <w:rsid w:val="006E5DCE"/>
    <w:rsid w:val="006E5EF1"/>
    <w:rsid w:val="006E6B37"/>
    <w:rsid w:val="006E6C41"/>
    <w:rsid w:val="006E6F70"/>
    <w:rsid w:val="006E726A"/>
    <w:rsid w:val="006E764E"/>
    <w:rsid w:val="006E79E2"/>
    <w:rsid w:val="006E7CA2"/>
    <w:rsid w:val="006E7DBE"/>
    <w:rsid w:val="006F02FE"/>
    <w:rsid w:val="006F040B"/>
    <w:rsid w:val="006F0F61"/>
    <w:rsid w:val="006F1020"/>
    <w:rsid w:val="006F108C"/>
    <w:rsid w:val="006F123D"/>
    <w:rsid w:val="006F1267"/>
    <w:rsid w:val="006F1A8F"/>
    <w:rsid w:val="006F1C94"/>
    <w:rsid w:val="006F1E6E"/>
    <w:rsid w:val="006F1E7B"/>
    <w:rsid w:val="006F1F5A"/>
    <w:rsid w:val="006F27BC"/>
    <w:rsid w:val="006F2B39"/>
    <w:rsid w:val="006F2CCA"/>
    <w:rsid w:val="006F3089"/>
    <w:rsid w:val="006F462D"/>
    <w:rsid w:val="006F487A"/>
    <w:rsid w:val="006F487E"/>
    <w:rsid w:val="006F4A36"/>
    <w:rsid w:val="006F4E0E"/>
    <w:rsid w:val="006F4E49"/>
    <w:rsid w:val="006F5277"/>
    <w:rsid w:val="006F57E1"/>
    <w:rsid w:val="006F5CBA"/>
    <w:rsid w:val="006F5F55"/>
    <w:rsid w:val="006F5FDF"/>
    <w:rsid w:val="006F601D"/>
    <w:rsid w:val="006F6372"/>
    <w:rsid w:val="006F650D"/>
    <w:rsid w:val="006F729E"/>
    <w:rsid w:val="006F733A"/>
    <w:rsid w:val="006F747D"/>
    <w:rsid w:val="006F7771"/>
    <w:rsid w:val="006F7D78"/>
    <w:rsid w:val="006F7F4E"/>
    <w:rsid w:val="007008EC"/>
    <w:rsid w:val="007012DB"/>
    <w:rsid w:val="007035F4"/>
    <w:rsid w:val="0070377B"/>
    <w:rsid w:val="00703930"/>
    <w:rsid w:val="00703AE0"/>
    <w:rsid w:val="00703CD0"/>
    <w:rsid w:val="00703DA2"/>
    <w:rsid w:val="00703F6F"/>
    <w:rsid w:val="007041E7"/>
    <w:rsid w:val="00704318"/>
    <w:rsid w:val="00704456"/>
    <w:rsid w:val="00704EC9"/>
    <w:rsid w:val="00705006"/>
    <w:rsid w:val="00705475"/>
    <w:rsid w:val="00705BD0"/>
    <w:rsid w:val="00705BE2"/>
    <w:rsid w:val="00705DC0"/>
    <w:rsid w:val="007062BF"/>
    <w:rsid w:val="007062E3"/>
    <w:rsid w:val="00706438"/>
    <w:rsid w:val="007068E5"/>
    <w:rsid w:val="007074E4"/>
    <w:rsid w:val="00707739"/>
    <w:rsid w:val="00710436"/>
    <w:rsid w:val="00710ED6"/>
    <w:rsid w:val="007110A9"/>
    <w:rsid w:val="007112FF"/>
    <w:rsid w:val="00711656"/>
    <w:rsid w:val="00711811"/>
    <w:rsid w:val="00711CD7"/>
    <w:rsid w:val="00711D28"/>
    <w:rsid w:val="00712026"/>
    <w:rsid w:val="00712031"/>
    <w:rsid w:val="00712074"/>
    <w:rsid w:val="007127AC"/>
    <w:rsid w:val="0071293D"/>
    <w:rsid w:val="00712A6C"/>
    <w:rsid w:val="00712E63"/>
    <w:rsid w:val="007130CF"/>
    <w:rsid w:val="00713321"/>
    <w:rsid w:val="00713560"/>
    <w:rsid w:val="007136D0"/>
    <w:rsid w:val="00713C02"/>
    <w:rsid w:val="007141E1"/>
    <w:rsid w:val="007148F1"/>
    <w:rsid w:val="00714B34"/>
    <w:rsid w:val="00715158"/>
    <w:rsid w:val="00715A57"/>
    <w:rsid w:val="00715EDA"/>
    <w:rsid w:val="00716AF8"/>
    <w:rsid w:val="00716CBB"/>
    <w:rsid w:val="0071720D"/>
    <w:rsid w:val="00717977"/>
    <w:rsid w:val="00717B89"/>
    <w:rsid w:val="00717CF7"/>
    <w:rsid w:val="007208D1"/>
    <w:rsid w:val="007208FD"/>
    <w:rsid w:val="007209F7"/>
    <w:rsid w:val="00721707"/>
    <w:rsid w:val="00722012"/>
    <w:rsid w:val="00722120"/>
    <w:rsid w:val="00722CD9"/>
    <w:rsid w:val="00723439"/>
    <w:rsid w:val="0072387D"/>
    <w:rsid w:val="00723A3F"/>
    <w:rsid w:val="007244C6"/>
    <w:rsid w:val="0072455E"/>
    <w:rsid w:val="00724A70"/>
    <w:rsid w:val="00724B05"/>
    <w:rsid w:val="00724F20"/>
    <w:rsid w:val="007250D8"/>
    <w:rsid w:val="007253A2"/>
    <w:rsid w:val="00726890"/>
    <w:rsid w:val="00726EE1"/>
    <w:rsid w:val="00727129"/>
    <w:rsid w:val="0073029C"/>
    <w:rsid w:val="0073069A"/>
    <w:rsid w:val="007308FA"/>
    <w:rsid w:val="007309EA"/>
    <w:rsid w:val="00730A46"/>
    <w:rsid w:val="00730A63"/>
    <w:rsid w:val="00730FE6"/>
    <w:rsid w:val="0073223C"/>
    <w:rsid w:val="00732B8F"/>
    <w:rsid w:val="00733485"/>
    <w:rsid w:val="00733975"/>
    <w:rsid w:val="0073467D"/>
    <w:rsid w:val="0073475D"/>
    <w:rsid w:val="007347C4"/>
    <w:rsid w:val="00734DD7"/>
    <w:rsid w:val="00735716"/>
    <w:rsid w:val="00735773"/>
    <w:rsid w:val="007357BD"/>
    <w:rsid w:val="00735879"/>
    <w:rsid w:val="00735B97"/>
    <w:rsid w:val="00736635"/>
    <w:rsid w:val="00737321"/>
    <w:rsid w:val="0073770A"/>
    <w:rsid w:val="007377A4"/>
    <w:rsid w:val="007378E2"/>
    <w:rsid w:val="00737908"/>
    <w:rsid w:val="00737B25"/>
    <w:rsid w:val="00740167"/>
    <w:rsid w:val="007407BD"/>
    <w:rsid w:val="00740BAC"/>
    <w:rsid w:val="00740C9C"/>
    <w:rsid w:val="00740EF0"/>
    <w:rsid w:val="007410D8"/>
    <w:rsid w:val="007415D1"/>
    <w:rsid w:val="007416B8"/>
    <w:rsid w:val="0074195F"/>
    <w:rsid w:val="00741994"/>
    <w:rsid w:val="00741FF2"/>
    <w:rsid w:val="0074227D"/>
    <w:rsid w:val="00742412"/>
    <w:rsid w:val="00742941"/>
    <w:rsid w:val="00742A8B"/>
    <w:rsid w:val="00742DEA"/>
    <w:rsid w:val="007436CB"/>
    <w:rsid w:val="00743B24"/>
    <w:rsid w:val="00743DEF"/>
    <w:rsid w:val="00743E6E"/>
    <w:rsid w:val="007442BB"/>
    <w:rsid w:val="0074577F"/>
    <w:rsid w:val="007467F0"/>
    <w:rsid w:val="00746B17"/>
    <w:rsid w:val="007470FD"/>
    <w:rsid w:val="00747115"/>
    <w:rsid w:val="007473F5"/>
    <w:rsid w:val="007478EB"/>
    <w:rsid w:val="00747ADB"/>
    <w:rsid w:val="0075072D"/>
    <w:rsid w:val="00750E43"/>
    <w:rsid w:val="0075142D"/>
    <w:rsid w:val="007515A1"/>
    <w:rsid w:val="00751BEE"/>
    <w:rsid w:val="00752054"/>
    <w:rsid w:val="007524F7"/>
    <w:rsid w:val="00752643"/>
    <w:rsid w:val="00752DD1"/>
    <w:rsid w:val="00752EAA"/>
    <w:rsid w:val="007532EF"/>
    <w:rsid w:val="007537AB"/>
    <w:rsid w:val="00753A86"/>
    <w:rsid w:val="00753FB5"/>
    <w:rsid w:val="00754444"/>
    <w:rsid w:val="00754A05"/>
    <w:rsid w:val="00754DA4"/>
    <w:rsid w:val="00754EF3"/>
    <w:rsid w:val="00755287"/>
    <w:rsid w:val="0075539B"/>
    <w:rsid w:val="00756129"/>
    <w:rsid w:val="0075649F"/>
    <w:rsid w:val="00756AB9"/>
    <w:rsid w:val="00756AD1"/>
    <w:rsid w:val="00756DD0"/>
    <w:rsid w:val="00757AF8"/>
    <w:rsid w:val="007616C3"/>
    <w:rsid w:val="00761CE6"/>
    <w:rsid w:val="00761D07"/>
    <w:rsid w:val="00762207"/>
    <w:rsid w:val="0076229E"/>
    <w:rsid w:val="007622C7"/>
    <w:rsid w:val="0076230D"/>
    <w:rsid w:val="0076238D"/>
    <w:rsid w:val="00762998"/>
    <w:rsid w:val="00762E8C"/>
    <w:rsid w:val="00762F09"/>
    <w:rsid w:val="0076396D"/>
    <w:rsid w:val="00763979"/>
    <w:rsid w:val="00763FF1"/>
    <w:rsid w:val="0076413D"/>
    <w:rsid w:val="00764472"/>
    <w:rsid w:val="007647B0"/>
    <w:rsid w:val="0076482C"/>
    <w:rsid w:val="00764C44"/>
    <w:rsid w:val="00764F7D"/>
    <w:rsid w:val="007651F7"/>
    <w:rsid w:val="00765B43"/>
    <w:rsid w:val="00765B5A"/>
    <w:rsid w:val="00765FCB"/>
    <w:rsid w:val="00766508"/>
    <w:rsid w:val="00766833"/>
    <w:rsid w:val="00766FF2"/>
    <w:rsid w:val="007673FF"/>
    <w:rsid w:val="0076752F"/>
    <w:rsid w:val="007675DB"/>
    <w:rsid w:val="007678E0"/>
    <w:rsid w:val="0077011B"/>
    <w:rsid w:val="0077080C"/>
    <w:rsid w:val="007718B6"/>
    <w:rsid w:val="0077194A"/>
    <w:rsid w:val="00771C31"/>
    <w:rsid w:val="00772432"/>
    <w:rsid w:val="007725A2"/>
    <w:rsid w:val="00772A05"/>
    <w:rsid w:val="00772B66"/>
    <w:rsid w:val="007730E8"/>
    <w:rsid w:val="007737CF"/>
    <w:rsid w:val="00773E86"/>
    <w:rsid w:val="00773FD1"/>
    <w:rsid w:val="00774A3F"/>
    <w:rsid w:val="00774BC9"/>
    <w:rsid w:val="00774D95"/>
    <w:rsid w:val="00774E7D"/>
    <w:rsid w:val="0077530C"/>
    <w:rsid w:val="00776289"/>
    <w:rsid w:val="007764A4"/>
    <w:rsid w:val="007768CB"/>
    <w:rsid w:val="00776B7D"/>
    <w:rsid w:val="00777444"/>
    <w:rsid w:val="0077751C"/>
    <w:rsid w:val="007775FE"/>
    <w:rsid w:val="00777A09"/>
    <w:rsid w:val="0078023D"/>
    <w:rsid w:val="007805BB"/>
    <w:rsid w:val="007808F3"/>
    <w:rsid w:val="0078178B"/>
    <w:rsid w:val="00781D49"/>
    <w:rsid w:val="007821FD"/>
    <w:rsid w:val="00782632"/>
    <w:rsid w:val="0078271E"/>
    <w:rsid w:val="007827D9"/>
    <w:rsid w:val="00782959"/>
    <w:rsid w:val="007831F9"/>
    <w:rsid w:val="00783250"/>
    <w:rsid w:val="007833CD"/>
    <w:rsid w:val="007838BA"/>
    <w:rsid w:val="007840ED"/>
    <w:rsid w:val="007841C1"/>
    <w:rsid w:val="00785639"/>
    <w:rsid w:val="0078569B"/>
    <w:rsid w:val="0078636B"/>
    <w:rsid w:val="007869BE"/>
    <w:rsid w:val="00786FBB"/>
    <w:rsid w:val="0078730A"/>
    <w:rsid w:val="00787806"/>
    <w:rsid w:val="00787823"/>
    <w:rsid w:val="00787B8F"/>
    <w:rsid w:val="00787DD2"/>
    <w:rsid w:val="00790184"/>
    <w:rsid w:val="007908C5"/>
    <w:rsid w:val="00790911"/>
    <w:rsid w:val="007909B8"/>
    <w:rsid w:val="00790C92"/>
    <w:rsid w:val="007914B2"/>
    <w:rsid w:val="00791892"/>
    <w:rsid w:val="007919B1"/>
    <w:rsid w:val="00792AD1"/>
    <w:rsid w:val="007934A5"/>
    <w:rsid w:val="007937DE"/>
    <w:rsid w:val="00793B67"/>
    <w:rsid w:val="0079477D"/>
    <w:rsid w:val="007947E4"/>
    <w:rsid w:val="0079512E"/>
    <w:rsid w:val="00795313"/>
    <w:rsid w:val="007954D8"/>
    <w:rsid w:val="00795D3F"/>
    <w:rsid w:val="007966AF"/>
    <w:rsid w:val="0079673B"/>
    <w:rsid w:val="00796807"/>
    <w:rsid w:val="007968D6"/>
    <w:rsid w:val="00797594"/>
    <w:rsid w:val="0079781D"/>
    <w:rsid w:val="00797DDF"/>
    <w:rsid w:val="00797E01"/>
    <w:rsid w:val="00797FD4"/>
    <w:rsid w:val="007A0000"/>
    <w:rsid w:val="007A027D"/>
    <w:rsid w:val="007A08F0"/>
    <w:rsid w:val="007A0D2A"/>
    <w:rsid w:val="007A0D68"/>
    <w:rsid w:val="007A0F7F"/>
    <w:rsid w:val="007A115C"/>
    <w:rsid w:val="007A128C"/>
    <w:rsid w:val="007A16F9"/>
    <w:rsid w:val="007A1FE9"/>
    <w:rsid w:val="007A20AD"/>
    <w:rsid w:val="007A2E7D"/>
    <w:rsid w:val="007A339C"/>
    <w:rsid w:val="007A3536"/>
    <w:rsid w:val="007A3788"/>
    <w:rsid w:val="007A413F"/>
    <w:rsid w:val="007A4796"/>
    <w:rsid w:val="007A47E4"/>
    <w:rsid w:val="007A47E5"/>
    <w:rsid w:val="007A4820"/>
    <w:rsid w:val="007A4AAD"/>
    <w:rsid w:val="007A52C1"/>
    <w:rsid w:val="007A5578"/>
    <w:rsid w:val="007A5885"/>
    <w:rsid w:val="007A5B75"/>
    <w:rsid w:val="007A6623"/>
    <w:rsid w:val="007A7923"/>
    <w:rsid w:val="007A79E5"/>
    <w:rsid w:val="007A7D76"/>
    <w:rsid w:val="007B032C"/>
    <w:rsid w:val="007B0AFC"/>
    <w:rsid w:val="007B0DBE"/>
    <w:rsid w:val="007B0DFC"/>
    <w:rsid w:val="007B1587"/>
    <w:rsid w:val="007B178C"/>
    <w:rsid w:val="007B1B0D"/>
    <w:rsid w:val="007B21C2"/>
    <w:rsid w:val="007B23C4"/>
    <w:rsid w:val="007B2C53"/>
    <w:rsid w:val="007B2EBA"/>
    <w:rsid w:val="007B31AE"/>
    <w:rsid w:val="007B341A"/>
    <w:rsid w:val="007B3526"/>
    <w:rsid w:val="007B4032"/>
    <w:rsid w:val="007B4138"/>
    <w:rsid w:val="007B4241"/>
    <w:rsid w:val="007B4320"/>
    <w:rsid w:val="007B4419"/>
    <w:rsid w:val="007B4B0D"/>
    <w:rsid w:val="007B53BC"/>
    <w:rsid w:val="007B5BAE"/>
    <w:rsid w:val="007B5FDF"/>
    <w:rsid w:val="007B698C"/>
    <w:rsid w:val="007B6CA5"/>
    <w:rsid w:val="007B6CF1"/>
    <w:rsid w:val="007B76B3"/>
    <w:rsid w:val="007C0026"/>
    <w:rsid w:val="007C01BC"/>
    <w:rsid w:val="007C0629"/>
    <w:rsid w:val="007C091E"/>
    <w:rsid w:val="007C0BB8"/>
    <w:rsid w:val="007C0C78"/>
    <w:rsid w:val="007C0CC1"/>
    <w:rsid w:val="007C0DAC"/>
    <w:rsid w:val="007C0EB5"/>
    <w:rsid w:val="007C1BB9"/>
    <w:rsid w:val="007C269F"/>
    <w:rsid w:val="007C2BD2"/>
    <w:rsid w:val="007C2C3B"/>
    <w:rsid w:val="007C349A"/>
    <w:rsid w:val="007C39E1"/>
    <w:rsid w:val="007C3DAD"/>
    <w:rsid w:val="007C41F0"/>
    <w:rsid w:val="007C42D9"/>
    <w:rsid w:val="007C4846"/>
    <w:rsid w:val="007C4C44"/>
    <w:rsid w:val="007C4E3D"/>
    <w:rsid w:val="007C505E"/>
    <w:rsid w:val="007C5127"/>
    <w:rsid w:val="007C5345"/>
    <w:rsid w:val="007C56C5"/>
    <w:rsid w:val="007C5712"/>
    <w:rsid w:val="007C5E78"/>
    <w:rsid w:val="007C60E0"/>
    <w:rsid w:val="007C65EF"/>
    <w:rsid w:val="007C6619"/>
    <w:rsid w:val="007C6783"/>
    <w:rsid w:val="007C77F2"/>
    <w:rsid w:val="007C7A10"/>
    <w:rsid w:val="007D0897"/>
    <w:rsid w:val="007D0ABD"/>
    <w:rsid w:val="007D0C8C"/>
    <w:rsid w:val="007D14AC"/>
    <w:rsid w:val="007D1530"/>
    <w:rsid w:val="007D155E"/>
    <w:rsid w:val="007D1C62"/>
    <w:rsid w:val="007D22EC"/>
    <w:rsid w:val="007D2A9F"/>
    <w:rsid w:val="007D2C4E"/>
    <w:rsid w:val="007D2F1D"/>
    <w:rsid w:val="007D3AA0"/>
    <w:rsid w:val="007D4237"/>
    <w:rsid w:val="007D43D0"/>
    <w:rsid w:val="007D4A8C"/>
    <w:rsid w:val="007D4AA7"/>
    <w:rsid w:val="007D4B70"/>
    <w:rsid w:val="007D4E6D"/>
    <w:rsid w:val="007D4EE4"/>
    <w:rsid w:val="007D542E"/>
    <w:rsid w:val="007D60DE"/>
    <w:rsid w:val="007D61AF"/>
    <w:rsid w:val="007D649E"/>
    <w:rsid w:val="007D68A7"/>
    <w:rsid w:val="007D690B"/>
    <w:rsid w:val="007D6A17"/>
    <w:rsid w:val="007D6E04"/>
    <w:rsid w:val="007D6E53"/>
    <w:rsid w:val="007D6E8E"/>
    <w:rsid w:val="007D711E"/>
    <w:rsid w:val="007E05FE"/>
    <w:rsid w:val="007E07B8"/>
    <w:rsid w:val="007E0AD7"/>
    <w:rsid w:val="007E12D8"/>
    <w:rsid w:val="007E1B8D"/>
    <w:rsid w:val="007E1D02"/>
    <w:rsid w:val="007E1DDB"/>
    <w:rsid w:val="007E21BC"/>
    <w:rsid w:val="007E2704"/>
    <w:rsid w:val="007E2CAF"/>
    <w:rsid w:val="007E2D63"/>
    <w:rsid w:val="007E2E7B"/>
    <w:rsid w:val="007E2F93"/>
    <w:rsid w:val="007E2FC6"/>
    <w:rsid w:val="007E30EB"/>
    <w:rsid w:val="007E3366"/>
    <w:rsid w:val="007E4490"/>
    <w:rsid w:val="007E5FBE"/>
    <w:rsid w:val="007E6C51"/>
    <w:rsid w:val="007E7337"/>
    <w:rsid w:val="007F055D"/>
    <w:rsid w:val="007F0D9D"/>
    <w:rsid w:val="007F0E1A"/>
    <w:rsid w:val="007F10C4"/>
    <w:rsid w:val="007F1440"/>
    <w:rsid w:val="007F14CC"/>
    <w:rsid w:val="007F190D"/>
    <w:rsid w:val="007F1CF8"/>
    <w:rsid w:val="007F1E8F"/>
    <w:rsid w:val="007F1FA3"/>
    <w:rsid w:val="007F248C"/>
    <w:rsid w:val="007F2654"/>
    <w:rsid w:val="007F2DAC"/>
    <w:rsid w:val="007F2F7B"/>
    <w:rsid w:val="007F3FCA"/>
    <w:rsid w:val="007F406C"/>
    <w:rsid w:val="007F4225"/>
    <w:rsid w:val="007F4E1C"/>
    <w:rsid w:val="007F4FEE"/>
    <w:rsid w:val="007F6A6C"/>
    <w:rsid w:val="007F7592"/>
    <w:rsid w:val="007F7A9B"/>
    <w:rsid w:val="008002C8"/>
    <w:rsid w:val="00800506"/>
    <w:rsid w:val="00800535"/>
    <w:rsid w:val="008006D2"/>
    <w:rsid w:val="00801C3A"/>
    <w:rsid w:val="008020B1"/>
    <w:rsid w:val="00802178"/>
    <w:rsid w:val="008021D9"/>
    <w:rsid w:val="0080245C"/>
    <w:rsid w:val="008024DB"/>
    <w:rsid w:val="0080287D"/>
    <w:rsid w:val="00802BB1"/>
    <w:rsid w:val="00802C33"/>
    <w:rsid w:val="00802FA1"/>
    <w:rsid w:val="00803290"/>
    <w:rsid w:val="0080366F"/>
    <w:rsid w:val="00803B49"/>
    <w:rsid w:val="00803B58"/>
    <w:rsid w:val="00803C49"/>
    <w:rsid w:val="00803EFE"/>
    <w:rsid w:val="00804052"/>
    <w:rsid w:val="008043EE"/>
    <w:rsid w:val="008043F5"/>
    <w:rsid w:val="0080446A"/>
    <w:rsid w:val="00804A02"/>
    <w:rsid w:val="0080500A"/>
    <w:rsid w:val="00805656"/>
    <w:rsid w:val="00805E1C"/>
    <w:rsid w:val="00806097"/>
    <w:rsid w:val="008061A9"/>
    <w:rsid w:val="008062BD"/>
    <w:rsid w:val="00806668"/>
    <w:rsid w:val="00806BC3"/>
    <w:rsid w:val="00806BCA"/>
    <w:rsid w:val="00806D48"/>
    <w:rsid w:val="008073A0"/>
    <w:rsid w:val="00807C22"/>
    <w:rsid w:val="00807C5C"/>
    <w:rsid w:val="0081015A"/>
    <w:rsid w:val="00810893"/>
    <w:rsid w:val="00810FB1"/>
    <w:rsid w:val="00811CB6"/>
    <w:rsid w:val="00811FBD"/>
    <w:rsid w:val="00812ED7"/>
    <w:rsid w:val="0081319F"/>
    <w:rsid w:val="00814031"/>
    <w:rsid w:val="00814872"/>
    <w:rsid w:val="00814D07"/>
    <w:rsid w:val="008151EA"/>
    <w:rsid w:val="008156DD"/>
    <w:rsid w:val="0081635D"/>
    <w:rsid w:val="00816CFD"/>
    <w:rsid w:val="0081705E"/>
    <w:rsid w:val="00817186"/>
    <w:rsid w:val="00817B59"/>
    <w:rsid w:val="00817E7C"/>
    <w:rsid w:val="00820160"/>
    <w:rsid w:val="00820378"/>
    <w:rsid w:val="0082068B"/>
    <w:rsid w:val="008216C3"/>
    <w:rsid w:val="00822059"/>
    <w:rsid w:val="00822DCE"/>
    <w:rsid w:val="00823582"/>
    <w:rsid w:val="0082437F"/>
    <w:rsid w:val="0082466A"/>
    <w:rsid w:val="00825316"/>
    <w:rsid w:val="008253A1"/>
    <w:rsid w:val="00825792"/>
    <w:rsid w:val="00825B2D"/>
    <w:rsid w:val="00825D6B"/>
    <w:rsid w:val="008262E5"/>
    <w:rsid w:val="0082689F"/>
    <w:rsid w:val="00826FA9"/>
    <w:rsid w:val="008271F6"/>
    <w:rsid w:val="00827671"/>
    <w:rsid w:val="0082782A"/>
    <w:rsid w:val="00830062"/>
    <w:rsid w:val="008300C7"/>
    <w:rsid w:val="00830315"/>
    <w:rsid w:val="00830322"/>
    <w:rsid w:val="00830347"/>
    <w:rsid w:val="00830AD4"/>
    <w:rsid w:val="00830B25"/>
    <w:rsid w:val="0083164F"/>
    <w:rsid w:val="0083211D"/>
    <w:rsid w:val="0083244B"/>
    <w:rsid w:val="008324A8"/>
    <w:rsid w:val="008326F7"/>
    <w:rsid w:val="00832B03"/>
    <w:rsid w:val="0083300E"/>
    <w:rsid w:val="0083346E"/>
    <w:rsid w:val="008335DE"/>
    <w:rsid w:val="00833888"/>
    <w:rsid w:val="00833B91"/>
    <w:rsid w:val="00833C26"/>
    <w:rsid w:val="00833DF3"/>
    <w:rsid w:val="0083494E"/>
    <w:rsid w:val="008355D1"/>
    <w:rsid w:val="00835934"/>
    <w:rsid w:val="00836128"/>
    <w:rsid w:val="0083683E"/>
    <w:rsid w:val="00837CF0"/>
    <w:rsid w:val="00840407"/>
    <w:rsid w:val="00840934"/>
    <w:rsid w:val="00840EA3"/>
    <w:rsid w:val="008413AB"/>
    <w:rsid w:val="008422AC"/>
    <w:rsid w:val="00842BD4"/>
    <w:rsid w:val="00843A15"/>
    <w:rsid w:val="00843A49"/>
    <w:rsid w:val="00843CF4"/>
    <w:rsid w:val="00843D01"/>
    <w:rsid w:val="00844313"/>
    <w:rsid w:val="008444E3"/>
    <w:rsid w:val="008445B7"/>
    <w:rsid w:val="0084480B"/>
    <w:rsid w:val="00844916"/>
    <w:rsid w:val="00844AB5"/>
    <w:rsid w:val="00844CBC"/>
    <w:rsid w:val="0084576A"/>
    <w:rsid w:val="008457DC"/>
    <w:rsid w:val="00845961"/>
    <w:rsid w:val="00845B1A"/>
    <w:rsid w:val="00846114"/>
    <w:rsid w:val="008464EA"/>
    <w:rsid w:val="00847255"/>
    <w:rsid w:val="0084730D"/>
    <w:rsid w:val="0084738E"/>
    <w:rsid w:val="00847394"/>
    <w:rsid w:val="00847846"/>
    <w:rsid w:val="008479C4"/>
    <w:rsid w:val="00847E36"/>
    <w:rsid w:val="00847FAB"/>
    <w:rsid w:val="0085074C"/>
    <w:rsid w:val="00850E39"/>
    <w:rsid w:val="00850F93"/>
    <w:rsid w:val="0085172B"/>
    <w:rsid w:val="00852450"/>
    <w:rsid w:val="0085258B"/>
    <w:rsid w:val="008527FC"/>
    <w:rsid w:val="00852B50"/>
    <w:rsid w:val="00852C5D"/>
    <w:rsid w:val="00852DE5"/>
    <w:rsid w:val="00853672"/>
    <w:rsid w:val="00854076"/>
    <w:rsid w:val="00854183"/>
    <w:rsid w:val="008542AC"/>
    <w:rsid w:val="008542E5"/>
    <w:rsid w:val="0085435B"/>
    <w:rsid w:val="00855391"/>
    <w:rsid w:val="0085594B"/>
    <w:rsid w:val="00855BF1"/>
    <w:rsid w:val="008560C0"/>
    <w:rsid w:val="00856559"/>
    <w:rsid w:val="008565F4"/>
    <w:rsid w:val="00856A4D"/>
    <w:rsid w:val="00856E08"/>
    <w:rsid w:val="008572A8"/>
    <w:rsid w:val="008574D3"/>
    <w:rsid w:val="008574E9"/>
    <w:rsid w:val="008575AC"/>
    <w:rsid w:val="00857B92"/>
    <w:rsid w:val="00857D02"/>
    <w:rsid w:val="00857DA4"/>
    <w:rsid w:val="00857F3A"/>
    <w:rsid w:val="00860318"/>
    <w:rsid w:val="00860A0D"/>
    <w:rsid w:val="00860E0F"/>
    <w:rsid w:val="00860F48"/>
    <w:rsid w:val="0086122E"/>
    <w:rsid w:val="0086139D"/>
    <w:rsid w:val="00863158"/>
    <w:rsid w:val="0086342E"/>
    <w:rsid w:val="00863498"/>
    <w:rsid w:val="00863A9F"/>
    <w:rsid w:val="00863B2D"/>
    <w:rsid w:val="00864473"/>
    <w:rsid w:val="008653F7"/>
    <w:rsid w:val="00865459"/>
    <w:rsid w:val="008658CB"/>
    <w:rsid w:val="00865B9E"/>
    <w:rsid w:val="00866241"/>
    <w:rsid w:val="00866D96"/>
    <w:rsid w:val="00867131"/>
    <w:rsid w:val="00867B49"/>
    <w:rsid w:val="0087072B"/>
    <w:rsid w:val="00870DC2"/>
    <w:rsid w:val="0087168E"/>
    <w:rsid w:val="00872137"/>
    <w:rsid w:val="00872B22"/>
    <w:rsid w:val="00872DB8"/>
    <w:rsid w:val="00872FB8"/>
    <w:rsid w:val="008739D2"/>
    <w:rsid w:val="00873E51"/>
    <w:rsid w:val="008742E1"/>
    <w:rsid w:val="00874A4E"/>
    <w:rsid w:val="00875813"/>
    <w:rsid w:val="00875D5D"/>
    <w:rsid w:val="00875E17"/>
    <w:rsid w:val="008764E5"/>
    <w:rsid w:val="00876A42"/>
    <w:rsid w:val="008772A5"/>
    <w:rsid w:val="0087761B"/>
    <w:rsid w:val="0087763B"/>
    <w:rsid w:val="00877AAA"/>
    <w:rsid w:val="00877BE9"/>
    <w:rsid w:val="00880072"/>
    <w:rsid w:val="00880396"/>
    <w:rsid w:val="00880707"/>
    <w:rsid w:val="0088085A"/>
    <w:rsid w:val="00880BA7"/>
    <w:rsid w:val="00880EB3"/>
    <w:rsid w:val="008819B2"/>
    <w:rsid w:val="00881F7C"/>
    <w:rsid w:val="00881FEA"/>
    <w:rsid w:val="0088268F"/>
    <w:rsid w:val="00882D67"/>
    <w:rsid w:val="00882E63"/>
    <w:rsid w:val="00882F52"/>
    <w:rsid w:val="008835E3"/>
    <w:rsid w:val="008836A1"/>
    <w:rsid w:val="00883BC3"/>
    <w:rsid w:val="00883E91"/>
    <w:rsid w:val="00884378"/>
    <w:rsid w:val="008848BF"/>
    <w:rsid w:val="00884CE7"/>
    <w:rsid w:val="00885F4B"/>
    <w:rsid w:val="0088614E"/>
    <w:rsid w:val="008870FE"/>
    <w:rsid w:val="008902C5"/>
    <w:rsid w:val="0089034D"/>
    <w:rsid w:val="008907EF"/>
    <w:rsid w:val="00891305"/>
    <w:rsid w:val="008915CE"/>
    <w:rsid w:val="008917EB"/>
    <w:rsid w:val="00891A64"/>
    <w:rsid w:val="00891BE9"/>
    <w:rsid w:val="0089202E"/>
    <w:rsid w:val="008923C2"/>
    <w:rsid w:val="008925B9"/>
    <w:rsid w:val="00892672"/>
    <w:rsid w:val="00892B21"/>
    <w:rsid w:val="0089312D"/>
    <w:rsid w:val="008931A7"/>
    <w:rsid w:val="00893391"/>
    <w:rsid w:val="00893494"/>
    <w:rsid w:val="00893A14"/>
    <w:rsid w:val="00893E26"/>
    <w:rsid w:val="00894925"/>
    <w:rsid w:val="00894F38"/>
    <w:rsid w:val="008950D9"/>
    <w:rsid w:val="00895522"/>
    <w:rsid w:val="00895A31"/>
    <w:rsid w:val="00895E9D"/>
    <w:rsid w:val="00896338"/>
    <w:rsid w:val="00896366"/>
    <w:rsid w:val="00897339"/>
    <w:rsid w:val="00897D32"/>
    <w:rsid w:val="00897F8C"/>
    <w:rsid w:val="008A0210"/>
    <w:rsid w:val="008A0397"/>
    <w:rsid w:val="008A0C6A"/>
    <w:rsid w:val="008A1849"/>
    <w:rsid w:val="008A1E37"/>
    <w:rsid w:val="008A1F63"/>
    <w:rsid w:val="008A2184"/>
    <w:rsid w:val="008A2876"/>
    <w:rsid w:val="008A2B82"/>
    <w:rsid w:val="008A347B"/>
    <w:rsid w:val="008A3AFF"/>
    <w:rsid w:val="008A3EDE"/>
    <w:rsid w:val="008A4011"/>
    <w:rsid w:val="008A4072"/>
    <w:rsid w:val="008A41A1"/>
    <w:rsid w:val="008A54BB"/>
    <w:rsid w:val="008A5616"/>
    <w:rsid w:val="008A562A"/>
    <w:rsid w:val="008A5852"/>
    <w:rsid w:val="008A5A8A"/>
    <w:rsid w:val="008A5F67"/>
    <w:rsid w:val="008A642C"/>
    <w:rsid w:val="008A6D46"/>
    <w:rsid w:val="008A702C"/>
    <w:rsid w:val="008A7A8A"/>
    <w:rsid w:val="008A7A92"/>
    <w:rsid w:val="008B08E3"/>
    <w:rsid w:val="008B09CF"/>
    <w:rsid w:val="008B0B9A"/>
    <w:rsid w:val="008B0D2E"/>
    <w:rsid w:val="008B1143"/>
    <w:rsid w:val="008B13FF"/>
    <w:rsid w:val="008B1A5F"/>
    <w:rsid w:val="008B20F0"/>
    <w:rsid w:val="008B2739"/>
    <w:rsid w:val="008B28F8"/>
    <w:rsid w:val="008B29B6"/>
    <w:rsid w:val="008B2BF2"/>
    <w:rsid w:val="008B2C1B"/>
    <w:rsid w:val="008B302C"/>
    <w:rsid w:val="008B34C3"/>
    <w:rsid w:val="008B3B7F"/>
    <w:rsid w:val="008B3C05"/>
    <w:rsid w:val="008B3E8C"/>
    <w:rsid w:val="008B4417"/>
    <w:rsid w:val="008B45E9"/>
    <w:rsid w:val="008B4D50"/>
    <w:rsid w:val="008B5209"/>
    <w:rsid w:val="008B54B9"/>
    <w:rsid w:val="008B5B80"/>
    <w:rsid w:val="008B5F42"/>
    <w:rsid w:val="008B6026"/>
    <w:rsid w:val="008B66AB"/>
    <w:rsid w:val="008B66AC"/>
    <w:rsid w:val="008B7671"/>
    <w:rsid w:val="008C003F"/>
    <w:rsid w:val="008C0815"/>
    <w:rsid w:val="008C0979"/>
    <w:rsid w:val="008C0ABA"/>
    <w:rsid w:val="008C0CE5"/>
    <w:rsid w:val="008C0F3C"/>
    <w:rsid w:val="008C10D2"/>
    <w:rsid w:val="008C1311"/>
    <w:rsid w:val="008C14A4"/>
    <w:rsid w:val="008C1622"/>
    <w:rsid w:val="008C209E"/>
    <w:rsid w:val="008C2518"/>
    <w:rsid w:val="008C296A"/>
    <w:rsid w:val="008C2D22"/>
    <w:rsid w:val="008C2DDF"/>
    <w:rsid w:val="008C38E1"/>
    <w:rsid w:val="008C3A2C"/>
    <w:rsid w:val="008C3E28"/>
    <w:rsid w:val="008C429D"/>
    <w:rsid w:val="008C4362"/>
    <w:rsid w:val="008C4470"/>
    <w:rsid w:val="008C4630"/>
    <w:rsid w:val="008C48D4"/>
    <w:rsid w:val="008C4CEF"/>
    <w:rsid w:val="008C51E6"/>
    <w:rsid w:val="008C584C"/>
    <w:rsid w:val="008C5F8F"/>
    <w:rsid w:val="008C61AB"/>
    <w:rsid w:val="008C640D"/>
    <w:rsid w:val="008C6493"/>
    <w:rsid w:val="008C6A4A"/>
    <w:rsid w:val="008C6C13"/>
    <w:rsid w:val="008C6EE9"/>
    <w:rsid w:val="008C6F06"/>
    <w:rsid w:val="008C7132"/>
    <w:rsid w:val="008C724B"/>
    <w:rsid w:val="008C732F"/>
    <w:rsid w:val="008C7430"/>
    <w:rsid w:val="008C758C"/>
    <w:rsid w:val="008C76C6"/>
    <w:rsid w:val="008C76DD"/>
    <w:rsid w:val="008C7E90"/>
    <w:rsid w:val="008D071B"/>
    <w:rsid w:val="008D08EB"/>
    <w:rsid w:val="008D0B25"/>
    <w:rsid w:val="008D12D2"/>
    <w:rsid w:val="008D1469"/>
    <w:rsid w:val="008D14D2"/>
    <w:rsid w:val="008D2323"/>
    <w:rsid w:val="008D2C4B"/>
    <w:rsid w:val="008D2ECC"/>
    <w:rsid w:val="008D306C"/>
    <w:rsid w:val="008D3355"/>
    <w:rsid w:val="008D35D1"/>
    <w:rsid w:val="008D37D1"/>
    <w:rsid w:val="008D3D8A"/>
    <w:rsid w:val="008D3F1B"/>
    <w:rsid w:val="008D3FEF"/>
    <w:rsid w:val="008D4365"/>
    <w:rsid w:val="008D45CE"/>
    <w:rsid w:val="008D4651"/>
    <w:rsid w:val="008D46D8"/>
    <w:rsid w:val="008D4B35"/>
    <w:rsid w:val="008D4F8E"/>
    <w:rsid w:val="008D4FF6"/>
    <w:rsid w:val="008D508C"/>
    <w:rsid w:val="008D5213"/>
    <w:rsid w:val="008D5312"/>
    <w:rsid w:val="008D537B"/>
    <w:rsid w:val="008D56CD"/>
    <w:rsid w:val="008D5977"/>
    <w:rsid w:val="008D59B5"/>
    <w:rsid w:val="008D5B9A"/>
    <w:rsid w:val="008D6209"/>
    <w:rsid w:val="008D70C2"/>
    <w:rsid w:val="008D7102"/>
    <w:rsid w:val="008D737C"/>
    <w:rsid w:val="008D7682"/>
    <w:rsid w:val="008D790F"/>
    <w:rsid w:val="008D79C3"/>
    <w:rsid w:val="008D7A65"/>
    <w:rsid w:val="008E0384"/>
    <w:rsid w:val="008E03A0"/>
    <w:rsid w:val="008E0A50"/>
    <w:rsid w:val="008E0AC1"/>
    <w:rsid w:val="008E1622"/>
    <w:rsid w:val="008E1963"/>
    <w:rsid w:val="008E1BD1"/>
    <w:rsid w:val="008E2A69"/>
    <w:rsid w:val="008E39CA"/>
    <w:rsid w:val="008E4402"/>
    <w:rsid w:val="008E4501"/>
    <w:rsid w:val="008E5305"/>
    <w:rsid w:val="008E5729"/>
    <w:rsid w:val="008E5AAF"/>
    <w:rsid w:val="008E5BF4"/>
    <w:rsid w:val="008E5DB9"/>
    <w:rsid w:val="008E6086"/>
    <w:rsid w:val="008E61B3"/>
    <w:rsid w:val="008E6724"/>
    <w:rsid w:val="008E6D87"/>
    <w:rsid w:val="008E6FE3"/>
    <w:rsid w:val="008E708D"/>
    <w:rsid w:val="008E73A6"/>
    <w:rsid w:val="008E772C"/>
    <w:rsid w:val="008E7C4E"/>
    <w:rsid w:val="008E7C97"/>
    <w:rsid w:val="008F019A"/>
    <w:rsid w:val="008F0BF6"/>
    <w:rsid w:val="008F15D2"/>
    <w:rsid w:val="008F1C4D"/>
    <w:rsid w:val="008F1CE7"/>
    <w:rsid w:val="008F1F54"/>
    <w:rsid w:val="008F20CC"/>
    <w:rsid w:val="008F2988"/>
    <w:rsid w:val="008F2CCC"/>
    <w:rsid w:val="008F31B9"/>
    <w:rsid w:val="008F3D8C"/>
    <w:rsid w:val="008F5325"/>
    <w:rsid w:val="008F5544"/>
    <w:rsid w:val="008F5586"/>
    <w:rsid w:val="008F6009"/>
    <w:rsid w:val="008F6205"/>
    <w:rsid w:val="008F6444"/>
    <w:rsid w:val="008F6875"/>
    <w:rsid w:val="008F68A8"/>
    <w:rsid w:val="008F6B6A"/>
    <w:rsid w:val="008F70A0"/>
    <w:rsid w:val="008F745A"/>
    <w:rsid w:val="008F7E6B"/>
    <w:rsid w:val="009000C8"/>
    <w:rsid w:val="009004E3"/>
    <w:rsid w:val="009007BE"/>
    <w:rsid w:val="009015D8"/>
    <w:rsid w:val="0090164A"/>
    <w:rsid w:val="00901C52"/>
    <w:rsid w:val="0090267F"/>
    <w:rsid w:val="00902973"/>
    <w:rsid w:val="009029D6"/>
    <w:rsid w:val="00902E1F"/>
    <w:rsid w:val="00902EB4"/>
    <w:rsid w:val="009031FA"/>
    <w:rsid w:val="00903A71"/>
    <w:rsid w:val="00903C42"/>
    <w:rsid w:val="009041CE"/>
    <w:rsid w:val="00904C9C"/>
    <w:rsid w:val="009057DA"/>
    <w:rsid w:val="00905B7C"/>
    <w:rsid w:val="0090621D"/>
    <w:rsid w:val="00906B9A"/>
    <w:rsid w:val="0090733B"/>
    <w:rsid w:val="009076EA"/>
    <w:rsid w:val="009077D6"/>
    <w:rsid w:val="009103CC"/>
    <w:rsid w:val="009104A5"/>
    <w:rsid w:val="00911162"/>
    <w:rsid w:val="009112CA"/>
    <w:rsid w:val="00911850"/>
    <w:rsid w:val="0091189D"/>
    <w:rsid w:val="009119C6"/>
    <w:rsid w:val="0091262F"/>
    <w:rsid w:val="00913F66"/>
    <w:rsid w:val="00914140"/>
    <w:rsid w:val="0091420A"/>
    <w:rsid w:val="00914705"/>
    <w:rsid w:val="0091475F"/>
    <w:rsid w:val="009148BA"/>
    <w:rsid w:val="00914DB8"/>
    <w:rsid w:val="009150A9"/>
    <w:rsid w:val="0091530E"/>
    <w:rsid w:val="00915860"/>
    <w:rsid w:val="009159F2"/>
    <w:rsid w:val="00915A56"/>
    <w:rsid w:val="00915C9E"/>
    <w:rsid w:val="00915D59"/>
    <w:rsid w:val="00917254"/>
    <w:rsid w:val="0091746E"/>
    <w:rsid w:val="00917A52"/>
    <w:rsid w:val="00917D80"/>
    <w:rsid w:val="00920821"/>
    <w:rsid w:val="00920905"/>
    <w:rsid w:val="00920BC8"/>
    <w:rsid w:val="00921619"/>
    <w:rsid w:val="0092195D"/>
    <w:rsid w:val="00921D9C"/>
    <w:rsid w:val="00922086"/>
    <w:rsid w:val="009221CE"/>
    <w:rsid w:val="00922D76"/>
    <w:rsid w:val="00922E9B"/>
    <w:rsid w:val="00922FDD"/>
    <w:rsid w:val="00923340"/>
    <w:rsid w:val="00923354"/>
    <w:rsid w:val="00923565"/>
    <w:rsid w:val="0092360B"/>
    <w:rsid w:val="00923937"/>
    <w:rsid w:val="00923D03"/>
    <w:rsid w:val="00923FAC"/>
    <w:rsid w:val="00924471"/>
    <w:rsid w:val="00924589"/>
    <w:rsid w:val="00924D76"/>
    <w:rsid w:val="00924DB8"/>
    <w:rsid w:val="00924E09"/>
    <w:rsid w:val="00925127"/>
    <w:rsid w:val="009251F7"/>
    <w:rsid w:val="00925455"/>
    <w:rsid w:val="00925494"/>
    <w:rsid w:val="0092591F"/>
    <w:rsid w:val="00925FAF"/>
    <w:rsid w:val="00926A12"/>
    <w:rsid w:val="00927060"/>
    <w:rsid w:val="00927269"/>
    <w:rsid w:val="00927385"/>
    <w:rsid w:val="00927442"/>
    <w:rsid w:val="00927779"/>
    <w:rsid w:val="00927AC8"/>
    <w:rsid w:val="00930438"/>
    <w:rsid w:val="00930777"/>
    <w:rsid w:val="00930D55"/>
    <w:rsid w:val="00930EB2"/>
    <w:rsid w:val="00931381"/>
    <w:rsid w:val="00932C9E"/>
    <w:rsid w:val="00932ECC"/>
    <w:rsid w:val="00933076"/>
    <w:rsid w:val="009339E6"/>
    <w:rsid w:val="00933B7D"/>
    <w:rsid w:val="00933BA8"/>
    <w:rsid w:val="00933C52"/>
    <w:rsid w:val="00934417"/>
    <w:rsid w:val="00934818"/>
    <w:rsid w:val="00934C9B"/>
    <w:rsid w:val="00934DF5"/>
    <w:rsid w:val="009350A1"/>
    <w:rsid w:val="009352D7"/>
    <w:rsid w:val="00935314"/>
    <w:rsid w:val="00936143"/>
    <w:rsid w:val="009361AF"/>
    <w:rsid w:val="00936405"/>
    <w:rsid w:val="009364AD"/>
    <w:rsid w:val="009365D9"/>
    <w:rsid w:val="00936C0B"/>
    <w:rsid w:val="00936D1D"/>
    <w:rsid w:val="0093719C"/>
    <w:rsid w:val="009371C2"/>
    <w:rsid w:val="00937DC2"/>
    <w:rsid w:val="00937F5C"/>
    <w:rsid w:val="009407BB"/>
    <w:rsid w:val="00940AF0"/>
    <w:rsid w:val="00940C13"/>
    <w:rsid w:val="009410A7"/>
    <w:rsid w:val="00941546"/>
    <w:rsid w:val="00941C35"/>
    <w:rsid w:val="00941D47"/>
    <w:rsid w:val="00942C08"/>
    <w:rsid w:val="00942D4F"/>
    <w:rsid w:val="00944258"/>
    <w:rsid w:val="00944AEB"/>
    <w:rsid w:val="00944E20"/>
    <w:rsid w:val="009451C7"/>
    <w:rsid w:val="009452AA"/>
    <w:rsid w:val="009452E7"/>
    <w:rsid w:val="00945573"/>
    <w:rsid w:val="0094638C"/>
    <w:rsid w:val="009463AA"/>
    <w:rsid w:val="00946620"/>
    <w:rsid w:val="00946935"/>
    <w:rsid w:val="0094697C"/>
    <w:rsid w:val="00946D2F"/>
    <w:rsid w:val="00947C9A"/>
    <w:rsid w:val="009513D8"/>
    <w:rsid w:val="009515A2"/>
    <w:rsid w:val="009515FD"/>
    <w:rsid w:val="0095166D"/>
    <w:rsid w:val="00951FD8"/>
    <w:rsid w:val="009522C9"/>
    <w:rsid w:val="00952E4F"/>
    <w:rsid w:val="00952ECD"/>
    <w:rsid w:val="00953B47"/>
    <w:rsid w:val="00953B6B"/>
    <w:rsid w:val="00953D47"/>
    <w:rsid w:val="00953DA8"/>
    <w:rsid w:val="00954564"/>
    <w:rsid w:val="0095467D"/>
    <w:rsid w:val="009549E2"/>
    <w:rsid w:val="009551F8"/>
    <w:rsid w:val="009559E2"/>
    <w:rsid w:val="00955CC6"/>
    <w:rsid w:val="00955D0C"/>
    <w:rsid w:val="0095663A"/>
    <w:rsid w:val="00956C5B"/>
    <w:rsid w:val="00956D39"/>
    <w:rsid w:val="00956E82"/>
    <w:rsid w:val="00957220"/>
    <w:rsid w:val="0095729E"/>
    <w:rsid w:val="0095774E"/>
    <w:rsid w:val="00957E43"/>
    <w:rsid w:val="009601CE"/>
    <w:rsid w:val="00960337"/>
    <w:rsid w:val="00960880"/>
    <w:rsid w:val="009608A1"/>
    <w:rsid w:val="0096091B"/>
    <w:rsid w:val="00960A0B"/>
    <w:rsid w:val="00960D9A"/>
    <w:rsid w:val="00960DAB"/>
    <w:rsid w:val="00961001"/>
    <w:rsid w:val="009614BB"/>
    <w:rsid w:val="00961FB8"/>
    <w:rsid w:val="00961FB9"/>
    <w:rsid w:val="00962855"/>
    <w:rsid w:val="0096356F"/>
    <w:rsid w:val="0096360E"/>
    <w:rsid w:val="009638B7"/>
    <w:rsid w:val="00963A89"/>
    <w:rsid w:val="00965185"/>
    <w:rsid w:val="00965335"/>
    <w:rsid w:val="00965673"/>
    <w:rsid w:val="00965702"/>
    <w:rsid w:val="00965744"/>
    <w:rsid w:val="00966545"/>
    <w:rsid w:val="00966B5E"/>
    <w:rsid w:val="009671ED"/>
    <w:rsid w:val="0096727B"/>
    <w:rsid w:val="009676A6"/>
    <w:rsid w:val="00967866"/>
    <w:rsid w:val="00967DED"/>
    <w:rsid w:val="00970684"/>
    <w:rsid w:val="0097093E"/>
    <w:rsid w:val="009709BF"/>
    <w:rsid w:val="00970AE1"/>
    <w:rsid w:val="00971899"/>
    <w:rsid w:val="00971945"/>
    <w:rsid w:val="00973177"/>
    <w:rsid w:val="009734EF"/>
    <w:rsid w:val="00973B7B"/>
    <w:rsid w:val="009744BE"/>
    <w:rsid w:val="0097504E"/>
    <w:rsid w:val="00975350"/>
    <w:rsid w:val="00975BC5"/>
    <w:rsid w:val="00976CB6"/>
    <w:rsid w:val="00976D34"/>
    <w:rsid w:val="009771BF"/>
    <w:rsid w:val="0097723F"/>
    <w:rsid w:val="00977444"/>
    <w:rsid w:val="00977FD1"/>
    <w:rsid w:val="0098030C"/>
    <w:rsid w:val="00980B9E"/>
    <w:rsid w:val="00980E7B"/>
    <w:rsid w:val="009812A2"/>
    <w:rsid w:val="009813EA"/>
    <w:rsid w:val="00981417"/>
    <w:rsid w:val="00981765"/>
    <w:rsid w:val="009817D7"/>
    <w:rsid w:val="009818CA"/>
    <w:rsid w:val="00981AFE"/>
    <w:rsid w:val="009828DC"/>
    <w:rsid w:val="00982D89"/>
    <w:rsid w:val="00982F05"/>
    <w:rsid w:val="00982FBC"/>
    <w:rsid w:val="0098352E"/>
    <w:rsid w:val="00983722"/>
    <w:rsid w:val="00983847"/>
    <w:rsid w:val="00983F68"/>
    <w:rsid w:val="009843A5"/>
    <w:rsid w:val="009843E4"/>
    <w:rsid w:val="009845E1"/>
    <w:rsid w:val="009847B1"/>
    <w:rsid w:val="009847D4"/>
    <w:rsid w:val="00984882"/>
    <w:rsid w:val="00984B15"/>
    <w:rsid w:val="009850C7"/>
    <w:rsid w:val="009854F1"/>
    <w:rsid w:val="00985778"/>
    <w:rsid w:val="00985EC5"/>
    <w:rsid w:val="00985F2F"/>
    <w:rsid w:val="00986242"/>
    <w:rsid w:val="00986523"/>
    <w:rsid w:val="00986735"/>
    <w:rsid w:val="00986768"/>
    <w:rsid w:val="00986DB9"/>
    <w:rsid w:val="00987076"/>
    <w:rsid w:val="009873DB"/>
    <w:rsid w:val="00987591"/>
    <w:rsid w:val="009877D9"/>
    <w:rsid w:val="00987889"/>
    <w:rsid w:val="0098795E"/>
    <w:rsid w:val="00987BD5"/>
    <w:rsid w:val="00987C59"/>
    <w:rsid w:val="00987C82"/>
    <w:rsid w:val="00987CF5"/>
    <w:rsid w:val="00987F87"/>
    <w:rsid w:val="0099078E"/>
    <w:rsid w:val="009908D4"/>
    <w:rsid w:val="00990A77"/>
    <w:rsid w:val="00990CA7"/>
    <w:rsid w:val="00990EA0"/>
    <w:rsid w:val="009910AF"/>
    <w:rsid w:val="00991290"/>
    <w:rsid w:val="00991F0B"/>
    <w:rsid w:val="00991FF4"/>
    <w:rsid w:val="00992371"/>
    <w:rsid w:val="00992492"/>
    <w:rsid w:val="00992AB9"/>
    <w:rsid w:val="0099353B"/>
    <w:rsid w:val="00993E73"/>
    <w:rsid w:val="00994617"/>
    <w:rsid w:val="0099466D"/>
    <w:rsid w:val="00994745"/>
    <w:rsid w:val="009947AE"/>
    <w:rsid w:val="00994E05"/>
    <w:rsid w:val="009951BA"/>
    <w:rsid w:val="009951D6"/>
    <w:rsid w:val="009962D5"/>
    <w:rsid w:val="00996468"/>
    <w:rsid w:val="009965C4"/>
    <w:rsid w:val="009967A8"/>
    <w:rsid w:val="0099681C"/>
    <w:rsid w:val="00996DAE"/>
    <w:rsid w:val="00996E06"/>
    <w:rsid w:val="00996E34"/>
    <w:rsid w:val="00997151"/>
    <w:rsid w:val="0099769B"/>
    <w:rsid w:val="00997969"/>
    <w:rsid w:val="00997B4B"/>
    <w:rsid w:val="009A0F8A"/>
    <w:rsid w:val="009A1D93"/>
    <w:rsid w:val="009A2184"/>
    <w:rsid w:val="009A2412"/>
    <w:rsid w:val="009A24F6"/>
    <w:rsid w:val="009A2C2A"/>
    <w:rsid w:val="009A2E5A"/>
    <w:rsid w:val="009A33F0"/>
    <w:rsid w:val="009A3A15"/>
    <w:rsid w:val="009A3C8D"/>
    <w:rsid w:val="009A4713"/>
    <w:rsid w:val="009A48F1"/>
    <w:rsid w:val="009A4A98"/>
    <w:rsid w:val="009A50AC"/>
    <w:rsid w:val="009A5285"/>
    <w:rsid w:val="009A52C0"/>
    <w:rsid w:val="009A54B4"/>
    <w:rsid w:val="009A56F5"/>
    <w:rsid w:val="009A5997"/>
    <w:rsid w:val="009A5B76"/>
    <w:rsid w:val="009A5B78"/>
    <w:rsid w:val="009A5C81"/>
    <w:rsid w:val="009A5F26"/>
    <w:rsid w:val="009A5F5D"/>
    <w:rsid w:val="009A6224"/>
    <w:rsid w:val="009A63DA"/>
    <w:rsid w:val="009A6400"/>
    <w:rsid w:val="009A6B71"/>
    <w:rsid w:val="009A6D67"/>
    <w:rsid w:val="009A6EB1"/>
    <w:rsid w:val="009A737A"/>
    <w:rsid w:val="009A7425"/>
    <w:rsid w:val="009A786C"/>
    <w:rsid w:val="009B01A5"/>
    <w:rsid w:val="009B09BA"/>
    <w:rsid w:val="009B0A89"/>
    <w:rsid w:val="009B0FB5"/>
    <w:rsid w:val="009B105C"/>
    <w:rsid w:val="009B123D"/>
    <w:rsid w:val="009B1487"/>
    <w:rsid w:val="009B2D5B"/>
    <w:rsid w:val="009B2FC1"/>
    <w:rsid w:val="009B3373"/>
    <w:rsid w:val="009B3407"/>
    <w:rsid w:val="009B370D"/>
    <w:rsid w:val="009B3835"/>
    <w:rsid w:val="009B3ABA"/>
    <w:rsid w:val="009B3ECA"/>
    <w:rsid w:val="009B3FF2"/>
    <w:rsid w:val="009B4A6C"/>
    <w:rsid w:val="009B55FD"/>
    <w:rsid w:val="009B5DAC"/>
    <w:rsid w:val="009B5DB8"/>
    <w:rsid w:val="009B5E1B"/>
    <w:rsid w:val="009B63DD"/>
    <w:rsid w:val="009B6973"/>
    <w:rsid w:val="009B6B65"/>
    <w:rsid w:val="009B6CFB"/>
    <w:rsid w:val="009B6D04"/>
    <w:rsid w:val="009B7375"/>
    <w:rsid w:val="009B7385"/>
    <w:rsid w:val="009B77F7"/>
    <w:rsid w:val="009B7CE8"/>
    <w:rsid w:val="009B7F04"/>
    <w:rsid w:val="009C03F8"/>
    <w:rsid w:val="009C17A9"/>
    <w:rsid w:val="009C18F4"/>
    <w:rsid w:val="009C1BE9"/>
    <w:rsid w:val="009C1F16"/>
    <w:rsid w:val="009C26CB"/>
    <w:rsid w:val="009C295F"/>
    <w:rsid w:val="009C2B04"/>
    <w:rsid w:val="009C2D64"/>
    <w:rsid w:val="009C2E53"/>
    <w:rsid w:val="009C3BCB"/>
    <w:rsid w:val="009C4231"/>
    <w:rsid w:val="009C49BC"/>
    <w:rsid w:val="009C49F0"/>
    <w:rsid w:val="009C4DBB"/>
    <w:rsid w:val="009C52F5"/>
    <w:rsid w:val="009C5B95"/>
    <w:rsid w:val="009C5C04"/>
    <w:rsid w:val="009C60A4"/>
    <w:rsid w:val="009C632C"/>
    <w:rsid w:val="009C65DC"/>
    <w:rsid w:val="009C6739"/>
    <w:rsid w:val="009C6A5F"/>
    <w:rsid w:val="009C6B4F"/>
    <w:rsid w:val="009C6C30"/>
    <w:rsid w:val="009C6DDD"/>
    <w:rsid w:val="009C71AE"/>
    <w:rsid w:val="009C72D2"/>
    <w:rsid w:val="009C74AF"/>
    <w:rsid w:val="009C780E"/>
    <w:rsid w:val="009C78A1"/>
    <w:rsid w:val="009D0636"/>
    <w:rsid w:val="009D145D"/>
    <w:rsid w:val="009D15BE"/>
    <w:rsid w:val="009D17E1"/>
    <w:rsid w:val="009D2E0E"/>
    <w:rsid w:val="009D2E40"/>
    <w:rsid w:val="009D2E73"/>
    <w:rsid w:val="009D3B79"/>
    <w:rsid w:val="009D4C58"/>
    <w:rsid w:val="009D4CB6"/>
    <w:rsid w:val="009D4D23"/>
    <w:rsid w:val="009D50A5"/>
    <w:rsid w:val="009D5A17"/>
    <w:rsid w:val="009D5FA7"/>
    <w:rsid w:val="009D6B49"/>
    <w:rsid w:val="009D6BDE"/>
    <w:rsid w:val="009D6ED0"/>
    <w:rsid w:val="009D6F5C"/>
    <w:rsid w:val="009D6FF5"/>
    <w:rsid w:val="009D72D2"/>
    <w:rsid w:val="009D75D7"/>
    <w:rsid w:val="009D788F"/>
    <w:rsid w:val="009D7DE6"/>
    <w:rsid w:val="009E000F"/>
    <w:rsid w:val="009E08E1"/>
    <w:rsid w:val="009E093C"/>
    <w:rsid w:val="009E11AC"/>
    <w:rsid w:val="009E1534"/>
    <w:rsid w:val="009E188E"/>
    <w:rsid w:val="009E18B6"/>
    <w:rsid w:val="009E1B16"/>
    <w:rsid w:val="009E21A3"/>
    <w:rsid w:val="009E2718"/>
    <w:rsid w:val="009E2E46"/>
    <w:rsid w:val="009E2F34"/>
    <w:rsid w:val="009E3391"/>
    <w:rsid w:val="009E3AC1"/>
    <w:rsid w:val="009E3D9C"/>
    <w:rsid w:val="009E3E1B"/>
    <w:rsid w:val="009E3F4F"/>
    <w:rsid w:val="009E456A"/>
    <w:rsid w:val="009E4599"/>
    <w:rsid w:val="009E4A30"/>
    <w:rsid w:val="009E5027"/>
    <w:rsid w:val="009E514F"/>
    <w:rsid w:val="009E5415"/>
    <w:rsid w:val="009E5585"/>
    <w:rsid w:val="009E5587"/>
    <w:rsid w:val="009E564C"/>
    <w:rsid w:val="009E597E"/>
    <w:rsid w:val="009E61D4"/>
    <w:rsid w:val="009E66A9"/>
    <w:rsid w:val="009E6741"/>
    <w:rsid w:val="009E6CFD"/>
    <w:rsid w:val="009E6D5B"/>
    <w:rsid w:val="009E704A"/>
    <w:rsid w:val="009E7206"/>
    <w:rsid w:val="009E725E"/>
    <w:rsid w:val="009E73A7"/>
    <w:rsid w:val="009E7C8C"/>
    <w:rsid w:val="009E7E8B"/>
    <w:rsid w:val="009F0177"/>
    <w:rsid w:val="009F113D"/>
    <w:rsid w:val="009F118D"/>
    <w:rsid w:val="009F1366"/>
    <w:rsid w:val="009F17E5"/>
    <w:rsid w:val="009F18E6"/>
    <w:rsid w:val="009F194D"/>
    <w:rsid w:val="009F237F"/>
    <w:rsid w:val="009F23AB"/>
    <w:rsid w:val="009F284F"/>
    <w:rsid w:val="009F290B"/>
    <w:rsid w:val="009F2E17"/>
    <w:rsid w:val="009F2E23"/>
    <w:rsid w:val="009F3424"/>
    <w:rsid w:val="009F3784"/>
    <w:rsid w:val="009F419C"/>
    <w:rsid w:val="009F46F1"/>
    <w:rsid w:val="009F4E80"/>
    <w:rsid w:val="009F5033"/>
    <w:rsid w:val="009F534A"/>
    <w:rsid w:val="009F55A5"/>
    <w:rsid w:val="009F599E"/>
    <w:rsid w:val="009F5B29"/>
    <w:rsid w:val="009F5E65"/>
    <w:rsid w:val="009F6459"/>
    <w:rsid w:val="009F64DC"/>
    <w:rsid w:val="009F6734"/>
    <w:rsid w:val="009F7A75"/>
    <w:rsid w:val="00A00165"/>
    <w:rsid w:val="00A00AD3"/>
    <w:rsid w:val="00A00BC1"/>
    <w:rsid w:val="00A01139"/>
    <w:rsid w:val="00A014A3"/>
    <w:rsid w:val="00A01A87"/>
    <w:rsid w:val="00A0222C"/>
    <w:rsid w:val="00A022D5"/>
    <w:rsid w:val="00A027C4"/>
    <w:rsid w:val="00A03F93"/>
    <w:rsid w:val="00A0413C"/>
    <w:rsid w:val="00A04325"/>
    <w:rsid w:val="00A04746"/>
    <w:rsid w:val="00A05056"/>
    <w:rsid w:val="00A052E3"/>
    <w:rsid w:val="00A05A6E"/>
    <w:rsid w:val="00A060D5"/>
    <w:rsid w:val="00A06289"/>
    <w:rsid w:val="00A0668C"/>
    <w:rsid w:val="00A066C9"/>
    <w:rsid w:val="00A066D1"/>
    <w:rsid w:val="00A07577"/>
    <w:rsid w:val="00A075DB"/>
    <w:rsid w:val="00A0770D"/>
    <w:rsid w:val="00A07855"/>
    <w:rsid w:val="00A10201"/>
    <w:rsid w:val="00A10B28"/>
    <w:rsid w:val="00A1112C"/>
    <w:rsid w:val="00A11E0F"/>
    <w:rsid w:val="00A11E79"/>
    <w:rsid w:val="00A1208F"/>
    <w:rsid w:val="00A123DA"/>
    <w:rsid w:val="00A124A3"/>
    <w:rsid w:val="00A125BD"/>
    <w:rsid w:val="00A12A10"/>
    <w:rsid w:val="00A12DCB"/>
    <w:rsid w:val="00A12DFB"/>
    <w:rsid w:val="00A13617"/>
    <w:rsid w:val="00A13F4F"/>
    <w:rsid w:val="00A13F54"/>
    <w:rsid w:val="00A13FF3"/>
    <w:rsid w:val="00A1423E"/>
    <w:rsid w:val="00A14317"/>
    <w:rsid w:val="00A1463D"/>
    <w:rsid w:val="00A14AB7"/>
    <w:rsid w:val="00A14CFE"/>
    <w:rsid w:val="00A14D37"/>
    <w:rsid w:val="00A15239"/>
    <w:rsid w:val="00A152E9"/>
    <w:rsid w:val="00A15B84"/>
    <w:rsid w:val="00A15E24"/>
    <w:rsid w:val="00A1612A"/>
    <w:rsid w:val="00A162A5"/>
    <w:rsid w:val="00A163EA"/>
    <w:rsid w:val="00A16D63"/>
    <w:rsid w:val="00A17277"/>
    <w:rsid w:val="00A176C9"/>
    <w:rsid w:val="00A179EC"/>
    <w:rsid w:val="00A179F2"/>
    <w:rsid w:val="00A17A16"/>
    <w:rsid w:val="00A17B93"/>
    <w:rsid w:val="00A17DC4"/>
    <w:rsid w:val="00A2059B"/>
    <w:rsid w:val="00A20A23"/>
    <w:rsid w:val="00A20C8C"/>
    <w:rsid w:val="00A20CB7"/>
    <w:rsid w:val="00A20EDE"/>
    <w:rsid w:val="00A20F68"/>
    <w:rsid w:val="00A21090"/>
    <w:rsid w:val="00A2115E"/>
    <w:rsid w:val="00A2121A"/>
    <w:rsid w:val="00A21BD6"/>
    <w:rsid w:val="00A21EF6"/>
    <w:rsid w:val="00A21F80"/>
    <w:rsid w:val="00A21FD9"/>
    <w:rsid w:val="00A22591"/>
    <w:rsid w:val="00A22ADA"/>
    <w:rsid w:val="00A22B8E"/>
    <w:rsid w:val="00A22C14"/>
    <w:rsid w:val="00A22FA5"/>
    <w:rsid w:val="00A22FDD"/>
    <w:rsid w:val="00A2325B"/>
    <w:rsid w:val="00A23F7B"/>
    <w:rsid w:val="00A2456E"/>
    <w:rsid w:val="00A2478F"/>
    <w:rsid w:val="00A24E11"/>
    <w:rsid w:val="00A24F18"/>
    <w:rsid w:val="00A25186"/>
    <w:rsid w:val="00A256E5"/>
    <w:rsid w:val="00A2593C"/>
    <w:rsid w:val="00A25AB4"/>
    <w:rsid w:val="00A25ADD"/>
    <w:rsid w:val="00A25B76"/>
    <w:rsid w:val="00A2699E"/>
    <w:rsid w:val="00A26B06"/>
    <w:rsid w:val="00A27301"/>
    <w:rsid w:val="00A27CEA"/>
    <w:rsid w:val="00A27DF1"/>
    <w:rsid w:val="00A307AA"/>
    <w:rsid w:val="00A30A83"/>
    <w:rsid w:val="00A30D8C"/>
    <w:rsid w:val="00A310B5"/>
    <w:rsid w:val="00A3153C"/>
    <w:rsid w:val="00A32228"/>
    <w:rsid w:val="00A324F3"/>
    <w:rsid w:val="00A32CA9"/>
    <w:rsid w:val="00A33269"/>
    <w:rsid w:val="00A334DB"/>
    <w:rsid w:val="00A34594"/>
    <w:rsid w:val="00A346B5"/>
    <w:rsid w:val="00A34805"/>
    <w:rsid w:val="00A349D9"/>
    <w:rsid w:val="00A34B3F"/>
    <w:rsid w:val="00A3511E"/>
    <w:rsid w:val="00A356BA"/>
    <w:rsid w:val="00A35753"/>
    <w:rsid w:val="00A35789"/>
    <w:rsid w:val="00A360CE"/>
    <w:rsid w:val="00A36127"/>
    <w:rsid w:val="00A36276"/>
    <w:rsid w:val="00A36BF4"/>
    <w:rsid w:val="00A36D83"/>
    <w:rsid w:val="00A3700F"/>
    <w:rsid w:val="00A4012B"/>
    <w:rsid w:val="00A401F0"/>
    <w:rsid w:val="00A4030C"/>
    <w:rsid w:val="00A41715"/>
    <w:rsid w:val="00A41FFD"/>
    <w:rsid w:val="00A42170"/>
    <w:rsid w:val="00A42203"/>
    <w:rsid w:val="00A42377"/>
    <w:rsid w:val="00A42434"/>
    <w:rsid w:val="00A4325F"/>
    <w:rsid w:val="00A43976"/>
    <w:rsid w:val="00A43AAE"/>
    <w:rsid w:val="00A43D34"/>
    <w:rsid w:val="00A43DED"/>
    <w:rsid w:val="00A44104"/>
    <w:rsid w:val="00A4421D"/>
    <w:rsid w:val="00A4421F"/>
    <w:rsid w:val="00A45058"/>
    <w:rsid w:val="00A45AE6"/>
    <w:rsid w:val="00A4613F"/>
    <w:rsid w:val="00A46219"/>
    <w:rsid w:val="00A463FB"/>
    <w:rsid w:val="00A46986"/>
    <w:rsid w:val="00A478AF"/>
    <w:rsid w:val="00A47A4A"/>
    <w:rsid w:val="00A47A72"/>
    <w:rsid w:val="00A50ED5"/>
    <w:rsid w:val="00A51E13"/>
    <w:rsid w:val="00A524A1"/>
    <w:rsid w:val="00A52B10"/>
    <w:rsid w:val="00A5345C"/>
    <w:rsid w:val="00A538EF"/>
    <w:rsid w:val="00A53CF5"/>
    <w:rsid w:val="00A53E85"/>
    <w:rsid w:val="00A53F3F"/>
    <w:rsid w:val="00A5422B"/>
    <w:rsid w:val="00A546B6"/>
    <w:rsid w:val="00A5477B"/>
    <w:rsid w:val="00A54802"/>
    <w:rsid w:val="00A54D0D"/>
    <w:rsid w:val="00A55007"/>
    <w:rsid w:val="00A55061"/>
    <w:rsid w:val="00A55F25"/>
    <w:rsid w:val="00A562A6"/>
    <w:rsid w:val="00A56373"/>
    <w:rsid w:val="00A5644A"/>
    <w:rsid w:val="00A57240"/>
    <w:rsid w:val="00A57396"/>
    <w:rsid w:val="00A57604"/>
    <w:rsid w:val="00A57B1B"/>
    <w:rsid w:val="00A6077B"/>
    <w:rsid w:val="00A60786"/>
    <w:rsid w:val="00A614DE"/>
    <w:rsid w:val="00A61CB0"/>
    <w:rsid w:val="00A61D37"/>
    <w:rsid w:val="00A623FD"/>
    <w:rsid w:val="00A63470"/>
    <w:rsid w:val="00A635D0"/>
    <w:rsid w:val="00A63833"/>
    <w:rsid w:val="00A63F08"/>
    <w:rsid w:val="00A64097"/>
    <w:rsid w:val="00A6460D"/>
    <w:rsid w:val="00A64E58"/>
    <w:rsid w:val="00A650F0"/>
    <w:rsid w:val="00A65181"/>
    <w:rsid w:val="00A65657"/>
    <w:rsid w:val="00A6569E"/>
    <w:rsid w:val="00A656C1"/>
    <w:rsid w:val="00A65D1F"/>
    <w:rsid w:val="00A6627B"/>
    <w:rsid w:val="00A662B4"/>
    <w:rsid w:val="00A666F2"/>
    <w:rsid w:val="00A66A87"/>
    <w:rsid w:val="00A66B3F"/>
    <w:rsid w:val="00A66DA6"/>
    <w:rsid w:val="00A66DF8"/>
    <w:rsid w:val="00A66E4E"/>
    <w:rsid w:val="00A67292"/>
    <w:rsid w:val="00A67BE6"/>
    <w:rsid w:val="00A67C99"/>
    <w:rsid w:val="00A70075"/>
    <w:rsid w:val="00A7082A"/>
    <w:rsid w:val="00A709E2"/>
    <w:rsid w:val="00A70A97"/>
    <w:rsid w:val="00A7106C"/>
    <w:rsid w:val="00A711E9"/>
    <w:rsid w:val="00A71274"/>
    <w:rsid w:val="00A71473"/>
    <w:rsid w:val="00A71555"/>
    <w:rsid w:val="00A71794"/>
    <w:rsid w:val="00A719C6"/>
    <w:rsid w:val="00A71ADB"/>
    <w:rsid w:val="00A72ECA"/>
    <w:rsid w:val="00A7318A"/>
    <w:rsid w:val="00A738BC"/>
    <w:rsid w:val="00A739E5"/>
    <w:rsid w:val="00A73C9D"/>
    <w:rsid w:val="00A74079"/>
    <w:rsid w:val="00A74362"/>
    <w:rsid w:val="00A744E6"/>
    <w:rsid w:val="00A7466A"/>
    <w:rsid w:val="00A748BA"/>
    <w:rsid w:val="00A76189"/>
    <w:rsid w:val="00A7623F"/>
    <w:rsid w:val="00A76350"/>
    <w:rsid w:val="00A769E2"/>
    <w:rsid w:val="00A77AE8"/>
    <w:rsid w:val="00A77E19"/>
    <w:rsid w:val="00A77EB0"/>
    <w:rsid w:val="00A801DC"/>
    <w:rsid w:val="00A8099E"/>
    <w:rsid w:val="00A810CA"/>
    <w:rsid w:val="00A8147E"/>
    <w:rsid w:val="00A814B9"/>
    <w:rsid w:val="00A816B9"/>
    <w:rsid w:val="00A82641"/>
    <w:rsid w:val="00A827C5"/>
    <w:rsid w:val="00A8309E"/>
    <w:rsid w:val="00A8324E"/>
    <w:rsid w:val="00A834D0"/>
    <w:rsid w:val="00A83B41"/>
    <w:rsid w:val="00A83ED0"/>
    <w:rsid w:val="00A8427E"/>
    <w:rsid w:val="00A84E68"/>
    <w:rsid w:val="00A85A81"/>
    <w:rsid w:val="00A85BB0"/>
    <w:rsid w:val="00A85EE1"/>
    <w:rsid w:val="00A86176"/>
    <w:rsid w:val="00A8617E"/>
    <w:rsid w:val="00A865E5"/>
    <w:rsid w:val="00A86969"/>
    <w:rsid w:val="00A9031A"/>
    <w:rsid w:val="00A9042E"/>
    <w:rsid w:val="00A905B4"/>
    <w:rsid w:val="00A90B59"/>
    <w:rsid w:val="00A9152B"/>
    <w:rsid w:val="00A91C40"/>
    <w:rsid w:val="00A9256A"/>
    <w:rsid w:val="00A92B6E"/>
    <w:rsid w:val="00A94485"/>
    <w:rsid w:val="00A9471B"/>
    <w:rsid w:val="00A95011"/>
    <w:rsid w:val="00A9507A"/>
    <w:rsid w:val="00A95522"/>
    <w:rsid w:val="00A95554"/>
    <w:rsid w:val="00A957BC"/>
    <w:rsid w:val="00A95808"/>
    <w:rsid w:val="00A95AE2"/>
    <w:rsid w:val="00A95D37"/>
    <w:rsid w:val="00A961B8"/>
    <w:rsid w:val="00A961D3"/>
    <w:rsid w:val="00A965F5"/>
    <w:rsid w:val="00A970B5"/>
    <w:rsid w:val="00A97300"/>
    <w:rsid w:val="00A97888"/>
    <w:rsid w:val="00AA0056"/>
    <w:rsid w:val="00AA052E"/>
    <w:rsid w:val="00AA09B2"/>
    <w:rsid w:val="00AA0CFD"/>
    <w:rsid w:val="00AA11C2"/>
    <w:rsid w:val="00AA1408"/>
    <w:rsid w:val="00AA2400"/>
    <w:rsid w:val="00AA2476"/>
    <w:rsid w:val="00AA25BD"/>
    <w:rsid w:val="00AA2B5C"/>
    <w:rsid w:val="00AA2BBD"/>
    <w:rsid w:val="00AA3428"/>
    <w:rsid w:val="00AA3DC2"/>
    <w:rsid w:val="00AA3E97"/>
    <w:rsid w:val="00AA42BD"/>
    <w:rsid w:val="00AA576C"/>
    <w:rsid w:val="00AA6040"/>
    <w:rsid w:val="00AA658B"/>
    <w:rsid w:val="00AA6BCA"/>
    <w:rsid w:val="00AA6E9C"/>
    <w:rsid w:val="00AA7254"/>
    <w:rsid w:val="00AA77BA"/>
    <w:rsid w:val="00AA79C8"/>
    <w:rsid w:val="00AA7ABB"/>
    <w:rsid w:val="00AA7E16"/>
    <w:rsid w:val="00AB03A1"/>
    <w:rsid w:val="00AB0420"/>
    <w:rsid w:val="00AB0570"/>
    <w:rsid w:val="00AB0639"/>
    <w:rsid w:val="00AB0AC3"/>
    <w:rsid w:val="00AB0B93"/>
    <w:rsid w:val="00AB0F3A"/>
    <w:rsid w:val="00AB1FF5"/>
    <w:rsid w:val="00AB2436"/>
    <w:rsid w:val="00AB2682"/>
    <w:rsid w:val="00AB2B69"/>
    <w:rsid w:val="00AB2EF6"/>
    <w:rsid w:val="00AB2FEB"/>
    <w:rsid w:val="00AB3448"/>
    <w:rsid w:val="00AB372D"/>
    <w:rsid w:val="00AB3BD0"/>
    <w:rsid w:val="00AB3DE6"/>
    <w:rsid w:val="00AB4008"/>
    <w:rsid w:val="00AB4093"/>
    <w:rsid w:val="00AB4587"/>
    <w:rsid w:val="00AB4676"/>
    <w:rsid w:val="00AB4A8B"/>
    <w:rsid w:val="00AB4BAD"/>
    <w:rsid w:val="00AB50B6"/>
    <w:rsid w:val="00AB51EC"/>
    <w:rsid w:val="00AB574F"/>
    <w:rsid w:val="00AB579B"/>
    <w:rsid w:val="00AB600F"/>
    <w:rsid w:val="00AB62FA"/>
    <w:rsid w:val="00AB651E"/>
    <w:rsid w:val="00AB6CA1"/>
    <w:rsid w:val="00AB74E2"/>
    <w:rsid w:val="00AB77A9"/>
    <w:rsid w:val="00AB7AC4"/>
    <w:rsid w:val="00AB7C45"/>
    <w:rsid w:val="00AC0A82"/>
    <w:rsid w:val="00AC0EFE"/>
    <w:rsid w:val="00AC111D"/>
    <w:rsid w:val="00AC129F"/>
    <w:rsid w:val="00AC1B69"/>
    <w:rsid w:val="00AC2687"/>
    <w:rsid w:val="00AC298D"/>
    <w:rsid w:val="00AC3271"/>
    <w:rsid w:val="00AC32BE"/>
    <w:rsid w:val="00AC32EC"/>
    <w:rsid w:val="00AC356A"/>
    <w:rsid w:val="00AC3B20"/>
    <w:rsid w:val="00AC3D20"/>
    <w:rsid w:val="00AC3DCA"/>
    <w:rsid w:val="00AC3EFC"/>
    <w:rsid w:val="00AC403A"/>
    <w:rsid w:val="00AC44CC"/>
    <w:rsid w:val="00AC45FC"/>
    <w:rsid w:val="00AC4803"/>
    <w:rsid w:val="00AC4C2C"/>
    <w:rsid w:val="00AC4FE8"/>
    <w:rsid w:val="00AC51B8"/>
    <w:rsid w:val="00AC5717"/>
    <w:rsid w:val="00AC57F2"/>
    <w:rsid w:val="00AC5B3A"/>
    <w:rsid w:val="00AC5B88"/>
    <w:rsid w:val="00AC69C4"/>
    <w:rsid w:val="00AC6EB0"/>
    <w:rsid w:val="00AC6F06"/>
    <w:rsid w:val="00AC7319"/>
    <w:rsid w:val="00AC74B5"/>
    <w:rsid w:val="00AC75A3"/>
    <w:rsid w:val="00AC7B79"/>
    <w:rsid w:val="00AC7C8A"/>
    <w:rsid w:val="00AC7FA9"/>
    <w:rsid w:val="00AD00C8"/>
    <w:rsid w:val="00AD013D"/>
    <w:rsid w:val="00AD0201"/>
    <w:rsid w:val="00AD04D8"/>
    <w:rsid w:val="00AD0824"/>
    <w:rsid w:val="00AD0928"/>
    <w:rsid w:val="00AD0A9C"/>
    <w:rsid w:val="00AD0E4B"/>
    <w:rsid w:val="00AD10F7"/>
    <w:rsid w:val="00AD1328"/>
    <w:rsid w:val="00AD159A"/>
    <w:rsid w:val="00AD1917"/>
    <w:rsid w:val="00AD1EA4"/>
    <w:rsid w:val="00AD20AD"/>
    <w:rsid w:val="00AD30E7"/>
    <w:rsid w:val="00AD3BF0"/>
    <w:rsid w:val="00AD41F9"/>
    <w:rsid w:val="00AD46EA"/>
    <w:rsid w:val="00AD46F6"/>
    <w:rsid w:val="00AD4762"/>
    <w:rsid w:val="00AD4796"/>
    <w:rsid w:val="00AD4881"/>
    <w:rsid w:val="00AD4CF8"/>
    <w:rsid w:val="00AD4DA6"/>
    <w:rsid w:val="00AD50C9"/>
    <w:rsid w:val="00AD50FB"/>
    <w:rsid w:val="00AD5131"/>
    <w:rsid w:val="00AD5360"/>
    <w:rsid w:val="00AD573B"/>
    <w:rsid w:val="00AD5A45"/>
    <w:rsid w:val="00AD5DF1"/>
    <w:rsid w:val="00AD5F21"/>
    <w:rsid w:val="00AD6963"/>
    <w:rsid w:val="00AD6BA8"/>
    <w:rsid w:val="00AD6BF4"/>
    <w:rsid w:val="00AD6EDD"/>
    <w:rsid w:val="00AD719F"/>
    <w:rsid w:val="00AD7214"/>
    <w:rsid w:val="00AD7245"/>
    <w:rsid w:val="00AD7806"/>
    <w:rsid w:val="00AE018D"/>
    <w:rsid w:val="00AE053C"/>
    <w:rsid w:val="00AE07D7"/>
    <w:rsid w:val="00AE0B04"/>
    <w:rsid w:val="00AE0EB4"/>
    <w:rsid w:val="00AE0FE2"/>
    <w:rsid w:val="00AE137F"/>
    <w:rsid w:val="00AE15BA"/>
    <w:rsid w:val="00AE1BFA"/>
    <w:rsid w:val="00AE1E85"/>
    <w:rsid w:val="00AE21FE"/>
    <w:rsid w:val="00AE25EB"/>
    <w:rsid w:val="00AE2EF3"/>
    <w:rsid w:val="00AE2F6F"/>
    <w:rsid w:val="00AE2FE9"/>
    <w:rsid w:val="00AE3650"/>
    <w:rsid w:val="00AE375D"/>
    <w:rsid w:val="00AE5137"/>
    <w:rsid w:val="00AE52D3"/>
    <w:rsid w:val="00AE53B7"/>
    <w:rsid w:val="00AE5865"/>
    <w:rsid w:val="00AE5CC2"/>
    <w:rsid w:val="00AE5DFB"/>
    <w:rsid w:val="00AE635A"/>
    <w:rsid w:val="00AE6742"/>
    <w:rsid w:val="00AE7148"/>
    <w:rsid w:val="00AE7196"/>
    <w:rsid w:val="00AE732D"/>
    <w:rsid w:val="00AE779B"/>
    <w:rsid w:val="00AE7A13"/>
    <w:rsid w:val="00AE7AC5"/>
    <w:rsid w:val="00AF0006"/>
    <w:rsid w:val="00AF010A"/>
    <w:rsid w:val="00AF03C7"/>
    <w:rsid w:val="00AF03DE"/>
    <w:rsid w:val="00AF0677"/>
    <w:rsid w:val="00AF0E85"/>
    <w:rsid w:val="00AF1118"/>
    <w:rsid w:val="00AF15BB"/>
    <w:rsid w:val="00AF1BF1"/>
    <w:rsid w:val="00AF1F71"/>
    <w:rsid w:val="00AF20B3"/>
    <w:rsid w:val="00AF2354"/>
    <w:rsid w:val="00AF25F6"/>
    <w:rsid w:val="00AF267C"/>
    <w:rsid w:val="00AF2696"/>
    <w:rsid w:val="00AF2A03"/>
    <w:rsid w:val="00AF31E4"/>
    <w:rsid w:val="00AF3424"/>
    <w:rsid w:val="00AF37B4"/>
    <w:rsid w:val="00AF3939"/>
    <w:rsid w:val="00AF3FFF"/>
    <w:rsid w:val="00AF4047"/>
    <w:rsid w:val="00AF4D27"/>
    <w:rsid w:val="00AF4E9D"/>
    <w:rsid w:val="00AF5088"/>
    <w:rsid w:val="00AF54E6"/>
    <w:rsid w:val="00AF5995"/>
    <w:rsid w:val="00AF5B2E"/>
    <w:rsid w:val="00AF5CAA"/>
    <w:rsid w:val="00AF5EC9"/>
    <w:rsid w:val="00AF63C3"/>
    <w:rsid w:val="00AF66BB"/>
    <w:rsid w:val="00AF7DCF"/>
    <w:rsid w:val="00AF7E9F"/>
    <w:rsid w:val="00B00C22"/>
    <w:rsid w:val="00B0169E"/>
    <w:rsid w:val="00B01817"/>
    <w:rsid w:val="00B018BC"/>
    <w:rsid w:val="00B01AF9"/>
    <w:rsid w:val="00B01AFA"/>
    <w:rsid w:val="00B02BB5"/>
    <w:rsid w:val="00B05083"/>
    <w:rsid w:val="00B05136"/>
    <w:rsid w:val="00B05255"/>
    <w:rsid w:val="00B0538F"/>
    <w:rsid w:val="00B05432"/>
    <w:rsid w:val="00B0566A"/>
    <w:rsid w:val="00B057F4"/>
    <w:rsid w:val="00B05A8E"/>
    <w:rsid w:val="00B0648B"/>
    <w:rsid w:val="00B06DC3"/>
    <w:rsid w:val="00B06F88"/>
    <w:rsid w:val="00B07415"/>
    <w:rsid w:val="00B07C76"/>
    <w:rsid w:val="00B07CB5"/>
    <w:rsid w:val="00B07F6F"/>
    <w:rsid w:val="00B100DB"/>
    <w:rsid w:val="00B10347"/>
    <w:rsid w:val="00B10AFE"/>
    <w:rsid w:val="00B111CE"/>
    <w:rsid w:val="00B11322"/>
    <w:rsid w:val="00B113F6"/>
    <w:rsid w:val="00B11554"/>
    <w:rsid w:val="00B1165E"/>
    <w:rsid w:val="00B119E3"/>
    <w:rsid w:val="00B119FA"/>
    <w:rsid w:val="00B11C08"/>
    <w:rsid w:val="00B11CC5"/>
    <w:rsid w:val="00B11EB9"/>
    <w:rsid w:val="00B12186"/>
    <w:rsid w:val="00B123C9"/>
    <w:rsid w:val="00B125C2"/>
    <w:rsid w:val="00B1289D"/>
    <w:rsid w:val="00B1369A"/>
    <w:rsid w:val="00B13B18"/>
    <w:rsid w:val="00B13BB6"/>
    <w:rsid w:val="00B13EFD"/>
    <w:rsid w:val="00B14510"/>
    <w:rsid w:val="00B14D1B"/>
    <w:rsid w:val="00B152A2"/>
    <w:rsid w:val="00B15346"/>
    <w:rsid w:val="00B15566"/>
    <w:rsid w:val="00B15CC8"/>
    <w:rsid w:val="00B160B9"/>
    <w:rsid w:val="00B164B1"/>
    <w:rsid w:val="00B166B6"/>
    <w:rsid w:val="00B16C6E"/>
    <w:rsid w:val="00B171A6"/>
    <w:rsid w:val="00B17292"/>
    <w:rsid w:val="00B17B95"/>
    <w:rsid w:val="00B20360"/>
    <w:rsid w:val="00B204CC"/>
    <w:rsid w:val="00B206C4"/>
    <w:rsid w:val="00B208FB"/>
    <w:rsid w:val="00B20B2B"/>
    <w:rsid w:val="00B20F48"/>
    <w:rsid w:val="00B2194C"/>
    <w:rsid w:val="00B21A59"/>
    <w:rsid w:val="00B21C03"/>
    <w:rsid w:val="00B21F2E"/>
    <w:rsid w:val="00B221B4"/>
    <w:rsid w:val="00B223F5"/>
    <w:rsid w:val="00B22774"/>
    <w:rsid w:val="00B229EA"/>
    <w:rsid w:val="00B22C6E"/>
    <w:rsid w:val="00B22D71"/>
    <w:rsid w:val="00B22E04"/>
    <w:rsid w:val="00B2324D"/>
    <w:rsid w:val="00B23447"/>
    <w:rsid w:val="00B24761"/>
    <w:rsid w:val="00B24A13"/>
    <w:rsid w:val="00B24AFF"/>
    <w:rsid w:val="00B24CD7"/>
    <w:rsid w:val="00B24F60"/>
    <w:rsid w:val="00B2536B"/>
    <w:rsid w:val="00B254E8"/>
    <w:rsid w:val="00B25755"/>
    <w:rsid w:val="00B259A5"/>
    <w:rsid w:val="00B26722"/>
    <w:rsid w:val="00B27E81"/>
    <w:rsid w:val="00B301C1"/>
    <w:rsid w:val="00B30641"/>
    <w:rsid w:val="00B30733"/>
    <w:rsid w:val="00B30D57"/>
    <w:rsid w:val="00B311C0"/>
    <w:rsid w:val="00B3141E"/>
    <w:rsid w:val="00B31467"/>
    <w:rsid w:val="00B31535"/>
    <w:rsid w:val="00B328B4"/>
    <w:rsid w:val="00B32B58"/>
    <w:rsid w:val="00B32C3C"/>
    <w:rsid w:val="00B32D17"/>
    <w:rsid w:val="00B32E4E"/>
    <w:rsid w:val="00B33102"/>
    <w:rsid w:val="00B33736"/>
    <w:rsid w:val="00B33753"/>
    <w:rsid w:val="00B33AA9"/>
    <w:rsid w:val="00B33F4A"/>
    <w:rsid w:val="00B3441D"/>
    <w:rsid w:val="00B34706"/>
    <w:rsid w:val="00B34B7A"/>
    <w:rsid w:val="00B34E97"/>
    <w:rsid w:val="00B354EC"/>
    <w:rsid w:val="00B35745"/>
    <w:rsid w:val="00B35F77"/>
    <w:rsid w:val="00B35FB1"/>
    <w:rsid w:val="00B36278"/>
    <w:rsid w:val="00B36740"/>
    <w:rsid w:val="00B36A85"/>
    <w:rsid w:val="00B36B79"/>
    <w:rsid w:val="00B36ECB"/>
    <w:rsid w:val="00B36F83"/>
    <w:rsid w:val="00B3758C"/>
    <w:rsid w:val="00B3766A"/>
    <w:rsid w:val="00B376C4"/>
    <w:rsid w:val="00B37B81"/>
    <w:rsid w:val="00B37E22"/>
    <w:rsid w:val="00B402BC"/>
    <w:rsid w:val="00B41DD2"/>
    <w:rsid w:val="00B4251D"/>
    <w:rsid w:val="00B42787"/>
    <w:rsid w:val="00B4289F"/>
    <w:rsid w:val="00B42FEF"/>
    <w:rsid w:val="00B434A4"/>
    <w:rsid w:val="00B43797"/>
    <w:rsid w:val="00B43D45"/>
    <w:rsid w:val="00B43F00"/>
    <w:rsid w:val="00B448D6"/>
    <w:rsid w:val="00B44999"/>
    <w:rsid w:val="00B44D5D"/>
    <w:rsid w:val="00B45035"/>
    <w:rsid w:val="00B452CC"/>
    <w:rsid w:val="00B454D4"/>
    <w:rsid w:val="00B45974"/>
    <w:rsid w:val="00B46129"/>
    <w:rsid w:val="00B4618A"/>
    <w:rsid w:val="00B46257"/>
    <w:rsid w:val="00B463C4"/>
    <w:rsid w:val="00B46A26"/>
    <w:rsid w:val="00B475D2"/>
    <w:rsid w:val="00B47677"/>
    <w:rsid w:val="00B47839"/>
    <w:rsid w:val="00B47BE8"/>
    <w:rsid w:val="00B50615"/>
    <w:rsid w:val="00B515C4"/>
    <w:rsid w:val="00B516CF"/>
    <w:rsid w:val="00B51B8D"/>
    <w:rsid w:val="00B5213D"/>
    <w:rsid w:val="00B525C5"/>
    <w:rsid w:val="00B52650"/>
    <w:rsid w:val="00B53366"/>
    <w:rsid w:val="00B5336E"/>
    <w:rsid w:val="00B53540"/>
    <w:rsid w:val="00B53603"/>
    <w:rsid w:val="00B5417D"/>
    <w:rsid w:val="00B541D0"/>
    <w:rsid w:val="00B541EB"/>
    <w:rsid w:val="00B54385"/>
    <w:rsid w:val="00B55050"/>
    <w:rsid w:val="00B553F7"/>
    <w:rsid w:val="00B55CE3"/>
    <w:rsid w:val="00B56237"/>
    <w:rsid w:val="00B563BE"/>
    <w:rsid w:val="00B568C7"/>
    <w:rsid w:val="00B56CD0"/>
    <w:rsid w:val="00B56CFC"/>
    <w:rsid w:val="00B56DF3"/>
    <w:rsid w:val="00B56F00"/>
    <w:rsid w:val="00B57116"/>
    <w:rsid w:val="00B57250"/>
    <w:rsid w:val="00B573BC"/>
    <w:rsid w:val="00B600E9"/>
    <w:rsid w:val="00B6042E"/>
    <w:rsid w:val="00B604C9"/>
    <w:rsid w:val="00B60D90"/>
    <w:rsid w:val="00B6122C"/>
    <w:rsid w:val="00B61254"/>
    <w:rsid w:val="00B619E4"/>
    <w:rsid w:val="00B61C0F"/>
    <w:rsid w:val="00B61CB7"/>
    <w:rsid w:val="00B620A1"/>
    <w:rsid w:val="00B62298"/>
    <w:rsid w:val="00B62E6D"/>
    <w:rsid w:val="00B63289"/>
    <w:rsid w:val="00B638EB"/>
    <w:rsid w:val="00B63A9F"/>
    <w:rsid w:val="00B63B6D"/>
    <w:rsid w:val="00B63F42"/>
    <w:rsid w:val="00B640C6"/>
    <w:rsid w:val="00B6465A"/>
    <w:rsid w:val="00B64FC4"/>
    <w:rsid w:val="00B65432"/>
    <w:rsid w:val="00B65500"/>
    <w:rsid w:val="00B6553B"/>
    <w:rsid w:val="00B6570D"/>
    <w:rsid w:val="00B657CB"/>
    <w:rsid w:val="00B65C10"/>
    <w:rsid w:val="00B66164"/>
    <w:rsid w:val="00B661AA"/>
    <w:rsid w:val="00B66248"/>
    <w:rsid w:val="00B6650B"/>
    <w:rsid w:val="00B66939"/>
    <w:rsid w:val="00B66D5D"/>
    <w:rsid w:val="00B66DDA"/>
    <w:rsid w:val="00B67604"/>
    <w:rsid w:val="00B67A40"/>
    <w:rsid w:val="00B67DC1"/>
    <w:rsid w:val="00B701F7"/>
    <w:rsid w:val="00B702ED"/>
    <w:rsid w:val="00B7081F"/>
    <w:rsid w:val="00B71023"/>
    <w:rsid w:val="00B71026"/>
    <w:rsid w:val="00B7115D"/>
    <w:rsid w:val="00B7141E"/>
    <w:rsid w:val="00B71AFB"/>
    <w:rsid w:val="00B71E25"/>
    <w:rsid w:val="00B72030"/>
    <w:rsid w:val="00B72B91"/>
    <w:rsid w:val="00B72D8F"/>
    <w:rsid w:val="00B72EEA"/>
    <w:rsid w:val="00B73206"/>
    <w:rsid w:val="00B7386C"/>
    <w:rsid w:val="00B73C83"/>
    <w:rsid w:val="00B741BA"/>
    <w:rsid w:val="00B74222"/>
    <w:rsid w:val="00B742D6"/>
    <w:rsid w:val="00B74C21"/>
    <w:rsid w:val="00B7544B"/>
    <w:rsid w:val="00B75994"/>
    <w:rsid w:val="00B75F62"/>
    <w:rsid w:val="00B7643E"/>
    <w:rsid w:val="00B76D8C"/>
    <w:rsid w:val="00B76DF7"/>
    <w:rsid w:val="00B76DFF"/>
    <w:rsid w:val="00B77959"/>
    <w:rsid w:val="00B77D10"/>
    <w:rsid w:val="00B8018F"/>
    <w:rsid w:val="00B80689"/>
    <w:rsid w:val="00B80B5B"/>
    <w:rsid w:val="00B80EAB"/>
    <w:rsid w:val="00B81553"/>
    <w:rsid w:val="00B8190A"/>
    <w:rsid w:val="00B81B06"/>
    <w:rsid w:val="00B82181"/>
    <w:rsid w:val="00B827E4"/>
    <w:rsid w:val="00B83086"/>
    <w:rsid w:val="00B83649"/>
    <w:rsid w:val="00B839F6"/>
    <w:rsid w:val="00B83B8F"/>
    <w:rsid w:val="00B83E58"/>
    <w:rsid w:val="00B84604"/>
    <w:rsid w:val="00B8467F"/>
    <w:rsid w:val="00B84FF9"/>
    <w:rsid w:val="00B85372"/>
    <w:rsid w:val="00B8575F"/>
    <w:rsid w:val="00B8616E"/>
    <w:rsid w:val="00B8629C"/>
    <w:rsid w:val="00B87AB5"/>
    <w:rsid w:val="00B87C24"/>
    <w:rsid w:val="00B900EB"/>
    <w:rsid w:val="00B90131"/>
    <w:rsid w:val="00B9145D"/>
    <w:rsid w:val="00B9148C"/>
    <w:rsid w:val="00B91E2F"/>
    <w:rsid w:val="00B923C9"/>
    <w:rsid w:val="00B92B25"/>
    <w:rsid w:val="00B9300D"/>
    <w:rsid w:val="00B933D8"/>
    <w:rsid w:val="00B93524"/>
    <w:rsid w:val="00B93A16"/>
    <w:rsid w:val="00B9445D"/>
    <w:rsid w:val="00B94A09"/>
    <w:rsid w:val="00B94BB7"/>
    <w:rsid w:val="00B94D89"/>
    <w:rsid w:val="00B94F80"/>
    <w:rsid w:val="00B94F8A"/>
    <w:rsid w:val="00B9529F"/>
    <w:rsid w:val="00B95767"/>
    <w:rsid w:val="00B95D45"/>
    <w:rsid w:val="00B96141"/>
    <w:rsid w:val="00B9663F"/>
    <w:rsid w:val="00B96F7F"/>
    <w:rsid w:val="00B97C19"/>
    <w:rsid w:val="00BA0135"/>
    <w:rsid w:val="00BA05C9"/>
    <w:rsid w:val="00BA0C80"/>
    <w:rsid w:val="00BA119E"/>
    <w:rsid w:val="00BA1AE3"/>
    <w:rsid w:val="00BA1D67"/>
    <w:rsid w:val="00BA23AA"/>
    <w:rsid w:val="00BA2560"/>
    <w:rsid w:val="00BA2CF3"/>
    <w:rsid w:val="00BA3658"/>
    <w:rsid w:val="00BA3927"/>
    <w:rsid w:val="00BA398E"/>
    <w:rsid w:val="00BA3ED4"/>
    <w:rsid w:val="00BA4187"/>
    <w:rsid w:val="00BA4685"/>
    <w:rsid w:val="00BA4892"/>
    <w:rsid w:val="00BA4BA3"/>
    <w:rsid w:val="00BA4E1C"/>
    <w:rsid w:val="00BA5DF7"/>
    <w:rsid w:val="00BA6374"/>
    <w:rsid w:val="00BA6650"/>
    <w:rsid w:val="00BA66DB"/>
    <w:rsid w:val="00BA6AA7"/>
    <w:rsid w:val="00BA6AC6"/>
    <w:rsid w:val="00BA71FD"/>
    <w:rsid w:val="00BA758C"/>
    <w:rsid w:val="00BA7B46"/>
    <w:rsid w:val="00BB00FE"/>
    <w:rsid w:val="00BB1B06"/>
    <w:rsid w:val="00BB20C9"/>
    <w:rsid w:val="00BB281A"/>
    <w:rsid w:val="00BB359F"/>
    <w:rsid w:val="00BB3AE1"/>
    <w:rsid w:val="00BB3F7E"/>
    <w:rsid w:val="00BB4C38"/>
    <w:rsid w:val="00BB4D2C"/>
    <w:rsid w:val="00BB51FB"/>
    <w:rsid w:val="00BB5F80"/>
    <w:rsid w:val="00BB6180"/>
    <w:rsid w:val="00BB642D"/>
    <w:rsid w:val="00BB7127"/>
    <w:rsid w:val="00BB73D8"/>
    <w:rsid w:val="00BB770A"/>
    <w:rsid w:val="00BB7989"/>
    <w:rsid w:val="00BC008B"/>
    <w:rsid w:val="00BC0120"/>
    <w:rsid w:val="00BC0167"/>
    <w:rsid w:val="00BC0725"/>
    <w:rsid w:val="00BC076C"/>
    <w:rsid w:val="00BC09D8"/>
    <w:rsid w:val="00BC1097"/>
    <w:rsid w:val="00BC1638"/>
    <w:rsid w:val="00BC211E"/>
    <w:rsid w:val="00BC25ED"/>
    <w:rsid w:val="00BC2848"/>
    <w:rsid w:val="00BC3036"/>
    <w:rsid w:val="00BC4A8D"/>
    <w:rsid w:val="00BC5288"/>
    <w:rsid w:val="00BC537B"/>
    <w:rsid w:val="00BC53D8"/>
    <w:rsid w:val="00BC53F7"/>
    <w:rsid w:val="00BC56B3"/>
    <w:rsid w:val="00BC573E"/>
    <w:rsid w:val="00BC573F"/>
    <w:rsid w:val="00BC5E2C"/>
    <w:rsid w:val="00BC5FAD"/>
    <w:rsid w:val="00BC641B"/>
    <w:rsid w:val="00BC64B9"/>
    <w:rsid w:val="00BC663E"/>
    <w:rsid w:val="00BC6653"/>
    <w:rsid w:val="00BC6FD4"/>
    <w:rsid w:val="00BC75D3"/>
    <w:rsid w:val="00BC7725"/>
    <w:rsid w:val="00BC7858"/>
    <w:rsid w:val="00BD0757"/>
    <w:rsid w:val="00BD0C54"/>
    <w:rsid w:val="00BD0CAE"/>
    <w:rsid w:val="00BD100B"/>
    <w:rsid w:val="00BD11AF"/>
    <w:rsid w:val="00BD11D9"/>
    <w:rsid w:val="00BD1F56"/>
    <w:rsid w:val="00BD216A"/>
    <w:rsid w:val="00BD2852"/>
    <w:rsid w:val="00BD28B0"/>
    <w:rsid w:val="00BD30A7"/>
    <w:rsid w:val="00BD321C"/>
    <w:rsid w:val="00BD359E"/>
    <w:rsid w:val="00BD3641"/>
    <w:rsid w:val="00BD36FC"/>
    <w:rsid w:val="00BD3830"/>
    <w:rsid w:val="00BD3DBA"/>
    <w:rsid w:val="00BD45DD"/>
    <w:rsid w:val="00BD46ED"/>
    <w:rsid w:val="00BD50E0"/>
    <w:rsid w:val="00BD5B76"/>
    <w:rsid w:val="00BD6811"/>
    <w:rsid w:val="00BD6F8D"/>
    <w:rsid w:val="00BE03B0"/>
    <w:rsid w:val="00BE05AA"/>
    <w:rsid w:val="00BE0B8F"/>
    <w:rsid w:val="00BE0E9C"/>
    <w:rsid w:val="00BE12DC"/>
    <w:rsid w:val="00BE1547"/>
    <w:rsid w:val="00BE1948"/>
    <w:rsid w:val="00BE1958"/>
    <w:rsid w:val="00BE1FA5"/>
    <w:rsid w:val="00BE1FD6"/>
    <w:rsid w:val="00BE22EB"/>
    <w:rsid w:val="00BE2333"/>
    <w:rsid w:val="00BE2CFE"/>
    <w:rsid w:val="00BE3138"/>
    <w:rsid w:val="00BE333E"/>
    <w:rsid w:val="00BE344C"/>
    <w:rsid w:val="00BE368A"/>
    <w:rsid w:val="00BE37A8"/>
    <w:rsid w:val="00BE3E3E"/>
    <w:rsid w:val="00BE3E53"/>
    <w:rsid w:val="00BE402B"/>
    <w:rsid w:val="00BE4799"/>
    <w:rsid w:val="00BE493B"/>
    <w:rsid w:val="00BE5334"/>
    <w:rsid w:val="00BE543D"/>
    <w:rsid w:val="00BE5966"/>
    <w:rsid w:val="00BE63EC"/>
    <w:rsid w:val="00BE64B6"/>
    <w:rsid w:val="00BE6562"/>
    <w:rsid w:val="00BE6629"/>
    <w:rsid w:val="00BE6A0B"/>
    <w:rsid w:val="00BE76DD"/>
    <w:rsid w:val="00BE78CA"/>
    <w:rsid w:val="00BE7BE1"/>
    <w:rsid w:val="00BF0806"/>
    <w:rsid w:val="00BF0DDB"/>
    <w:rsid w:val="00BF13BF"/>
    <w:rsid w:val="00BF1C96"/>
    <w:rsid w:val="00BF2393"/>
    <w:rsid w:val="00BF23FF"/>
    <w:rsid w:val="00BF2AC9"/>
    <w:rsid w:val="00BF3445"/>
    <w:rsid w:val="00BF344A"/>
    <w:rsid w:val="00BF346B"/>
    <w:rsid w:val="00BF349F"/>
    <w:rsid w:val="00BF3569"/>
    <w:rsid w:val="00BF4ABE"/>
    <w:rsid w:val="00BF5013"/>
    <w:rsid w:val="00BF5703"/>
    <w:rsid w:val="00BF5D36"/>
    <w:rsid w:val="00BF65DA"/>
    <w:rsid w:val="00BF6E2E"/>
    <w:rsid w:val="00BF79DA"/>
    <w:rsid w:val="00BF7C70"/>
    <w:rsid w:val="00C00122"/>
    <w:rsid w:val="00C00AB2"/>
    <w:rsid w:val="00C00DE5"/>
    <w:rsid w:val="00C01444"/>
    <w:rsid w:val="00C017D9"/>
    <w:rsid w:val="00C01DAD"/>
    <w:rsid w:val="00C021A7"/>
    <w:rsid w:val="00C022D3"/>
    <w:rsid w:val="00C025DF"/>
    <w:rsid w:val="00C025F4"/>
    <w:rsid w:val="00C0310E"/>
    <w:rsid w:val="00C0323D"/>
    <w:rsid w:val="00C03A85"/>
    <w:rsid w:val="00C03F55"/>
    <w:rsid w:val="00C04509"/>
    <w:rsid w:val="00C049B3"/>
    <w:rsid w:val="00C04BE0"/>
    <w:rsid w:val="00C0561C"/>
    <w:rsid w:val="00C05920"/>
    <w:rsid w:val="00C061D2"/>
    <w:rsid w:val="00C0624B"/>
    <w:rsid w:val="00C07071"/>
    <w:rsid w:val="00C073A9"/>
    <w:rsid w:val="00C075D2"/>
    <w:rsid w:val="00C07967"/>
    <w:rsid w:val="00C07F70"/>
    <w:rsid w:val="00C100FE"/>
    <w:rsid w:val="00C10486"/>
    <w:rsid w:val="00C105F9"/>
    <w:rsid w:val="00C11673"/>
    <w:rsid w:val="00C11802"/>
    <w:rsid w:val="00C11F20"/>
    <w:rsid w:val="00C12464"/>
    <w:rsid w:val="00C12538"/>
    <w:rsid w:val="00C12E2A"/>
    <w:rsid w:val="00C12F15"/>
    <w:rsid w:val="00C13409"/>
    <w:rsid w:val="00C13A95"/>
    <w:rsid w:val="00C13DF1"/>
    <w:rsid w:val="00C147F4"/>
    <w:rsid w:val="00C14AB7"/>
    <w:rsid w:val="00C1582B"/>
    <w:rsid w:val="00C15AEC"/>
    <w:rsid w:val="00C16770"/>
    <w:rsid w:val="00C170C2"/>
    <w:rsid w:val="00C17173"/>
    <w:rsid w:val="00C17677"/>
    <w:rsid w:val="00C20403"/>
    <w:rsid w:val="00C204E0"/>
    <w:rsid w:val="00C205CC"/>
    <w:rsid w:val="00C20660"/>
    <w:rsid w:val="00C2093B"/>
    <w:rsid w:val="00C217E7"/>
    <w:rsid w:val="00C21A37"/>
    <w:rsid w:val="00C21FD4"/>
    <w:rsid w:val="00C2210A"/>
    <w:rsid w:val="00C22494"/>
    <w:rsid w:val="00C22EC8"/>
    <w:rsid w:val="00C22F81"/>
    <w:rsid w:val="00C2313B"/>
    <w:rsid w:val="00C23226"/>
    <w:rsid w:val="00C23582"/>
    <w:rsid w:val="00C239F8"/>
    <w:rsid w:val="00C23BC6"/>
    <w:rsid w:val="00C23D41"/>
    <w:rsid w:val="00C23F71"/>
    <w:rsid w:val="00C240A4"/>
    <w:rsid w:val="00C25064"/>
    <w:rsid w:val="00C258DD"/>
    <w:rsid w:val="00C25B3E"/>
    <w:rsid w:val="00C261E6"/>
    <w:rsid w:val="00C2670A"/>
    <w:rsid w:val="00C26C7D"/>
    <w:rsid w:val="00C26FDE"/>
    <w:rsid w:val="00C2778F"/>
    <w:rsid w:val="00C279BE"/>
    <w:rsid w:val="00C27CB0"/>
    <w:rsid w:val="00C303D7"/>
    <w:rsid w:val="00C307CE"/>
    <w:rsid w:val="00C30A16"/>
    <w:rsid w:val="00C30E86"/>
    <w:rsid w:val="00C30F44"/>
    <w:rsid w:val="00C317EA"/>
    <w:rsid w:val="00C323B6"/>
    <w:rsid w:val="00C32E8A"/>
    <w:rsid w:val="00C32F22"/>
    <w:rsid w:val="00C3374E"/>
    <w:rsid w:val="00C33796"/>
    <w:rsid w:val="00C33958"/>
    <w:rsid w:val="00C33BA8"/>
    <w:rsid w:val="00C33C65"/>
    <w:rsid w:val="00C34432"/>
    <w:rsid w:val="00C34643"/>
    <w:rsid w:val="00C34715"/>
    <w:rsid w:val="00C34B7D"/>
    <w:rsid w:val="00C34BE2"/>
    <w:rsid w:val="00C34D05"/>
    <w:rsid w:val="00C35087"/>
    <w:rsid w:val="00C350B7"/>
    <w:rsid w:val="00C354F9"/>
    <w:rsid w:val="00C3561F"/>
    <w:rsid w:val="00C35CD8"/>
    <w:rsid w:val="00C36545"/>
    <w:rsid w:val="00C36D57"/>
    <w:rsid w:val="00C37A51"/>
    <w:rsid w:val="00C40275"/>
    <w:rsid w:val="00C40440"/>
    <w:rsid w:val="00C40459"/>
    <w:rsid w:val="00C40884"/>
    <w:rsid w:val="00C4098E"/>
    <w:rsid w:val="00C40C26"/>
    <w:rsid w:val="00C40DE5"/>
    <w:rsid w:val="00C40F29"/>
    <w:rsid w:val="00C410A6"/>
    <w:rsid w:val="00C41A33"/>
    <w:rsid w:val="00C41A7B"/>
    <w:rsid w:val="00C41E65"/>
    <w:rsid w:val="00C424E8"/>
    <w:rsid w:val="00C4250A"/>
    <w:rsid w:val="00C42906"/>
    <w:rsid w:val="00C42E55"/>
    <w:rsid w:val="00C43091"/>
    <w:rsid w:val="00C431B3"/>
    <w:rsid w:val="00C4325D"/>
    <w:rsid w:val="00C43815"/>
    <w:rsid w:val="00C43E63"/>
    <w:rsid w:val="00C44163"/>
    <w:rsid w:val="00C44523"/>
    <w:rsid w:val="00C44EF1"/>
    <w:rsid w:val="00C44F1C"/>
    <w:rsid w:val="00C44FC6"/>
    <w:rsid w:val="00C452C7"/>
    <w:rsid w:val="00C452F9"/>
    <w:rsid w:val="00C45799"/>
    <w:rsid w:val="00C45C4E"/>
    <w:rsid w:val="00C4630D"/>
    <w:rsid w:val="00C46315"/>
    <w:rsid w:val="00C465A9"/>
    <w:rsid w:val="00C46773"/>
    <w:rsid w:val="00C476A6"/>
    <w:rsid w:val="00C4779B"/>
    <w:rsid w:val="00C47CEB"/>
    <w:rsid w:val="00C47EE8"/>
    <w:rsid w:val="00C5076D"/>
    <w:rsid w:val="00C50933"/>
    <w:rsid w:val="00C50A44"/>
    <w:rsid w:val="00C50A93"/>
    <w:rsid w:val="00C50CDB"/>
    <w:rsid w:val="00C510D8"/>
    <w:rsid w:val="00C510ED"/>
    <w:rsid w:val="00C51132"/>
    <w:rsid w:val="00C51205"/>
    <w:rsid w:val="00C516B7"/>
    <w:rsid w:val="00C52901"/>
    <w:rsid w:val="00C52DD7"/>
    <w:rsid w:val="00C52FBE"/>
    <w:rsid w:val="00C53F64"/>
    <w:rsid w:val="00C541EA"/>
    <w:rsid w:val="00C54657"/>
    <w:rsid w:val="00C54894"/>
    <w:rsid w:val="00C550B2"/>
    <w:rsid w:val="00C5514E"/>
    <w:rsid w:val="00C5528F"/>
    <w:rsid w:val="00C555BF"/>
    <w:rsid w:val="00C556B0"/>
    <w:rsid w:val="00C55794"/>
    <w:rsid w:val="00C55B04"/>
    <w:rsid w:val="00C579B5"/>
    <w:rsid w:val="00C57A0E"/>
    <w:rsid w:val="00C57D51"/>
    <w:rsid w:val="00C6046B"/>
    <w:rsid w:val="00C60C47"/>
    <w:rsid w:val="00C60CAA"/>
    <w:rsid w:val="00C61190"/>
    <w:rsid w:val="00C61AD1"/>
    <w:rsid w:val="00C61E85"/>
    <w:rsid w:val="00C62249"/>
    <w:rsid w:val="00C635F2"/>
    <w:rsid w:val="00C63B4A"/>
    <w:rsid w:val="00C63F54"/>
    <w:rsid w:val="00C63F6C"/>
    <w:rsid w:val="00C63FA8"/>
    <w:rsid w:val="00C64138"/>
    <w:rsid w:val="00C6433C"/>
    <w:rsid w:val="00C64B5B"/>
    <w:rsid w:val="00C64B5D"/>
    <w:rsid w:val="00C6519D"/>
    <w:rsid w:val="00C65369"/>
    <w:rsid w:val="00C6564B"/>
    <w:rsid w:val="00C656D2"/>
    <w:rsid w:val="00C6639C"/>
    <w:rsid w:val="00C66509"/>
    <w:rsid w:val="00C66AD6"/>
    <w:rsid w:val="00C66ECC"/>
    <w:rsid w:val="00C67097"/>
    <w:rsid w:val="00C67146"/>
    <w:rsid w:val="00C67C45"/>
    <w:rsid w:val="00C70BF1"/>
    <w:rsid w:val="00C718FF"/>
    <w:rsid w:val="00C71EBF"/>
    <w:rsid w:val="00C728A4"/>
    <w:rsid w:val="00C72CD8"/>
    <w:rsid w:val="00C72E9F"/>
    <w:rsid w:val="00C732D1"/>
    <w:rsid w:val="00C736BC"/>
    <w:rsid w:val="00C7378D"/>
    <w:rsid w:val="00C73D63"/>
    <w:rsid w:val="00C74309"/>
    <w:rsid w:val="00C748DD"/>
    <w:rsid w:val="00C74D98"/>
    <w:rsid w:val="00C75774"/>
    <w:rsid w:val="00C757B9"/>
    <w:rsid w:val="00C763EB"/>
    <w:rsid w:val="00C767B3"/>
    <w:rsid w:val="00C76AC1"/>
    <w:rsid w:val="00C76B1A"/>
    <w:rsid w:val="00C772C3"/>
    <w:rsid w:val="00C777E7"/>
    <w:rsid w:val="00C77C7A"/>
    <w:rsid w:val="00C77EE5"/>
    <w:rsid w:val="00C80DDF"/>
    <w:rsid w:val="00C81C85"/>
    <w:rsid w:val="00C82FD5"/>
    <w:rsid w:val="00C83740"/>
    <w:rsid w:val="00C83903"/>
    <w:rsid w:val="00C83DAD"/>
    <w:rsid w:val="00C83EC6"/>
    <w:rsid w:val="00C84185"/>
    <w:rsid w:val="00C8474D"/>
    <w:rsid w:val="00C848CD"/>
    <w:rsid w:val="00C848E3"/>
    <w:rsid w:val="00C84A7B"/>
    <w:rsid w:val="00C855B6"/>
    <w:rsid w:val="00C85D75"/>
    <w:rsid w:val="00C86E64"/>
    <w:rsid w:val="00C87103"/>
    <w:rsid w:val="00C8715B"/>
    <w:rsid w:val="00C8720F"/>
    <w:rsid w:val="00C8743A"/>
    <w:rsid w:val="00C874B1"/>
    <w:rsid w:val="00C874EF"/>
    <w:rsid w:val="00C8787F"/>
    <w:rsid w:val="00C878E8"/>
    <w:rsid w:val="00C879A6"/>
    <w:rsid w:val="00C900CA"/>
    <w:rsid w:val="00C90572"/>
    <w:rsid w:val="00C90AC8"/>
    <w:rsid w:val="00C90D56"/>
    <w:rsid w:val="00C90E9A"/>
    <w:rsid w:val="00C91C80"/>
    <w:rsid w:val="00C9386E"/>
    <w:rsid w:val="00C94671"/>
    <w:rsid w:val="00C94D3A"/>
    <w:rsid w:val="00C94FDE"/>
    <w:rsid w:val="00C9563E"/>
    <w:rsid w:val="00C959C1"/>
    <w:rsid w:val="00C95F0D"/>
    <w:rsid w:val="00C974C2"/>
    <w:rsid w:val="00C979C0"/>
    <w:rsid w:val="00CA00B7"/>
    <w:rsid w:val="00CA02A1"/>
    <w:rsid w:val="00CA04D8"/>
    <w:rsid w:val="00CA0626"/>
    <w:rsid w:val="00CA100D"/>
    <w:rsid w:val="00CA100E"/>
    <w:rsid w:val="00CA1169"/>
    <w:rsid w:val="00CA16A1"/>
    <w:rsid w:val="00CA1CC3"/>
    <w:rsid w:val="00CA1EB2"/>
    <w:rsid w:val="00CA1ED5"/>
    <w:rsid w:val="00CA211D"/>
    <w:rsid w:val="00CA23D5"/>
    <w:rsid w:val="00CA27E6"/>
    <w:rsid w:val="00CA2B42"/>
    <w:rsid w:val="00CA2CDB"/>
    <w:rsid w:val="00CA31B8"/>
    <w:rsid w:val="00CA49DD"/>
    <w:rsid w:val="00CA4A34"/>
    <w:rsid w:val="00CA4EC0"/>
    <w:rsid w:val="00CA4FA6"/>
    <w:rsid w:val="00CA5453"/>
    <w:rsid w:val="00CA581C"/>
    <w:rsid w:val="00CA5D35"/>
    <w:rsid w:val="00CA5E12"/>
    <w:rsid w:val="00CA5E59"/>
    <w:rsid w:val="00CA6ACF"/>
    <w:rsid w:val="00CA6E1F"/>
    <w:rsid w:val="00CA7289"/>
    <w:rsid w:val="00CA759D"/>
    <w:rsid w:val="00CA7DF3"/>
    <w:rsid w:val="00CA7F13"/>
    <w:rsid w:val="00CB018B"/>
    <w:rsid w:val="00CB0460"/>
    <w:rsid w:val="00CB0714"/>
    <w:rsid w:val="00CB157C"/>
    <w:rsid w:val="00CB15BD"/>
    <w:rsid w:val="00CB1D71"/>
    <w:rsid w:val="00CB1DC4"/>
    <w:rsid w:val="00CB1F62"/>
    <w:rsid w:val="00CB2DEC"/>
    <w:rsid w:val="00CB337B"/>
    <w:rsid w:val="00CB33A0"/>
    <w:rsid w:val="00CB36CD"/>
    <w:rsid w:val="00CB3F99"/>
    <w:rsid w:val="00CB45F2"/>
    <w:rsid w:val="00CB49CA"/>
    <w:rsid w:val="00CB534F"/>
    <w:rsid w:val="00CB56FF"/>
    <w:rsid w:val="00CB588D"/>
    <w:rsid w:val="00CB66C5"/>
    <w:rsid w:val="00CB6894"/>
    <w:rsid w:val="00CB6F70"/>
    <w:rsid w:val="00CB701E"/>
    <w:rsid w:val="00CB7705"/>
    <w:rsid w:val="00CB7D85"/>
    <w:rsid w:val="00CB7E04"/>
    <w:rsid w:val="00CC0103"/>
    <w:rsid w:val="00CC07A3"/>
    <w:rsid w:val="00CC12E4"/>
    <w:rsid w:val="00CC1A24"/>
    <w:rsid w:val="00CC1A3A"/>
    <w:rsid w:val="00CC1BA7"/>
    <w:rsid w:val="00CC2517"/>
    <w:rsid w:val="00CC324D"/>
    <w:rsid w:val="00CC3378"/>
    <w:rsid w:val="00CC3B8E"/>
    <w:rsid w:val="00CC3D0F"/>
    <w:rsid w:val="00CC3EF5"/>
    <w:rsid w:val="00CC4056"/>
    <w:rsid w:val="00CC4376"/>
    <w:rsid w:val="00CC4666"/>
    <w:rsid w:val="00CC4685"/>
    <w:rsid w:val="00CC4749"/>
    <w:rsid w:val="00CC4BBC"/>
    <w:rsid w:val="00CC510C"/>
    <w:rsid w:val="00CC55FB"/>
    <w:rsid w:val="00CC56E0"/>
    <w:rsid w:val="00CC56EF"/>
    <w:rsid w:val="00CC5993"/>
    <w:rsid w:val="00CC6755"/>
    <w:rsid w:val="00CC7187"/>
    <w:rsid w:val="00CC7582"/>
    <w:rsid w:val="00CC7ED5"/>
    <w:rsid w:val="00CD0517"/>
    <w:rsid w:val="00CD0707"/>
    <w:rsid w:val="00CD0927"/>
    <w:rsid w:val="00CD09A8"/>
    <w:rsid w:val="00CD1DE1"/>
    <w:rsid w:val="00CD2154"/>
    <w:rsid w:val="00CD2A14"/>
    <w:rsid w:val="00CD2C78"/>
    <w:rsid w:val="00CD2EF7"/>
    <w:rsid w:val="00CD3335"/>
    <w:rsid w:val="00CD333A"/>
    <w:rsid w:val="00CD38A2"/>
    <w:rsid w:val="00CD3907"/>
    <w:rsid w:val="00CD3D54"/>
    <w:rsid w:val="00CD3E03"/>
    <w:rsid w:val="00CD44F2"/>
    <w:rsid w:val="00CD4AA2"/>
    <w:rsid w:val="00CD55D9"/>
    <w:rsid w:val="00CD59B0"/>
    <w:rsid w:val="00CD60EF"/>
    <w:rsid w:val="00CD6497"/>
    <w:rsid w:val="00CD65AA"/>
    <w:rsid w:val="00CD6620"/>
    <w:rsid w:val="00CD675D"/>
    <w:rsid w:val="00CD6A71"/>
    <w:rsid w:val="00CD6DA2"/>
    <w:rsid w:val="00CD6E95"/>
    <w:rsid w:val="00CD7385"/>
    <w:rsid w:val="00CD752B"/>
    <w:rsid w:val="00CD791B"/>
    <w:rsid w:val="00CD7F9A"/>
    <w:rsid w:val="00CE0EA3"/>
    <w:rsid w:val="00CE102B"/>
    <w:rsid w:val="00CE142D"/>
    <w:rsid w:val="00CE1487"/>
    <w:rsid w:val="00CE1C74"/>
    <w:rsid w:val="00CE1D68"/>
    <w:rsid w:val="00CE2000"/>
    <w:rsid w:val="00CE23B4"/>
    <w:rsid w:val="00CE24B4"/>
    <w:rsid w:val="00CE2C5A"/>
    <w:rsid w:val="00CE2FA8"/>
    <w:rsid w:val="00CE3426"/>
    <w:rsid w:val="00CE34BB"/>
    <w:rsid w:val="00CE3EA1"/>
    <w:rsid w:val="00CE3F90"/>
    <w:rsid w:val="00CE462B"/>
    <w:rsid w:val="00CE4709"/>
    <w:rsid w:val="00CE4BA6"/>
    <w:rsid w:val="00CE4ED0"/>
    <w:rsid w:val="00CE504B"/>
    <w:rsid w:val="00CE5E69"/>
    <w:rsid w:val="00CE5ECC"/>
    <w:rsid w:val="00CE5FAF"/>
    <w:rsid w:val="00CE644B"/>
    <w:rsid w:val="00CE7356"/>
    <w:rsid w:val="00CE74FA"/>
    <w:rsid w:val="00CE7C52"/>
    <w:rsid w:val="00CF0567"/>
    <w:rsid w:val="00CF0F3A"/>
    <w:rsid w:val="00CF10C8"/>
    <w:rsid w:val="00CF110C"/>
    <w:rsid w:val="00CF1A20"/>
    <w:rsid w:val="00CF2190"/>
    <w:rsid w:val="00CF21AD"/>
    <w:rsid w:val="00CF2B50"/>
    <w:rsid w:val="00CF2BCB"/>
    <w:rsid w:val="00CF2F7B"/>
    <w:rsid w:val="00CF36FC"/>
    <w:rsid w:val="00CF3FC3"/>
    <w:rsid w:val="00CF4101"/>
    <w:rsid w:val="00CF4111"/>
    <w:rsid w:val="00CF4DE5"/>
    <w:rsid w:val="00CF4E84"/>
    <w:rsid w:val="00CF4F21"/>
    <w:rsid w:val="00CF5ED0"/>
    <w:rsid w:val="00CF601C"/>
    <w:rsid w:val="00CF66A8"/>
    <w:rsid w:val="00CF66CD"/>
    <w:rsid w:val="00CF682E"/>
    <w:rsid w:val="00CF6884"/>
    <w:rsid w:val="00CF699E"/>
    <w:rsid w:val="00CF6F4C"/>
    <w:rsid w:val="00CF776D"/>
    <w:rsid w:val="00D0049B"/>
    <w:rsid w:val="00D005C9"/>
    <w:rsid w:val="00D005EF"/>
    <w:rsid w:val="00D0078F"/>
    <w:rsid w:val="00D007EE"/>
    <w:rsid w:val="00D01616"/>
    <w:rsid w:val="00D0196A"/>
    <w:rsid w:val="00D02A0F"/>
    <w:rsid w:val="00D02BA4"/>
    <w:rsid w:val="00D02E43"/>
    <w:rsid w:val="00D03117"/>
    <w:rsid w:val="00D033BE"/>
    <w:rsid w:val="00D03830"/>
    <w:rsid w:val="00D03843"/>
    <w:rsid w:val="00D03B82"/>
    <w:rsid w:val="00D03F56"/>
    <w:rsid w:val="00D0409D"/>
    <w:rsid w:val="00D04875"/>
    <w:rsid w:val="00D04C1E"/>
    <w:rsid w:val="00D04C23"/>
    <w:rsid w:val="00D0536F"/>
    <w:rsid w:val="00D059A7"/>
    <w:rsid w:val="00D06804"/>
    <w:rsid w:val="00D06819"/>
    <w:rsid w:val="00D06859"/>
    <w:rsid w:val="00D06AD4"/>
    <w:rsid w:val="00D0759A"/>
    <w:rsid w:val="00D07821"/>
    <w:rsid w:val="00D10199"/>
    <w:rsid w:val="00D10356"/>
    <w:rsid w:val="00D108BD"/>
    <w:rsid w:val="00D10B2D"/>
    <w:rsid w:val="00D10F65"/>
    <w:rsid w:val="00D111D5"/>
    <w:rsid w:val="00D114F7"/>
    <w:rsid w:val="00D11A72"/>
    <w:rsid w:val="00D126E4"/>
    <w:rsid w:val="00D127BA"/>
    <w:rsid w:val="00D1297D"/>
    <w:rsid w:val="00D12F05"/>
    <w:rsid w:val="00D13713"/>
    <w:rsid w:val="00D1461F"/>
    <w:rsid w:val="00D14DB4"/>
    <w:rsid w:val="00D1574D"/>
    <w:rsid w:val="00D15CC3"/>
    <w:rsid w:val="00D16000"/>
    <w:rsid w:val="00D1617D"/>
    <w:rsid w:val="00D16303"/>
    <w:rsid w:val="00D16FA9"/>
    <w:rsid w:val="00D170F4"/>
    <w:rsid w:val="00D1797F"/>
    <w:rsid w:val="00D203A6"/>
    <w:rsid w:val="00D208D4"/>
    <w:rsid w:val="00D20E98"/>
    <w:rsid w:val="00D20FA6"/>
    <w:rsid w:val="00D215A4"/>
    <w:rsid w:val="00D21FF9"/>
    <w:rsid w:val="00D221BF"/>
    <w:rsid w:val="00D224D0"/>
    <w:rsid w:val="00D23FAC"/>
    <w:rsid w:val="00D24D7C"/>
    <w:rsid w:val="00D24EEE"/>
    <w:rsid w:val="00D24F30"/>
    <w:rsid w:val="00D2514E"/>
    <w:rsid w:val="00D25C6F"/>
    <w:rsid w:val="00D2625F"/>
    <w:rsid w:val="00D269C9"/>
    <w:rsid w:val="00D26F6C"/>
    <w:rsid w:val="00D27175"/>
    <w:rsid w:val="00D27876"/>
    <w:rsid w:val="00D27887"/>
    <w:rsid w:val="00D27B1A"/>
    <w:rsid w:val="00D307C5"/>
    <w:rsid w:val="00D310B4"/>
    <w:rsid w:val="00D31375"/>
    <w:rsid w:val="00D31A69"/>
    <w:rsid w:val="00D31D89"/>
    <w:rsid w:val="00D31F3A"/>
    <w:rsid w:val="00D324EB"/>
    <w:rsid w:val="00D32A1A"/>
    <w:rsid w:val="00D32E87"/>
    <w:rsid w:val="00D32F8E"/>
    <w:rsid w:val="00D33370"/>
    <w:rsid w:val="00D3340E"/>
    <w:rsid w:val="00D338D3"/>
    <w:rsid w:val="00D33F2C"/>
    <w:rsid w:val="00D34284"/>
    <w:rsid w:val="00D342B4"/>
    <w:rsid w:val="00D34F26"/>
    <w:rsid w:val="00D35553"/>
    <w:rsid w:val="00D35604"/>
    <w:rsid w:val="00D35AA4"/>
    <w:rsid w:val="00D35C43"/>
    <w:rsid w:val="00D36BC8"/>
    <w:rsid w:val="00D40141"/>
    <w:rsid w:val="00D4082B"/>
    <w:rsid w:val="00D4109C"/>
    <w:rsid w:val="00D4115E"/>
    <w:rsid w:val="00D412F4"/>
    <w:rsid w:val="00D41580"/>
    <w:rsid w:val="00D420D2"/>
    <w:rsid w:val="00D43315"/>
    <w:rsid w:val="00D43E7D"/>
    <w:rsid w:val="00D44044"/>
    <w:rsid w:val="00D449E0"/>
    <w:rsid w:val="00D44B8C"/>
    <w:rsid w:val="00D44DE5"/>
    <w:rsid w:val="00D450CA"/>
    <w:rsid w:val="00D45529"/>
    <w:rsid w:val="00D459C7"/>
    <w:rsid w:val="00D4633B"/>
    <w:rsid w:val="00D4676F"/>
    <w:rsid w:val="00D46BD7"/>
    <w:rsid w:val="00D46DCA"/>
    <w:rsid w:val="00D46DD3"/>
    <w:rsid w:val="00D472EE"/>
    <w:rsid w:val="00D47453"/>
    <w:rsid w:val="00D4760B"/>
    <w:rsid w:val="00D478BD"/>
    <w:rsid w:val="00D47EAB"/>
    <w:rsid w:val="00D47FD9"/>
    <w:rsid w:val="00D50841"/>
    <w:rsid w:val="00D50E5B"/>
    <w:rsid w:val="00D50FE2"/>
    <w:rsid w:val="00D515FE"/>
    <w:rsid w:val="00D5187A"/>
    <w:rsid w:val="00D523E2"/>
    <w:rsid w:val="00D524D5"/>
    <w:rsid w:val="00D52850"/>
    <w:rsid w:val="00D52B25"/>
    <w:rsid w:val="00D5347B"/>
    <w:rsid w:val="00D53E38"/>
    <w:rsid w:val="00D54074"/>
    <w:rsid w:val="00D54214"/>
    <w:rsid w:val="00D54AC4"/>
    <w:rsid w:val="00D54ECE"/>
    <w:rsid w:val="00D552A4"/>
    <w:rsid w:val="00D5544F"/>
    <w:rsid w:val="00D5566E"/>
    <w:rsid w:val="00D55EF5"/>
    <w:rsid w:val="00D56478"/>
    <w:rsid w:val="00D5670A"/>
    <w:rsid w:val="00D5679D"/>
    <w:rsid w:val="00D567CE"/>
    <w:rsid w:val="00D568CF"/>
    <w:rsid w:val="00D56D6E"/>
    <w:rsid w:val="00D56DDB"/>
    <w:rsid w:val="00D575FE"/>
    <w:rsid w:val="00D57C1A"/>
    <w:rsid w:val="00D57D9F"/>
    <w:rsid w:val="00D6075D"/>
    <w:rsid w:val="00D60B47"/>
    <w:rsid w:val="00D60BF8"/>
    <w:rsid w:val="00D60ECC"/>
    <w:rsid w:val="00D6116B"/>
    <w:rsid w:val="00D611E7"/>
    <w:rsid w:val="00D61392"/>
    <w:rsid w:val="00D61729"/>
    <w:rsid w:val="00D621A0"/>
    <w:rsid w:val="00D621C4"/>
    <w:rsid w:val="00D62A1F"/>
    <w:rsid w:val="00D62B4F"/>
    <w:rsid w:val="00D62C0F"/>
    <w:rsid w:val="00D62F74"/>
    <w:rsid w:val="00D63142"/>
    <w:rsid w:val="00D632F6"/>
    <w:rsid w:val="00D639D1"/>
    <w:rsid w:val="00D63A18"/>
    <w:rsid w:val="00D64269"/>
    <w:rsid w:val="00D645E0"/>
    <w:rsid w:val="00D64D0B"/>
    <w:rsid w:val="00D64E99"/>
    <w:rsid w:val="00D65778"/>
    <w:rsid w:val="00D65842"/>
    <w:rsid w:val="00D6640A"/>
    <w:rsid w:val="00D6643D"/>
    <w:rsid w:val="00D6650C"/>
    <w:rsid w:val="00D66697"/>
    <w:rsid w:val="00D703E7"/>
    <w:rsid w:val="00D70451"/>
    <w:rsid w:val="00D70840"/>
    <w:rsid w:val="00D70ACA"/>
    <w:rsid w:val="00D70D3E"/>
    <w:rsid w:val="00D70FF8"/>
    <w:rsid w:val="00D717DD"/>
    <w:rsid w:val="00D72A0D"/>
    <w:rsid w:val="00D72FDB"/>
    <w:rsid w:val="00D73CDA"/>
    <w:rsid w:val="00D744A5"/>
    <w:rsid w:val="00D744D0"/>
    <w:rsid w:val="00D7450F"/>
    <w:rsid w:val="00D74B94"/>
    <w:rsid w:val="00D74DED"/>
    <w:rsid w:val="00D74FE0"/>
    <w:rsid w:val="00D7575E"/>
    <w:rsid w:val="00D75EB3"/>
    <w:rsid w:val="00D75FCD"/>
    <w:rsid w:val="00D76552"/>
    <w:rsid w:val="00D76A75"/>
    <w:rsid w:val="00D77002"/>
    <w:rsid w:val="00D77305"/>
    <w:rsid w:val="00D7737A"/>
    <w:rsid w:val="00D775E7"/>
    <w:rsid w:val="00D77B20"/>
    <w:rsid w:val="00D803A9"/>
    <w:rsid w:val="00D8087C"/>
    <w:rsid w:val="00D80ABC"/>
    <w:rsid w:val="00D80E4C"/>
    <w:rsid w:val="00D815FA"/>
    <w:rsid w:val="00D81C29"/>
    <w:rsid w:val="00D81C2E"/>
    <w:rsid w:val="00D81E81"/>
    <w:rsid w:val="00D8308D"/>
    <w:rsid w:val="00D83690"/>
    <w:rsid w:val="00D83CF8"/>
    <w:rsid w:val="00D83D76"/>
    <w:rsid w:val="00D83DF1"/>
    <w:rsid w:val="00D85214"/>
    <w:rsid w:val="00D8693F"/>
    <w:rsid w:val="00D86E5C"/>
    <w:rsid w:val="00D873EB"/>
    <w:rsid w:val="00D875DA"/>
    <w:rsid w:val="00D9043D"/>
    <w:rsid w:val="00D90A07"/>
    <w:rsid w:val="00D90FCA"/>
    <w:rsid w:val="00D9143B"/>
    <w:rsid w:val="00D914A9"/>
    <w:rsid w:val="00D914C9"/>
    <w:rsid w:val="00D91841"/>
    <w:rsid w:val="00D91ADC"/>
    <w:rsid w:val="00D91D00"/>
    <w:rsid w:val="00D920B8"/>
    <w:rsid w:val="00D9276A"/>
    <w:rsid w:val="00D928A5"/>
    <w:rsid w:val="00D931B3"/>
    <w:rsid w:val="00D93415"/>
    <w:rsid w:val="00D93731"/>
    <w:rsid w:val="00D94213"/>
    <w:rsid w:val="00D94385"/>
    <w:rsid w:val="00D9443A"/>
    <w:rsid w:val="00D9451D"/>
    <w:rsid w:val="00D9482C"/>
    <w:rsid w:val="00D94C6D"/>
    <w:rsid w:val="00D94EC4"/>
    <w:rsid w:val="00D95095"/>
    <w:rsid w:val="00D9530E"/>
    <w:rsid w:val="00D95367"/>
    <w:rsid w:val="00D953D7"/>
    <w:rsid w:val="00D96158"/>
    <w:rsid w:val="00D961A9"/>
    <w:rsid w:val="00D96207"/>
    <w:rsid w:val="00D9640A"/>
    <w:rsid w:val="00D96A25"/>
    <w:rsid w:val="00D9747A"/>
    <w:rsid w:val="00D976C7"/>
    <w:rsid w:val="00D97A2D"/>
    <w:rsid w:val="00DA0309"/>
    <w:rsid w:val="00DA04FA"/>
    <w:rsid w:val="00DA0B51"/>
    <w:rsid w:val="00DA143A"/>
    <w:rsid w:val="00DA199A"/>
    <w:rsid w:val="00DA1EDE"/>
    <w:rsid w:val="00DA22B1"/>
    <w:rsid w:val="00DA2377"/>
    <w:rsid w:val="00DA2470"/>
    <w:rsid w:val="00DA2626"/>
    <w:rsid w:val="00DA2CA1"/>
    <w:rsid w:val="00DA3360"/>
    <w:rsid w:val="00DA347A"/>
    <w:rsid w:val="00DA3C02"/>
    <w:rsid w:val="00DA3F42"/>
    <w:rsid w:val="00DA4745"/>
    <w:rsid w:val="00DA530C"/>
    <w:rsid w:val="00DA54BA"/>
    <w:rsid w:val="00DA5F46"/>
    <w:rsid w:val="00DA6218"/>
    <w:rsid w:val="00DA64C8"/>
    <w:rsid w:val="00DA66B9"/>
    <w:rsid w:val="00DA74D0"/>
    <w:rsid w:val="00DA7E54"/>
    <w:rsid w:val="00DB0242"/>
    <w:rsid w:val="00DB0403"/>
    <w:rsid w:val="00DB102D"/>
    <w:rsid w:val="00DB11D1"/>
    <w:rsid w:val="00DB1E25"/>
    <w:rsid w:val="00DB2121"/>
    <w:rsid w:val="00DB2389"/>
    <w:rsid w:val="00DB30EB"/>
    <w:rsid w:val="00DB36CB"/>
    <w:rsid w:val="00DB393D"/>
    <w:rsid w:val="00DB3B6C"/>
    <w:rsid w:val="00DB412C"/>
    <w:rsid w:val="00DB4378"/>
    <w:rsid w:val="00DB445F"/>
    <w:rsid w:val="00DB4700"/>
    <w:rsid w:val="00DB4753"/>
    <w:rsid w:val="00DB4782"/>
    <w:rsid w:val="00DB48D2"/>
    <w:rsid w:val="00DB526F"/>
    <w:rsid w:val="00DB57D1"/>
    <w:rsid w:val="00DB5F8E"/>
    <w:rsid w:val="00DB61ED"/>
    <w:rsid w:val="00DB6910"/>
    <w:rsid w:val="00DB6ADD"/>
    <w:rsid w:val="00DB6DD0"/>
    <w:rsid w:val="00DB7177"/>
    <w:rsid w:val="00DB7391"/>
    <w:rsid w:val="00DB7999"/>
    <w:rsid w:val="00DC02B8"/>
    <w:rsid w:val="00DC03E4"/>
    <w:rsid w:val="00DC0773"/>
    <w:rsid w:val="00DC0A97"/>
    <w:rsid w:val="00DC0CA7"/>
    <w:rsid w:val="00DC0E77"/>
    <w:rsid w:val="00DC203C"/>
    <w:rsid w:val="00DC208D"/>
    <w:rsid w:val="00DC2091"/>
    <w:rsid w:val="00DC289A"/>
    <w:rsid w:val="00DC2BC6"/>
    <w:rsid w:val="00DC3076"/>
    <w:rsid w:val="00DC34A3"/>
    <w:rsid w:val="00DC3BE1"/>
    <w:rsid w:val="00DC3EDF"/>
    <w:rsid w:val="00DC5586"/>
    <w:rsid w:val="00DC5961"/>
    <w:rsid w:val="00DC5B94"/>
    <w:rsid w:val="00DC5E1E"/>
    <w:rsid w:val="00DC6046"/>
    <w:rsid w:val="00DC60C8"/>
    <w:rsid w:val="00DC641E"/>
    <w:rsid w:val="00DC6ABB"/>
    <w:rsid w:val="00DC7077"/>
    <w:rsid w:val="00DC71E0"/>
    <w:rsid w:val="00DC748A"/>
    <w:rsid w:val="00DC74F5"/>
    <w:rsid w:val="00DC772C"/>
    <w:rsid w:val="00DC7A4D"/>
    <w:rsid w:val="00DC7ED8"/>
    <w:rsid w:val="00DD003E"/>
    <w:rsid w:val="00DD0A73"/>
    <w:rsid w:val="00DD15DF"/>
    <w:rsid w:val="00DD1F18"/>
    <w:rsid w:val="00DD28CE"/>
    <w:rsid w:val="00DD28EB"/>
    <w:rsid w:val="00DD29B8"/>
    <w:rsid w:val="00DD2D61"/>
    <w:rsid w:val="00DD2EEB"/>
    <w:rsid w:val="00DD3371"/>
    <w:rsid w:val="00DD37C2"/>
    <w:rsid w:val="00DD3C0A"/>
    <w:rsid w:val="00DD408F"/>
    <w:rsid w:val="00DD4874"/>
    <w:rsid w:val="00DD4E17"/>
    <w:rsid w:val="00DD520C"/>
    <w:rsid w:val="00DD55B6"/>
    <w:rsid w:val="00DD5E10"/>
    <w:rsid w:val="00DD5E20"/>
    <w:rsid w:val="00DD6645"/>
    <w:rsid w:val="00DD66BD"/>
    <w:rsid w:val="00DD66EE"/>
    <w:rsid w:val="00DD707A"/>
    <w:rsid w:val="00DD70F7"/>
    <w:rsid w:val="00DD79C8"/>
    <w:rsid w:val="00DD7A52"/>
    <w:rsid w:val="00DD7D7F"/>
    <w:rsid w:val="00DD7DC5"/>
    <w:rsid w:val="00DE01BD"/>
    <w:rsid w:val="00DE0332"/>
    <w:rsid w:val="00DE0339"/>
    <w:rsid w:val="00DE080F"/>
    <w:rsid w:val="00DE0CA8"/>
    <w:rsid w:val="00DE0E8F"/>
    <w:rsid w:val="00DE0F85"/>
    <w:rsid w:val="00DE2A3D"/>
    <w:rsid w:val="00DE3017"/>
    <w:rsid w:val="00DE32BA"/>
    <w:rsid w:val="00DE3543"/>
    <w:rsid w:val="00DE35B0"/>
    <w:rsid w:val="00DE3E8B"/>
    <w:rsid w:val="00DE4DC1"/>
    <w:rsid w:val="00DE574A"/>
    <w:rsid w:val="00DE5CB7"/>
    <w:rsid w:val="00DE5DE8"/>
    <w:rsid w:val="00DE60D4"/>
    <w:rsid w:val="00DE6A52"/>
    <w:rsid w:val="00DE6AC3"/>
    <w:rsid w:val="00DE7067"/>
    <w:rsid w:val="00DE76F9"/>
    <w:rsid w:val="00DE7871"/>
    <w:rsid w:val="00DE7A7D"/>
    <w:rsid w:val="00DE7CB1"/>
    <w:rsid w:val="00DE7CE9"/>
    <w:rsid w:val="00DE7F1F"/>
    <w:rsid w:val="00DF00D3"/>
    <w:rsid w:val="00DF096A"/>
    <w:rsid w:val="00DF1508"/>
    <w:rsid w:val="00DF1C15"/>
    <w:rsid w:val="00DF28C1"/>
    <w:rsid w:val="00DF2F04"/>
    <w:rsid w:val="00DF3407"/>
    <w:rsid w:val="00DF34B1"/>
    <w:rsid w:val="00DF3B73"/>
    <w:rsid w:val="00DF3CAB"/>
    <w:rsid w:val="00DF3FE4"/>
    <w:rsid w:val="00DF41F3"/>
    <w:rsid w:val="00DF4335"/>
    <w:rsid w:val="00DF440B"/>
    <w:rsid w:val="00DF45C4"/>
    <w:rsid w:val="00DF45DF"/>
    <w:rsid w:val="00DF471C"/>
    <w:rsid w:val="00DF480A"/>
    <w:rsid w:val="00DF5032"/>
    <w:rsid w:val="00DF5046"/>
    <w:rsid w:val="00DF5630"/>
    <w:rsid w:val="00DF5AC3"/>
    <w:rsid w:val="00DF5E2D"/>
    <w:rsid w:val="00DF650A"/>
    <w:rsid w:val="00DF6F96"/>
    <w:rsid w:val="00DF7E3A"/>
    <w:rsid w:val="00E0082B"/>
    <w:rsid w:val="00E01058"/>
    <w:rsid w:val="00E011B9"/>
    <w:rsid w:val="00E01243"/>
    <w:rsid w:val="00E01259"/>
    <w:rsid w:val="00E0215E"/>
    <w:rsid w:val="00E02475"/>
    <w:rsid w:val="00E02858"/>
    <w:rsid w:val="00E02F71"/>
    <w:rsid w:val="00E02FBE"/>
    <w:rsid w:val="00E03016"/>
    <w:rsid w:val="00E034B2"/>
    <w:rsid w:val="00E0370D"/>
    <w:rsid w:val="00E03CDF"/>
    <w:rsid w:val="00E03ED3"/>
    <w:rsid w:val="00E0494C"/>
    <w:rsid w:val="00E04B84"/>
    <w:rsid w:val="00E0501C"/>
    <w:rsid w:val="00E05510"/>
    <w:rsid w:val="00E05649"/>
    <w:rsid w:val="00E05812"/>
    <w:rsid w:val="00E05B59"/>
    <w:rsid w:val="00E05D46"/>
    <w:rsid w:val="00E05F7E"/>
    <w:rsid w:val="00E06511"/>
    <w:rsid w:val="00E06CF1"/>
    <w:rsid w:val="00E06EED"/>
    <w:rsid w:val="00E07720"/>
    <w:rsid w:val="00E078BE"/>
    <w:rsid w:val="00E07CEE"/>
    <w:rsid w:val="00E1045A"/>
    <w:rsid w:val="00E1051E"/>
    <w:rsid w:val="00E106DC"/>
    <w:rsid w:val="00E10A11"/>
    <w:rsid w:val="00E10C02"/>
    <w:rsid w:val="00E11DC1"/>
    <w:rsid w:val="00E1366E"/>
    <w:rsid w:val="00E1367B"/>
    <w:rsid w:val="00E13684"/>
    <w:rsid w:val="00E138AC"/>
    <w:rsid w:val="00E13910"/>
    <w:rsid w:val="00E141A7"/>
    <w:rsid w:val="00E1449D"/>
    <w:rsid w:val="00E1468A"/>
    <w:rsid w:val="00E14CE8"/>
    <w:rsid w:val="00E14F60"/>
    <w:rsid w:val="00E153E9"/>
    <w:rsid w:val="00E15471"/>
    <w:rsid w:val="00E1580D"/>
    <w:rsid w:val="00E16105"/>
    <w:rsid w:val="00E1652D"/>
    <w:rsid w:val="00E16969"/>
    <w:rsid w:val="00E16C45"/>
    <w:rsid w:val="00E16F1D"/>
    <w:rsid w:val="00E172A8"/>
    <w:rsid w:val="00E174AA"/>
    <w:rsid w:val="00E177AB"/>
    <w:rsid w:val="00E1794A"/>
    <w:rsid w:val="00E20045"/>
    <w:rsid w:val="00E207F1"/>
    <w:rsid w:val="00E20866"/>
    <w:rsid w:val="00E20E36"/>
    <w:rsid w:val="00E21206"/>
    <w:rsid w:val="00E21591"/>
    <w:rsid w:val="00E217A1"/>
    <w:rsid w:val="00E21847"/>
    <w:rsid w:val="00E21C22"/>
    <w:rsid w:val="00E21F0A"/>
    <w:rsid w:val="00E22070"/>
    <w:rsid w:val="00E223CC"/>
    <w:rsid w:val="00E22ADA"/>
    <w:rsid w:val="00E22F1A"/>
    <w:rsid w:val="00E232D3"/>
    <w:rsid w:val="00E235F0"/>
    <w:rsid w:val="00E237CA"/>
    <w:rsid w:val="00E23B77"/>
    <w:rsid w:val="00E23C5D"/>
    <w:rsid w:val="00E2428E"/>
    <w:rsid w:val="00E24529"/>
    <w:rsid w:val="00E24569"/>
    <w:rsid w:val="00E246A6"/>
    <w:rsid w:val="00E24976"/>
    <w:rsid w:val="00E2579D"/>
    <w:rsid w:val="00E2599E"/>
    <w:rsid w:val="00E2600C"/>
    <w:rsid w:val="00E263D3"/>
    <w:rsid w:val="00E2659C"/>
    <w:rsid w:val="00E26D92"/>
    <w:rsid w:val="00E26F74"/>
    <w:rsid w:val="00E271A0"/>
    <w:rsid w:val="00E278E7"/>
    <w:rsid w:val="00E27A60"/>
    <w:rsid w:val="00E27C4A"/>
    <w:rsid w:val="00E301B3"/>
    <w:rsid w:val="00E3067C"/>
    <w:rsid w:val="00E309C6"/>
    <w:rsid w:val="00E30DE5"/>
    <w:rsid w:val="00E3229E"/>
    <w:rsid w:val="00E322CC"/>
    <w:rsid w:val="00E327D0"/>
    <w:rsid w:val="00E32934"/>
    <w:rsid w:val="00E32BF3"/>
    <w:rsid w:val="00E32CE7"/>
    <w:rsid w:val="00E330B1"/>
    <w:rsid w:val="00E33611"/>
    <w:rsid w:val="00E33813"/>
    <w:rsid w:val="00E338B6"/>
    <w:rsid w:val="00E338ED"/>
    <w:rsid w:val="00E340A8"/>
    <w:rsid w:val="00E344F6"/>
    <w:rsid w:val="00E352EF"/>
    <w:rsid w:val="00E35C7C"/>
    <w:rsid w:val="00E36B65"/>
    <w:rsid w:val="00E36BC7"/>
    <w:rsid w:val="00E37064"/>
    <w:rsid w:val="00E370B4"/>
    <w:rsid w:val="00E3773E"/>
    <w:rsid w:val="00E37AC4"/>
    <w:rsid w:val="00E37F6B"/>
    <w:rsid w:val="00E4078E"/>
    <w:rsid w:val="00E40A82"/>
    <w:rsid w:val="00E40D8D"/>
    <w:rsid w:val="00E4108C"/>
    <w:rsid w:val="00E41906"/>
    <w:rsid w:val="00E421DB"/>
    <w:rsid w:val="00E4287E"/>
    <w:rsid w:val="00E42A34"/>
    <w:rsid w:val="00E42F8E"/>
    <w:rsid w:val="00E438A0"/>
    <w:rsid w:val="00E438EE"/>
    <w:rsid w:val="00E43C0A"/>
    <w:rsid w:val="00E44643"/>
    <w:rsid w:val="00E446A4"/>
    <w:rsid w:val="00E44809"/>
    <w:rsid w:val="00E44A9C"/>
    <w:rsid w:val="00E44C9E"/>
    <w:rsid w:val="00E45572"/>
    <w:rsid w:val="00E45675"/>
    <w:rsid w:val="00E4583D"/>
    <w:rsid w:val="00E4593B"/>
    <w:rsid w:val="00E45A2E"/>
    <w:rsid w:val="00E45B8F"/>
    <w:rsid w:val="00E46B71"/>
    <w:rsid w:val="00E511AC"/>
    <w:rsid w:val="00E5153E"/>
    <w:rsid w:val="00E51627"/>
    <w:rsid w:val="00E518E9"/>
    <w:rsid w:val="00E51958"/>
    <w:rsid w:val="00E519FD"/>
    <w:rsid w:val="00E521D5"/>
    <w:rsid w:val="00E52246"/>
    <w:rsid w:val="00E5338F"/>
    <w:rsid w:val="00E54C10"/>
    <w:rsid w:val="00E552DA"/>
    <w:rsid w:val="00E55325"/>
    <w:rsid w:val="00E559AF"/>
    <w:rsid w:val="00E55B3F"/>
    <w:rsid w:val="00E55B8C"/>
    <w:rsid w:val="00E55EF7"/>
    <w:rsid w:val="00E5640A"/>
    <w:rsid w:val="00E569B0"/>
    <w:rsid w:val="00E56F37"/>
    <w:rsid w:val="00E56FF9"/>
    <w:rsid w:val="00E5791B"/>
    <w:rsid w:val="00E57A49"/>
    <w:rsid w:val="00E57EF4"/>
    <w:rsid w:val="00E60121"/>
    <w:rsid w:val="00E60B6E"/>
    <w:rsid w:val="00E61793"/>
    <w:rsid w:val="00E6195C"/>
    <w:rsid w:val="00E62181"/>
    <w:rsid w:val="00E6377A"/>
    <w:rsid w:val="00E65867"/>
    <w:rsid w:val="00E658A5"/>
    <w:rsid w:val="00E65911"/>
    <w:rsid w:val="00E65EF4"/>
    <w:rsid w:val="00E66016"/>
    <w:rsid w:val="00E667D6"/>
    <w:rsid w:val="00E67395"/>
    <w:rsid w:val="00E679E1"/>
    <w:rsid w:val="00E67AF6"/>
    <w:rsid w:val="00E67E64"/>
    <w:rsid w:val="00E67FB5"/>
    <w:rsid w:val="00E70525"/>
    <w:rsid w:val="00E70BD6"/>
    <w:rsid w:val="00E70DD6"/>
    <w:rsid w:val="00E713FC"/>
    <w:rsid w:val="00E71DD6"/>
    <w:rsid w:val="00E72B35"/>
    <w:rsid w:val="00E72D0D"/>
    <w:rsid w:val="00E734CE"/>
    <w:rsid w:val="00E73943"/>
    <w:rsid w:val="00E73BE6"/>
    <w:rsid w:val="00E73C70"/>
    <w:rsid w:val="00E74069"/>
    <w:rsid w:val="00E741C1"/>
    <w:rsid w:val="00E741F1"/>
    <w:rsid w:val="00E74363"/>
    <w:rsid w:val="00E74685"/>
    <w:rsid w:val="00E74A6B"/>
    <w:rsid w:val="00E74D67"/>
    <w:rsid w:val="00E754B5"/>
    <w:rsid w:val="00E7557F"/>
    <w:rsid w:val="00E7592E"/>
    <w:rsid w:val="00E759F8"/>
    <w:rsid w:val="00E77225"/>
    <w:rsid w:val="00E80016"/>
    <w:rsid w:val="00E80664"/>
    <w:rsid w:val="00E81031"/>
    <w:rsid w:val="00E8109B"/>
    <w:rsid w:val="00E815DF"/>
    <w:rsid w:val="00E818F1"/>
    <w:rsid w:val="00E81913"/>
    <w:rsid w:val="00E81E94"/>
    <w:rsid w:val="00E82528"/>
    <w:rsid w:val="00E826B1"/>
    <w:rsid w:val="00E835B8"/>
    <w:rsid w:val="00E83704"/>
    <w:rsid w:val="00E844A5"/>
    <w:rsid w:val="00E84C7C"/>
    <w:rsid w:val="00E858A2"/>
    <w:rsid w:val="00E85AC5"/>
    <w:rsid w:val="00E85C2D"/>
    <w:rsid w:val="00E85E15"/>
    <w:rsid w:val="00E86C79"/>
    <w:rsid w:val="00E8722E"/>
    <w:rsid w:val="00E873C9"/>
    <w:rsid w:val="00E87652"/>
    <w:rsid w:val="00E8785D"/>
    <w:rsid w:val="00E87F9A"/>
    <w:rsid w:val="00E9002E"/>
    <w:rsid w:val="00E9067D"/>
    <w:rsid w:val="00E9091D"/>
    <w:rsid w:val="00E90953"/>
    <w:rsid w:val="00E90EA9"/>
    <w:rsid w:val="00E90EDF"/>
    <w:rsid w:val="00E9133F"/>
    <w:rsid w:val="00E91805"/>
    <w:rsid w:val="00E91A82"/>
    <w:rsid w:val="00E91D2B"/>
    <w:rsid w:val="00E91D81"/>
    <w:rsid w:val="00E939AA"/>
    <w:rsid w:val="00E93A1B"/>
    <w:rsid w:val="00E93B0B"/>
    <w:rsid w:val="00E957B3"/>
    <w:rsid w:val="00E95DDA"/>
    <w:rsid w:val="00E96111"/>
    <w:rsid w:val="00E965EE"/>
    <w:rsid w:val="00E97058"/>
    <w:rsid w:val="00E971AE"/>
    <w:rsid w:val="00E977C7"/>
    <w:rsid w:val="00E97BDE"/>
    <w:rsid w:val="00EA0CE2"/>
    <w:rsid w:val="00EA11C0"/>
    <w:rsid w:val="00EA154C"/>
    <w:rsid w:val="00EA1DA9"/>
    <w:rsid w:val="00EA202F"/>
    <w:rsid w:val="00EA29F8"/>
    <w:rsid w:val="00EA2B84"/>
    <w:rsid w:val="00EA2D07"/>
    <w:rsid w:val="00EA4610"/>
    <w:rsid w:val="00EA4EC9"/>
    <w:rsid w:val="00EA50CC"/>
    <w:rsid w:val="00EA51E5"/>
    <w:rsid w:val="00EA571E"/>
    <w:rsid w:val="00EA5C14"/>
    <w:rsid w:val="00EA5F19"/>
    <w:rsid w:val="00EA5FB0"/>
    <w:rsid w:val="00EA63A5"/>
    <w:rsid w:val="00EA65EC"/>
    <w:rsid w:val="00EA68C4"/>
    <w:rsid w:val="00EA6E3E"/>
    <w:rsid w:val="00EA75AF"/>
    <w:rsid w:val="00EB0392"/>
    <w:rsid w:val="00EB0469"/>
    <w:rsid w:val="00EB0759"/>
    <w:rsid w:val="00EB0B89"/>
    <w:rsid w:val="00EB1803"/>
    <w:rsid w:val="00EB189D"/>
    <w:rsid w:val="00EB1B1C"/>
    <w:rsid w:val="00EB1FAE"/>
    <w:rsid w:val="00EB27DD"/>
    <w:rsid w:val="00EB2CFA"/>
    <w:rsid w:val="00EB2D3D"/>
    <w:rsid w:val="00EB44E4"/>
    <w:rsid w:val="00EB4660"/>
    <w:rsid w:val="00EB4687"/>
    <w:rsid w:val="00EB46A1"/>
    <w:rsid w:val="00EB4B93"/>
    <w:rsid w:val="00EB4D95"/>
    <w:rsid w:val="00EB521A"/>
    <w:rsid w:val="00EB5F5F"/>
    <w:rsid w:val="00EB6118"/>
    <w:rsid w:val="00EB6156"/>
    <w:rsid w:val="00EB6190"/>
    <w:rsid w:val="00EB62E5"/>
    <w:rsid w:val="00EB6464"/>
    <w:rsid w:val="00EB6814"/>
    <w:rsid w:val="00EB6C2B"/>
    <w:rsid w:val="00EB6E4D"/>
    <w:rsid w:val="00EB70EB"/>
    <w:rsid w:val="00EB7293"/>
    <w:rsid w:val="00EB7503"/>
    <w:rsid w:val="00EB75CC"/>
    <w:rsid w:val="00EB75DD"/>
    <w:rsid w:val="00EB772E"/>
    <w:rsid w:val="00EB785E"/>
    <w:rsid w:val="00EB79A7"/>
    <w:rsid w:val="00EB7CB2"/>
    <w:rsid w:val="00EB7D28"/>
    <w:rsid w:val="00EC0277"/>
    <w:rsid w:val="00EC0A49"/>
    <w:rsid w:val="00EC0CB5"/>
    <w:rsid w:val="00EC0DFE"/>
    <w:rsid w:val="00EC17D1"/>
    <w:rsid w:val="00EC1999"/>
    <w:rsid w:val="00EC2C5D"/>
    <w:rsid w:val="00EC307B"/>
    <w:rsid w:val="00EC341E"/>
    <w:rsid w:val="00EC349C"/>
    <w:rsid w:val="00EC39EA"/>
    <w:rsid w:val="00EC3B2D"/>
    <w:rsid w:val="00EC3C33"/>
    <w:rsid w:val="00EC4242"/>
    <w:rsid w:val="00EC501B"/>
    <w:rsid w:val="00EC50F5"/>
    <w:rsid w:val="00EC5B3F"/>
    <w:rsid w:val="00EC6541"/>
    <w:rsid w:val="00EC6AF8"/>
    <w:rsid w:val="00EC71AD"/>
    <w:rsid w:val="00EC7222"/>
    <w:rsid w:val="00EC73A4"/>
    <w:rsid w:val="00EC759B"/>
    <w:rsid w:val="00EC77C1"/>
    <w:rsid w:val="00EC7BF9"/>
    <w:rsid w:val="00ED0083"/>
    <w:rsid w:val="00ED113F"/>
    <w:rsid w:val="00ED1288"/>
    <w:rsid w:val="00ED1314"/>
    <w:rsid w:val="00ED1384"/>
    <w:rsid w:val="00ED18AF"/>
    <w:rsid w:val="00ED1D5F"/>
    <w:rsid w:val="00ED2916"/>
    <w:rsid w:val="00ED295E"/>
    <w:rsid w:val="00ED2CC1"/>
    <w:rsid w:val="00ED3050"/>
    <w:rsid w:val="00ED3097"/>
    <w:rsid w:val="00ED3235"/>
    <w:rsid w:val="00ED333A"/>
    <w:rsid w:val="00ED360C"/>
    <w:rsid w:val="00ED3674"/>
    <w:rsid w:val="00ED37A0"/>
    <w:rsid w:val="00ED39D8"/>
    <w:rsid w:val="00ED3BEC"/>
    <w:rsid w:val="00ED40C8"/>
    <w:rsid w:val="00ED4BD3"/>
    <w:rsid w:val="00ED517D"/>
    <w:rsid w:val="00ED55DA"/>
    <w:rsid w:val="00ED5F94"/>
    <w:rsid w:val="00ED5FBD"/>
    <w:rsid w:val="00ED6127"/>
    <w:rsid w:val="00ED6326"/>
    <w:rsid w:val="00ED647A"/>
    <w:rsid w:val="00ED6D05"/>
    <w:rsid w:val="00ED6D2A"/>
    <w:rsid w:val="00ED6E56"/>
    <w:rsid w:val="00ED6ED9"/>
    <w:rsid w:val="00ED6FE5"/>
    <w:rsid w:val="00ED7848"/>
    <w:rsid w:val="00ED7D3D"/>
    <w:rsid w:val="00ED7E49"/>
    <w:rsid w:val="00EE08C1"/>
    <w:rsid w:val="00EE0E77"/>
    <w:rsid w:val="00EE1903"/>
    <w:rsid w:val="00EE1930"/>
    <w:rsid w:val="00EE2152"/>
    <w:rsid w:val="00EE21DF"/>
    <w:rsid w:val="00EE2B9B"/>
    <w:rsid w:val="00EE39DE"/>
    <w:rsid w:val="00EE3CDA"/>
    <w:rsid w:val="00EE3DD0"/>
    <w:rsid w:val="00EE452C"/>
    <w:rsid w:val="00EE45E7"/>
    <w:rsid w:val="00EE466B"/>
    <w:rsid w:val="00EE5028"/>
    <w:rsid w:val="00EE511A"/>
    <w:rsid w:val="00EE5317"/>
    <w:rsid w:val="00EE5D07"/>
    <w:rsid w:val="00EE5D13"/>
    <w:rsid w:val="00EE5E0B"/>
    <w:rsid w:val="00EE5EAA"/>
    <w:rsid w:val="00EE6135"/>
    <w:rsid w:val="00EE6153"/>
    <w:rsid w:val="00EE6343"/>
    <w:rsid w:val="00EE686D"/>
    <w:rsid w:val="00EE69A1"/>
    <w:rsid w:val="00EE76C1"/>
    <w:rsid w:val="00EE78AE"/>
    <w:rsid w:val="00EE7B05"/>
    <w:rsid w:val="00EF00E4"/>
    <w:rsid w:val="00EF0B39"/>
    <w:rsid w:val="00EF0D2F"/>
    <w:rsid w:val="00EF1134"/>
    <w:rsid w:val="00EF1227"/>
    <w:rsid w:val="00EF161E"/>
    <w:rsid w:val="00EF16D5"/>
    <w:rsid w:val="00EF17E9"/>
    <w:rsid w:val="00EF1E86"/>
    <w:rsid w:val="00EF1E94"/>
    <w:rsid w:val="00EF1F84"/>
    <w:rsid w:val="00EF21F2"/>
    <w:rsid w:val="00EF2434"/>
    <w:rsid w:val="00EF295E"/>
    <w:rsid w:val="00EF350C"/>
    <w:rsid w:val="00EF351F"/>
    <w:rsid w:val="00EF381B"/>
    <w:rsid w:val="00EF3FBC"/>
    <w:rsid w:val="00EF42C4"/>
    <w:rsid w:val="00EF5048"/>
    <w:rsid w:val="00EF581E"/>
    <w:rsid w:val="00EF5A19"/>
    <w:rsid w:val="00EF5FD1"/>
    <w:rsid w:val="00EF65B9"/>
    <w:rsid w:val="00EF6971"/>
    <w:rsid w:val="00EF6B8E"/>
    <w:rsid w:val="00EF726E"/>
    <w:rsid w:val="00F00853"/>
    <w:rsid w:val="00F00A3C"/>
    <w:rsid w:val="00F00B7C"/>
    <w:rsid w:val="00F01126"/>
    <w:rsid w:val="00F012FA"/>
    <w:rsid w:val="00F016EE"/>
    <w:rsid w:val="00F01786"/>
    <w:rsid w:val="00F01DBA"/>
    <w:rsid w:val="00F02245"/>
    <w:rsid w:val="00F0272B"/>
    <w:rsid w:val="00F02BDB"/>
    <w:rsid w:val="00F02DF3"/>
    <w:rsid w:val="00F033D1"/>
    <w:rsid w:val="00F03598"/>
    <w:rsid w:val="00F03D4E"/>
    <w:rsid w:val="00F044E9"/>
    <w:rsid w:val="00F0468A"/>
    <w:rsid w:val="00F04DA1"/>
    <w:rsid w:val="00F05539"/>
    <w:rsid w:val="00F056A0"/>
    <w:rsid w:val="00F06763"/>
    <w:rsid w:val="00F069D2"/>
    <w:rsid w:val="00F0711B"/>
    <w:rsid w:val="00F074BC"/>
    <w:rsid w:val="00F076C7"/>
    <w:rsid w:val="00F0776E"/>
    <w:rsid w:val="00F079AE"/>
    <w:rsid w:val="00F10C5D"/>
    <w:rsid w:val="00F10CAD"/>
    <w:rsid w:val="00F10E07"/>
    <w:rsid w:val="00F10FAC"/>
    <w:rsid w:val="00F11205"/>
    <w:rsid w:val="00F115E5"/>
    <w:rsid w:val="00F123EA"/>
    <w:rsid w:val="00F12649"/>
    <w:rsid w:val="00F129F7"/>
    <w:rsid w:val="00F12E11"/>
    <w:rsid w:val="00F12F1C"/>
    <w:rsid w:val="00F13063"/>
    <w:rsid w:val="00F1320B"/>
    <w:rsid w:val="00F13774"/>
    <w:rsid w:val="00F13CDB"/>
    <w:rsid w:val="00F14441"/>
    <w:rsid w:val="00F1543D"/>
    <w:rsid w:val="00F15AE4"/>
    <w:rsid w:val="00F16A1E"/>
    <w:rsid w:val="00F16FA9"/>
    <w:rsid w:val="00F17115"/>
    <w:rsid w:val="00F172BE"/>
    <w:rsid w:val="00F17A98"/>
    <w:rsid w:val="00F17F67"/>
    <w:rsid w:val="00F17FCC"/>
    <w:rsid w:val="00F20813"/>
    <w:rsid w:val="00F20AA8"/>
    <w:rsid w:val="00F20E60"/>
    <w:rsid w:val="00F2141A"/>
    <w:rsid w:val="00F2149C"/>
    <w:rsid w:val="00F2186A"/>
    <w:rsid w:val="00F21B5A"/>
    <w:rsid w:val="00F2216A"/>
    <w:rsid w:val="00F221CC"/>
    <w:rsid w:val="00F22502"/>
    <w:rsid w:val="00F226EF"/>
    <w:rsid w:val="00F242FB"/>
    <w:rsid w:val="00F243DB"/>
    <w:rsid w:val="00F2451C"/>
    <w:rsid w:val="00F24528"/>
    <w:rsid w:val="00F24780"/>
    <w:rsid w:val="00F24845"/>
    <w:rsid w:val="00F24A97"/>
    <w:rsid w:val="00F251C3"/>
    <w:rsid w:val="00F26649"/>
    <w:rsid w:val="00F267E0"/>
    <w:rsid w:val="00F26FB9"/>
    <w:rsid w:val="00F270A3"/>
    <w:rsid w:val="00F27266"/>
    <w:rsid w:val="00F274F2"/>
    <w:rsid w:val="00F27F09"/>
    <w:rsid w:val="00F27F33"/>
    <w:rsid w:val="00F3045D"/>
    <w:rsid w:val="00F307D9"/>
    <w:rsid w:val="00F3092C"/>
    <w:rsid w:val="00F30C20"/>
    <w:rsid w:val="00F31667"/>
    <w:rsid w:val="00F31AB0"/>
    <w:rsid w:val="00F31CB3"/>
    <w:rsid w:val="00F321DE"/>
    <w:rsid w:val="00F325F5"/>
    <w:rsid w:val="00F328B7"/>
    <w:rsid w:val="00F32ED9"/>
    <w:rsid w:val="00F32FB7"/>
    <w:rsid w:val="00F330ED"/>
    <w:rsid w:val="00F3333D"/>
    <w:rsid w:val="00F33778"/>
    <w:rsid w:val="00F338E0"/>
    <w:rsid w:val="00F33B91"/>
    <w:rsid w:val="00F33F16"/>
    <w:rsid w:val="00F33FFC"/>
    <w:rsid w:val="00F34908"/>
    <w:rsid w:val="00F34A2D"/>
    <w:rsid w:val="00F34B35"/>
    <w:rsid w:val="00F34B82"/>
    <w:rsid w:val="00F34CFE"/>
    <w:rsid w:val="00F356FB"/>
    <w:rsid w:val="00F35808"/>
    <w:rsid w:val="00F35A2E"/>
    <w:rsid w:val="00F35E87"/>
    <w:rsid w:val="00F36345"/>
    <w:rsid w:val="00F3666B"/>
    <w:rsid w:val="00F369CF"/>
    <w:rsid w:val="00F36C0C"/>
    <w:rsid w:val="00F373CD"/>
    <w:rsid w:val="00F37D82"/>
    <w:rsid w:val="00F406BC"/>
    <w:rsid w:val="00F409D8"/>
    <w:rsid w:val="00F40BD1"/>
    <w:rsid w:val="00F40CD6"/>
    <w:rsid w:val="00F40EA7"/>
    <w:rsid w:val="00F4114F"/>
    <w:rsid w:val="00F41D55"/>
    <w:rsid w:val="00F42300"/>
    <w:rsid w:val="00F4234C"/>
    <w:rsid w:val="00F42E1F"/>
    <w:rsid w:val="00F43167"/>
    <w:rsid w:val="00F4367A"/>
    <w:rsid w:val="00F440B6"/>
    <w:rsid w:val="00F450C6"/>
    <w:rsid w:val="00F45248"/>
    <w:rsid w:val="00F45532"/>
    <w:rsid w:val="00F468BF"/>
    <w:rsid w:val="00F46ED6"/>
    <w:rsid w:val="00F473DC"/>
    <w:rsid w:val="00F4749C"/>
    <w:rsid w:val="00F4778B"/>
    <w:rsid w:val="00F4791A"/>
    <w:rsid w:val="00F50DA7"/>
    <w:rsid w:val="00F50ED0"/>
    <w:rsid w:val="00F50F15"/>
    <w:rsid w:val="00F50F58"/>
    <w:rsid w:val="00F512FE"/>
    <w:rsid w:val="00F514D4"/>
    <w:rsid w:val="00F52584"/>
    <w:rsid w:val="00F527F6"/>
    <w:rsid w:val="00F52D0E"/>
    <w:rsid w:val="00F52FFF"/>
    <w:rsid w:val="00F536AA"/>
    <w:rsid w:val="00F53B08"/>
    <w:rsid w:val="00F53CC5"/>
    <w:rsid w:val="00F53E23"/>
    <w:rsid w:val="00F53F2C"/>
    <w:rsid w:val="00F53F86"/>
    <w:rsid w:val="00F545E8"/>
    <w:rsid w:val="00F54764"/>
    <w:rsid w:val="00F54A84"/>
    <w:rsid w:val="00F552AE"/>
    <w:rsid w:val="00F55308"/>
    <w:rsid w:val="00F5569C"/>
    <w:rsid w:val="00F56077"/>
    <w:rsid w:val="00F5630E"/>
    <w:rsid w:val="00F569AD"/>
    <w:rsid w:val="00F56FA4"/>
    <w:rsid w:val="00F570D0"/>
    <w:rsid w:val="00F576CE"/>
    <w:rsid w:val="00F57BE7"/>
    <w:rsid w:val="00F57CCB"/>
    <w:rsid w:val="00F57FC8"/>
    <w:rsid w:val="00F605FB"/>
    <w:rsid w:val="00F60960"/>
    <w:rsid w:val="00F62573"/>
    <w:rsid w:val="00F62AA6"/>
    <w:rsid w:val="00F62FF3"/>
    <w:rsid w:val="00F632CD"/>
    <w:rsid w:val="00F63647"/>
    <w:rsid w:val="00F636BD"/>
    <w:rsid w:val="00F63849"/>
    <w:rsid w:val="00F640AF"/>
    <w:rsid w:val="00F6446D"/>
    <w:rsid w:val="00F6491D"/>
    <w:rsid w:val="00F649E3"/>
    <w:rsid w:val="00F65149"/>
    <w:rsid w:val="00F6586A"/>
    <w:rsid w:val="00F65E41"/>
    <w:rsid w:val="00F65EDB"/>
    <w:rsid w:val="00F66182"/>
    <w:rsid w:val="00F66862"/>
    <w:rsid w:val="00F66B87"/>
    <w:rsid w:val="00F674AA"/>
    <w:rsid w:val="00F676C6"/>
    <w:rsid w:val="00F67AE3"/>
    <w:rsid w:val="00F67CE3"/>
    <w:rsid w:val="00F7052F"/>
    <w:rsid w:val="00F707A3"/>
    <w:rsid w:val="00F7081F"/>
    <w:rsid w:val="00F708EA"/>
    <w:rsid w:val="00F70DED"/>
    <w:rsid w:val="00F70FB8"/>
    <w:rsid w:val="00F7139C"/>
    <w:rsid w:val="00F7187E"/>
    <w:rsid w:val="00F71BEB"/>
    <w:rsid w:val="00F71E33"/>
    <w:rsid w:val="00F7250B"/>
    <w:rsid w:val="00F728A2"/>
    <w:rsid w:val="00F728E2"/>
    <w:rsid w:val="00F72B72"/>
    <w:rsid w:val="00F74ECE"/>
    <w:rsid w:val="00F74F19"/>
    <w:rsid w:val="00F7500A"/>
    <w:rsid w:val="00F750E5"/>
    <w:rsid w:val="00F76BEE"/>
    <w:rsid w:val="00F77397"/>
    <w:rsid w:val="00F805E9"/>
    <w:rsid w:val="00F80B83"/>
    <w:rsid w:val="00F80F86"/>
    <w:rsid w:val="00F810E2"/>
    <w:rsid w:val="00F8131E"/>
    <w:rsid w:val="00F81410"/>
    <w:rsid w:val="00F8144D"/>
    <w:rsid w:val="00F818F7"/>
    <w:rsid w:val="00F81BF5"/>
    <w:rsid w:val="00F81CE8"/>
    <w:rsid w:val="00F8224A"/>
    <w:rsid w:val="00F8280A"/>
    <w:rsid w:val="00F82B7A"/>
    <w:rsid w:val="00F832F5"/>
    <w:rsid w:val="00F839FA"/>
    <w:rsid w:val="00F8467A"/>
    <w:rsid w:val="00F849B5"/>
    <w:rsid w:val="00F84A6F"/>
    <w:rsid w:val="00F84B5A"/>
    <w:rsid w:val="00F84C0F"/>
    <w:rsid w:val="00F84ED4"/>
    <w:rsid w:val="00F84F34"/>
    <w:rsid w:val="00F850BF"/>
    <w:rsid w:val="00F85670"/>
    <w:rsid w:val="00F8589A"/>
    <w:rsid w:val="00F86262"/>
    <w:rsid w:val="00F86456"/>
    <w:rsid w:val="00F867BD"/>
    <w:rsid w:val="00F873E6"/>
    <w:rsid w:val="00F87520"/>
    <w:rsid w:val="00F8785C"/>
    <w:rsid w:val="00F9045B"/>
    <w:rsid w:val="00F905DD"/>
    <w:rsid w:val="00F90869"/>
    <w:rsid w:val="00F90A9A"/>
    <w:rsid w:val="00F90CFF"/>
    <w:rsid w:val="00F910B1"/>
    <w:rsid w:val="00F917D6"/>
    <w:rsid w:val="00F91993"/>
    <w:rsid w:val="00F91A63"/>
    <w:rsid w:val="00F91B58"/>
    <w:rsid w:val="00F91BBD"/>
    <w:rsid w:val="00F92506"/>
    <w:rsid w:val="00F92E88"/>
    <w:rsid w:val="00F931CB"/>
    <w:rsid w:val="00F934AA"/>
    <w:rsid w:val="00F935B5"/>
    <w:rsid w:val="00F936AC"/>
    <w:rsid w:val="00F939B1"/>
    <w:rsid w:val="00F93B52"/>
    <w:rsid w:val="00F93BFB"/>
    <w:rsid w:val="00F93C9A"/>
    <w:rsid w:val="00F943F1"/>
    <w:rsid w:val="00F9447D"/>
    <w:rsid w:val="00F94557"/>
    <w:rsid w:val="00F94C02"/>
    <w:rsid w:val="00F94F22"/>
    <w:rsid w:val="00F9517E"/>
    <w:rsid w:val="00F9575E"/>
    <w:rsid w:val="00F9597A"/>
    <w:rsid w:val="00F95E87"/>
    <w:rsid w:val="00F9613E"/>
    <w:rsid w:val="00F9622F"/>
    <w:rsid w:val="00F963A2"/>
    <w:rsid w:val="00F96A5C"/>
    <w:rsid w:val="00F96A64"/>
    <w:rsid w:val="00F9764D"/>
    <w:rsid w:val="00F979CB"/>
    <w:rsid w:val="00F97EAD"/>
    <w:rsid w:val="00FA007E"/>
    <w:rsid w:val="00FA0D67"/>
    <w:rsid w:val="00FA0DB4"/>
    <w:rsid w:val="00FA131B"/>
    <w:rsid w:val="00FA15E4"/>
    <w:rsid w:val="00FA18B3"/>
    <w:rsid w:val="00FA1963"/>
    <w:rsid w:val="00FA1BAD"/>
    <w:rsid w:val="00FA1DD7"/>
    <w:rsid w:val="00FA2290"/>
    <w:rsid w:val="00FA22B4"/>
    <w:rsid w:val="00FA2645"/>
    <w:rsid w:val="00FA26A5"/>
    <w:rsid w:val="00FA292C"/>
    <w:rsid w:val="00FA2AAB"/>
    <w:rsid w:val="00FA2B60"/>
    <w:rsid w:val="00FA2BEB"/>
    <w:rsid w:val="00FA2D75"/>
    <w:rsid w:val="00FA2FBB"/>
    <w:rsid w:val="00FA3180"/>
    <w:rsid w:val="00FA39DC"/>
    <w:rsid w:val="00FA39E8"/>
    <w:rsid w:val="00FA3D4B"/>
    <w:rsid w:val="00FA459E"/>
    <w:rsid w:val="00FA4CBC"/>
    <w:rsid w:val="00FA4E48"/>
    <w:rsid w:val="00FA5008"/>
    <w:rsid w:val="00FA5267"/>
    <w:rsid w:val="00FA56CA"/>
    <w:rsid w:val="00FA5883"/>
    <w:rsid w:val="00FA5F00"/>
    <w:rsid w:val="00FA6109"/>
    <w:rsid w:val="00FA6920"/>
    <w:rsid w:val="00FA7228"/>
    <w:rsid w:val="00FA7306"/>
    <w:rsid w:val="00FA7411"/>
    <w:rsid w:val="00FA750F"/>
    <w:rsid w:val="00FA76FF"/>
    <w:rsid w:val="00FA7857"/>
    <w:rsid w:val="00FA786B"/>
    <w:rsid w:val="00FA797D"/>
    <w:rsid w:val="00FB062E"/>
    <w:rsid w:val="00FB10D6"/>
    <w:rsid w:val="00FB14FE"/>
    <w:rsid w:val="00FB2244"/>
    <w:rsid w:val="00FB2B7D"/>
    <w:rsid w:val="00FB3022"/>
    <w:rsid w:val="00FB30AF"/>
    <w:rsid w:val="00FB32F4"/>
    <w:rsid w:val="00FB3603"/>
    <w:rsid w:val="00FB36B2"/>
    <w:rsid w:val="00FB3DD9"/>
    <w:rsid w:val="00FB4170"/>
    <w:rsid w:val="00FB4AF2"/>
    <w:rsid w:val="00FB4B5C"/>
    <w:rsid w:val="00FB4BBF"/>
    <w:rsid w:val="00FB4F7D"/>
    <w:rsid w:val="00FB4FCE"/>
    <w:rsid w:val="00FB598D"/>
    <w:rsid w:val="00FB59FB"/>
    <w:rsid w:val="00FB5B15"/>
    <w:rsid w:val="00FB5C78"/>
    <w:rsid w:val="00FB6429"/>
    <w:rsid w:val="00FB6CDF"/>
    <w:rsid w:val="00FB6FFB"/>
    <w:rsid w:val="00FB7329"/>
    <w:rsid w:val="00FB748C"/>
    <w:rsid w:val="00FC00CF"/>
    <w:rsid w:val="00FC02DE"/>
    <w:rsid w:val="00FC145F"/>
    <w:rsid w:val="00FC16CD"/>
    <w:rsid w:val="00FC184F"/>
    <w:rsid w:val="00FC1BCC"/>
    <w:rsid w:val="00FC1CBB"/>
    <w:rsid w:val="00FC2EC6"/>
    <w:rsid w:val="00FC3013"/>
    <w:rsid w:val="00FC305F"/>
    <w:rsid w:val="00FC3499"/>
    <w:rsid w:val="00FC37D3"/>
    <w:rsid w:val="00FC3887"/>
    <w:rsid w:val="00FC39D2"/>
    <w:rsid w:val="00FC39F3"/>
    <w:rsid w:val="00FC3A53"/>
    <w:rsid w:val="00FC3E55"/>
    <w:rsid w:val="00FC3EAF"/>
    <w:rsid w:val="00FC41F1"/>
    <w:rsid w:val="00FC4297"/>
    <w:rsid w:val="00FC49FC"/>
    <w:rsid w:val="00FC4B59"/>
    <w:rsid w:val="00FC4BDF"/>
    <w:rsid w:val="00FC5346"/>
    <w:rsid w:val="00FC60EE"/>
    <w:rsid w:val="00FC6106"/>
    <w:rsid w:val="00FC6F4D"/>
    <w:rsid w:val="00FC712C"/>
    <w:rsid w:val="00FD0334"/>
    <w:rsid w:val="00FD0A1E"/>
    <w:rsid w:val="00FD0CE8"/>
    <w:rsid w:val="00FD1D95"/>
    <w:rsid w:val="00FD1EB5"/>
    <w:rsid w:val="00FD1FF0"/>
    <w:rsid w:val="00FD33EC"/>
    <w:rsid w:val="00FD351F"/>
    <w:rsid w:val="00FD3DAA"/>
    <w:rsid w:val="00FD40D6"/>
    <w:rsid w:val="00FD4496"/>
    <w:rsid w:val="00FD4627"/>
    <w:rsid w:val="00FD46EE"/>
    <w:rsid w:val="00FD4959"/>
    <w:rsid w:val="00FD4C37"/>
    <w:rsid w:val="00FD4E95"/>
    <w:rsid w:val="00FD57D0"/>
    <w:rsid w:val="00FD5948"/>
    <w:rsid w:val="00FD59D5"/>
    <w:rsid w:val="00FD59E5"/>
    <w:rsid w:val="00FD5AF4"/>
    <w:rsid w:val="00FD5C2A"/>
    <w:rsid w:val="00FD5EFC"/>
    <w:rsid w:val="00FD611B"/>
    <w:rsid w:val="00FD7152"/>
    <w:rsid w:val="00FD719E"/>
    <w:rsid w:val="00FD74A0"/>
    <w:rsid w:val="00FD7BA8"/>
    <w:rsid w:val="00FD7BB5"/>
    <w:rsid w:val="00FD7C7C"/>
    <w:rsid w:val="00FE0099"/>
    <w:rsid w:val="00FE02F7"/>
    <w:rsid w:val="00FE074D"/>
    <w:rsid w:val="00FE0770"/>
    <w:rsid w:val="00FE1501"/>
    <w:rsid w:val="00FE158C"/>
    <w:rsid w:val="00FE1A11"/>
    <w:rsid w:val="00FE26F0"/>
    <w:rsid w:val="00FE2DDB"/>
    <w:rsid w:val="00FE2FB5"/>
    <w:rsid w:val="00FE31A6"/>
    <w:rsid w:val="00FE3492"/>
    <w:rsid w:val="00FE34FB"/>
    <w:rsid w:val="00FE403F"/>
    <w:rsid w:val="00FE41B4"/>
    <w:rsid w:val="00FE4294"/>
    <w:rsid w:val="00FE449B"/>
    <w:rsid w:val="00FE479D"/>
    <w:rsid w:val="00FE5379"/>
    <w:rsid w:val="00FE55C1"/>
    <w:rsid w:val="00FE5AD3"/>
    <w:rsid w:val="00FE5B05"/>
    <w:rsid w:val="00FE5B74"/>
    <w:rsid w:val="00FE5F8F"/>
    <w:rsid w:val="00FE6020"/>
    <w:rsid w:val="00FE628A"/>
    <w:rsid w:val="00FE7295"/>
    <w:rsid w:val="00FE75CB"/>
    <w:rsid w:val="00FF031E"/>
    <w:rsid w:val="00FF0704"/>
    <w:rsid w:val="00FF0796"/>
    <w:rsid w:val="00FF081B"/>
    <w:rsid w:val="00FF0FF7"/>
    <w:rsid w:val="00FF1325"/>
    <w:rsid w:val="00FF13FF"/>
    <w:rsid w:val="00FF1663"/>
    <w:rsid w:val="00FF1F73"/>
    <w:rsid w:val="00FF3216"/>
    <w:rsid w:val="00FF3232"/>
    <w:rsid w:val="00FF32DB"/>
    <w:rsid w:val="00FF3B5F"/>
    <w:rsid w:val="00FF3C7D"/>
    <w:rsid w:val="00FF3CEF"/>
    <w:rsid w:val="00FF44A6"/>
    <w:rsid w:val="00FF45B2"/>
    <w:rsid w:val="00FF4654"/>
    <w:rsid w:val="00FF4AC0"/>
    <w:rsid w:val="00FF4C2E"/>
    <w:rsid w:val="00FF4FBA"/>
    <w:rsid w:val="00FF523A"/>
    <w:rsid w:val="00FF531F"/>
    <w:rsid w:val="00FF5A9E"/>
    <w:rsid w:val="00FF5F12"/>
    <w:rsid w:val="00FF6771"/>
    <w:rsid w:val="00FF6901"/>
    <w:rsid w:val="00FF6BDA"/>
    <w:rsid w:val="00FF7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uiPriority="99"/>
    <w:lsdException w:name="header" w:uiPriority="99"/>
    <w:lsdException w:name="footer" w:uiPriority="99"/>
    <w:lsdException w:name="index heading" w:locked="1"/>
    <w:lsdException w:name="caption" w:qFormat="1"/>
    <w:lsdException w:name="table of figures" w:locked="1"/>
    <w:lsdException w:name="envelope address" w:locked="1"/>
    <w:lsdException w:name="envelope return" w:locked="1"/>
    <w:lsdException w:name="footnote reference" w:uiPriority="99"/>
    <w:lsdException w:name="annotation reference" w:uiPriority="99"/>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uiPriority="99"/>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uiPriority="99"/>
    <w:lsdException w:name="Body Text 3" w:locked="1"/>
    <w:lsdException w:name="Body Text Indent 2" w:locked="1"/>
    <w:lsdException w:name="Body Text Indent 3" w:locked="1"/>
    <w:lsdException w:name="Block Text" w:locked="1"/>
    <w:lsdException w:name="Hyperlink" w:uiPriority="99"/>
    <w:lsdException w:name="Strong" w:qFormat="1"/>
    <w:lsdException w:name="Emphasis" w:uiPriority="20" w:qFormat="1"/>
    <w:lsdException w:name="Plain Text" w:locked="1" w:uiPriority="99"/>
    <w:lsdException w:name="E-mail Signature" w:locked="1"/>
    <w:lsdException w:name="HTML Top of Form" w:locked="1"/>
    <w:lsdException w:name="HTML Bottom of Form" w:locked="1"/>
    <w:lsdException w:name="Normal (Web)"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Normal Table"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27FD"/>
    <w:rPr>
      <w:sz w:val="24"/>
      <w:szCs w:val="24"/>
    </w:rPr>
  </w:style>
  <w:style w:type="paragraph" w:styleId="Heading1">
    <w:name w:val="heading 1"/>
    <w:basedOn w:val="Normal"/>
    <w:next w:val="Normal"/>
    <w:link w:val="Heading1Char"/>
    <w:qFormat/>
    <w:rsid w:val="005027FD"/>
    <w:pPr>
      <w:keepNext/>
      <w:jc w:val="center"/>
      <w:outlineLvl w:val="0"/>
    </w:pPr>
    <w:rPr>
      <w:rFonts w:ascii="Courier" w:hAnsi="Courier"/>
      <w:b/>
      <w:szCs w:val="20"/>
    </w:rPr>
  </w:style>
  <w:style w:type="paragraph" w:styleId="Heading2">
    <w:name w:val="heading 2"/>
    <w:basedOn w:val="Normal"/>
    <w:next w:val="Normal"/>
    <w:link w:val="Heading2Char"/>
    <w:qFormat/>
    <w:rsid w:val="005027F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027FD"/>
    <w:pPr>
      <w:keepNext/>
      <w:outlineLvl w:val="2"/>
    </w:pPr>
    <w:rPr>
      <w:rFonts w:ascii="Arial" w:hAnsi="Arial" w:cs="Arial"/>
      <w:b/>
      <w:bCs/>
      <w:u w:val="single"/>
    </w:rPr>
  </w:style>
  <w:style w:type="paragraph" w:styleId="Heading4">
    <w:name w:val="heading 4"/>
    <w:basedOn w:val="Normal"/>
    <w:next w:val="Normal"/>
    <w:link w:val="Heading4Char"/>
    <w:qFormat/>
    <w:rsid w:val="005027FD"/>
    <w:pPr>
      <w:keepNext/>
      <w:jc w:val="center"/>
      <w:outlineLvl w:val="3"/>
    </w:pPr>
    <w:rPr>
      <w:b/>
      <w:szCs w:val="20"/>
    </w:rPr>
  </w:style>
  <w:style w:type="paragraph" w:styleId="Heading5">
    <w:name w:val="heading 5"/>
    <w:basedOn w:val="Normal"/>
    <w:next w:val="Normal"/>
    <w:link w:val="Heading5Char"/>
    <w:qFormat/>
    <w:rsid w:val="005027FD"/>
    <w:pPr>
      <w:keepNext/>
      <w:framePr w:hSpace="180" w:wrap="around" w:vAnchor="text" w:hAnchor="margin" w:x="-45" w:y="-92"/>
      <w:jc w:val="center"/>
      <w:outlineLvl w:val="4"/>
    </w:pPr>
    <w:rPr>
      <w:rFonts w:eastAsia="Arial Unicode MS"/>
      <w:b/>
      <w:bCs/>
      <w:sz w:val="22"/>
    </w:rPr>
  </w:style>
  <w:style w:type="paragraph" w:styleId="Heading6">
    <w:name w:val="heading 6"/>
    <w:basedOn w:val="Normal"/>
    <w:next w:val="Normal"/>
    <w:link w:val="Heading6Char"/>
    <w:qFormat/>
    <w:rsid w:val="005027FD"/>
    <w:pPr>
      <w:keepNext/>
      <w:jc w:val="center"/>
      <w:outlineLvl w:val="5"/>
    </w:pPr>
    <w:rPr>
      <w:rFonts w:eastAsia="Arial Unicode MS"/>
      <w:b/>
      <w:bCs/>
      <w:sz w:val="18"/>
      <w:szCs w:val="16"/>
    </w:rPr>
  </w:style>
  <w:style w:type="paragraph" w:styleId="Heading7">
    <w:name w:val="heading 7"/>
    <w:basedOn w:val="Normal"/>
    <w:next w:val="Normal"/>
    <w:link w:val="Heading7Char"/>
    <w:qFormat/>
    <w:rsid w:val="005027FD"/>
    <w:pPr>
      <w:keepNext/>
      <w:ind w:right="-18"/>
      <w:outlineLvl w:val="6"/>
    </w:pPr>
    <w:rPr>
      <w:b/>
      <w:sz w:val="18"/>
      <w:szCs w:val="20"/>
    </w:rPr>
  </w:style>
  <w:style w:type="paragraph" w:styleId="Heading8">
    <w:name w:val="heading 8"/>
    <w:basedOn w:val="Normal"/>
    <w:next w:val="Normal"/>
    <w:link w:val="Heading8Char"/>
    <w:qFormat/>
    <w:rsid w:val="005027FD"/>
    <w:pPr>
      <w:keepNext/>
      <w:outlineLvl w:val="7"/>
    </w:pPr>
    <w:rPr>
      <w:b/>
      <w:szCs w:val="20"/>
    </w:rPr>
  </w:style>
  <w:style w:type="paragraph" w:styleId="Heading9">
    <w:name w:val="heading 9"/>
    <w:basedOn w:val="Normal"/>
    <w:next w:val="Normal"/>
    <w:link w:val="Heading9Char"/>
    <w:qFormat/>
    <w:rsid w:val="005027FD"/>
    <w:pPr>
      <w:keepNext/>
      <w:ind w:left="-20"/>
      <w:jc w:val="right"/>
      <w:outlineLvl w:val="8"/>
    </w:pPr>
    <w:rPr>
      <w:b/>
      <w:b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027FD"/>
    <w:rPr>
      <w:rFonts w:ascii="Tahoma" w:hAnsi="Tahoma" w:cs="Tahoma"/>
      <w:sz w:val="16"/>
      <w:szCs w:val="16"/>
    </w:rPr>
  </w:style>
  <w:style w:type="character" w:customStyle="1" w:styleId="Heading1Char">
    <w:name w:val="Heading 1 Char"/>
    <w:basedOn w:val="DefaultParagraphFont"/>
    <w:link w:val="Heading1"/>
    <w:locked/>
    <w:rsid w:val="00AD7214"/>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AD7214"/>
    <w:rPr>
      <w:rFonts w:ascii="Cambria" w:hAnsi="Cambria" w:cs="Times New Roman"/>
      <w:b/>
      <w:bCs/>
      <w:i/>
      <w:iCs/>
      <w:sz w:val="28"/>
      <w:szCs w:val="28"/>
    </w:rPr>
  </w:style>
  <w:style w:type="character" w:customStyle="1" w:styleId="Heading3Char">
    <w:name w:val="Heading 3 Char"/>
    <w:basedOn w:val="DefaultParagraphFont"/>
    <w:link w:val="Heading3"/>
    <w:locked/>
    <w:rsid w:val="00AD7214"/>
    <w:rPr>
      <w:rFonts w:ascii="Cambria" w:hAnsi="Cambria" w:cs="Times New Roman"/>
      <w:b/>
      <w:bCs/>
      <w:sz w:val="26"/>
      <w:szCs w:val="26"/>
    </w:rPr>
  </w:style>
  <w:style w:type="character" w:customStyle="1" w:styleId="Heading4Char">
    <w:name w:val="Heading 4 Char"/>
    <w:basedOn w:val="DefaultParagraphFont"/>
    <w:link w:val="Heading4"/>
    <w:semiHidden/>
    <w:locked/>
    <w:rsid w:val="00AD7214"/>
    <w:rPr>
      <w:rFonts w:ascii="Calibri" w:hAnsi="Calibri" w:cs="Times New Roman"/>
      <w:b/>
      <w:bCs/>
      <w:sz w:val="28"/>
      <w:szCs w:val="28"/>
    </w:rPr>
  </w:style>
  <w:style w:type="character" w:customStyle="1" w:styleId="Heading5Char">
    <w:name w:val="Heading 5 Char"/>
    <w:basedOn w:val="DefaultParagraphFont"/>
    <w:link w:val="Heading5"/>
    <w:semiHidden/>
    <w:locked/>
    <w:rsid w:val="00AD7214"/>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AD7214"/>
    <w:rPr>
      <w:rFonts w:ascii="Calibri" w:hAnsi="Calibri" w:cs="Times New Roman"/>
      <w:b/>
      <w:bCs/>
    </w:rPr>
  </w:style>
  <w:style w:type="character" w:customStyle="1" w:styleId="Heading7Char">
    <w:name w:val="Heading 7 Char"/>
    <w:basedOn w:val="DefaultParagraphFont"/>
    <w:link w:val="Heading7"/>
    <w:locked/>
    <w:rsid w:val="00AD7214"/>
    <w:rPr>
      <w:rFonts w:ascii="Calibri" w:hAnsi="Calibri" w:cs="Times New Roman"/>
      <w:sz w:val="24"/>
      <w:szCs w:val="24"/>
    </w:rPr>
  </w:style>
  <w:style w:type="character" w:customStyle="1" w:styleId="Heading8Char">
    <w:name w:val="Heading 8 Char"/>
    <w:basedOn w:val="DefaultParagraphFont"/>
    <w:link w:val="Heading8"/>
    <w:semiHidden/>
    <w:locked/>
    <w:rsid w:val="00AD7214"/>
    <w:rPr>
      <w:rFonts w:ascii="Calibri" w:hAnsi="Calibri" w:cs="Times New Roman"/>
      <w:i/>
      <w:iCs/>
      <w:sz w:val="24"/>
      <w:szCs w:val="24"/>
    </w:rPr>
  </w:style>
  <w:style w:type="character" w:customStyle="1" w:styleId="Heading9Char">
    <w:name w:val="Heading 9 Char"/>
    <w:basedOn w:val="DefaultParagraphFont"/>
    <w:link w:val="Heading9"/>
    <w:semiHidden/>
    <w:locked/>
    <w:rsid w:val="00AD7214"/>
    <w:rPr>
      <w:rFonts w:ascii="Cambria" w:hAnsi="Cambria" w:cs="Times New Roman"/>
    </w:rPr>
  </w:style>
  <w:style w:type="paragraph" w:customStyle="1" w:styleId="xl19">
    <w:name w:val="xl19"/>
    <w:basedOn w:val="Normal"/>
    <w:rsid w:val="005027FD"/>
  </w:style>
  <w:style w:type="paragraph" w:customStyle="1" w:styleId="xl27">
    <w:name w:val="xl27"/>
    <w:basedOn w:val="Normal"/>
    <w:rsid w:val="005027FD"/>
    <w:pPr>
      <w:spacing w:before="100" w:after="100"/>
    </w:pPr>
    <w:rPr>
      <w:rFonts w:ascii="Arial" w:eastAsia="Arial Unicode MS" w:hAnsi="Arial"/>
      <w:b/>
      <w:szCs w:val="20"/>
    </w:rPr>
  </w:style>
  <w:style w:type="paragraph" w:customStyle="1" w:styleId="xl33">
    <w:name w:val="xl33"/>
    <w:basedOn w:val="Normal"/>
    <w:rsid w:val="005027FD"/>
    <w:pPr>
      <w:spacing w:before="100" w:after="100"/>
      <w:jc w:val="center"/>
    </w:pPr>
    <w:rPr>
      <w:rFonts w:ascii="Arial" w:eastAsia="Arial Unicode MS" w:hAnsi="Arial"/>
      <w:b/>
      <w:szCs w:val="20"/>
    </w:rPr>
  </w:style>
  <w:style w:type="paragraph" w:styleId="BodyText">
    <w:name w:val="Body Text"/>
    <w:aliases w:val="Hanging,body text,bt,heading3,NCDOT Body Text,1body,BodText,Body Txt,FL IND"/>
    <w:basedOn w:val="Normal"/>
    <w:link w:val="BodyTextChar"/>
    <w:uiPriority w:val="99"/>
    <w:rsid w:val="005027FD"/>
    <w:rPr>
      <w:szCs w:val="20"/>
    </w:rPr>
  </w:style>
  <w:style w:type="character" w:customStyle="1" w:styleId="BodyTextChar">
    <w:name w:val="Body Text Char"/>
    <w:aliases w:val="Hanging Char,body text Char,bt Char,heading3 Char,NCDOT Body Text Char,1body Char,BodText Char,Body Txt Char,FL IND Char"/>
    <w:basedOn w:val="DefaultParagraphFont"/>
    <w:link w:val="BodyText"/>
    <w:uiPriority w:val="99"/>
    <w:locked/>
    <w:rsid w:val="00AD7214"/>
    <w:rPr>
      <w:rFonts w:cs="Times New Roman"/>
      <w:sz w:val="24"/>
      <w:szCs w:val="24"/>
    </w:rPr>
  </w:style>
  <w:style w:type="paragraph" w:styleId="BodyTextIndent">
    <w:name w:val="Body Text Indent"/>
    <w:basedOn w:val="Normal"/>
    <w:link w:val="BodyTextIndentChar"/>
    <w:rsid w:val="005027FD"/>
    <w:pPr>
      <w:tabs>
        <w:tab w:val="left" w:leader="dot" w:pos="7920"/>
        <w:tab w:val="right" w:pos="8640"/>
      </w:tabs>
      <w:ind w:left="720"/>
    </w:pPr>
    <w:rPr>
      <w:bCs/>
      <w:i/>
      <w:iCs/>
    </w:rPr>
  </w:style>
  <w:style w:type="character" w:customStyle="1" w:styleId="BodyTextIndentChar">
    <w:name w:val="Body Text Indent Char"/>
    <w:basedOn w:val="DefaultParagraphFont"/>
    <w:link w:val="BodyTextIndent"/>
    <w:semiHidden/>
    <w:locked/>
    <w:rsid w:val="00AD7214"/>
    <w:rPr>
      <w:rFonts w:cs="Times New Roman"/>
      <w:sz w:val="24"/>
      <w:szCs w:val="24"/>
    </w:rPr>
  </w:style>
  <w:style w:type="paragraph" w:styleId="List">
    <w:name w:val="List"/>
    <w:basedOn w:val="BodyText"/>
    <w:rsid w:val="005027FD"/>
    <w:pPr>
      <w:tabs>
        <w:tab w:val="left" w:pos="720"/>
      </w:tabs>
      <w:spacing w:after="80" w:line="240" w:lineRule="atLeast"/>
      <w:ind w:left="720" w:hanging="360"/>
    </w:pPr>
    <w:rPr>
      <w:rFonts w:ascii="Garamond" w:hAnsi="Garamond"/>
      <w:spacing w:val="-5"/>
    </w:rPr>
  </w:style>
  <w:style w:type="paragraph" w:styleId="BodyText2">
    <w:name w:val="Body Text 2"/>
    <w:basedOn w:val="Normal"/>
    <w:link w:val="BodyText2Char"/>
    <w:uiPriority w:val="99"/>
    <w:rsid w:val="005027FD"/>
    <w:rPr>
      <w:rFonts w:ascii="Arial" w:hAnsi="Arial" w:cs="Arial"/>
      <w:color w:val="FF00FF"/>
    </w:rPr>
  </w:style>
  <w:style w:type="character" w:customStyle="1" w:styleId="BodyText2Char">
    <w:name w:val="Body Text 2 Char"/>
    <w:basedOn w:val="DefaultParagraphFont"/>
    <w:link w:val="BodyText2"/>
    <w:uiPriority w:val="99"/>
    <w:locked/>
    <w:rsid w:val="00AD7214"/>
    <w:rPr>
      <w:rFonts w:cs="Times New Roman"/>
      <w:sz w:val="24"/>
      <w:szCs w:val="24"/>
    </w:rPr>
  </w:style>
  <w:style w:type="paragraph" w:styleId="List2">
    <w:name w:val="List 2"/>
    <w:basedOn w:val="Normal"/>
    <w:rsid w:val="005027FD"/>
    <w:pPr>
      <w:widowControl w:val="0"/>
      <w:ind w:left="720" w:hanging="360"/>
    </w:pPr>
    <w:rPr>
      <w:szCs w:val="20"/>
    </w:rPr>
  </w:style>
  <w:style w:type="paragraph" w:styleId="BodyTextIndent2">
    <w:name w:val="Body Text Indent 2"/>
    <w:basedOn w:val="Normal"/>
    <w:link w:val="BodyTextIndent2Char"/>
    <w:rsid w:val="005027FD"/>
    <w:pPr>
      <w:ind w:left="1260"/>
    </w:pPr>
    <w:rPr>
      <w:b/>
      <w:bCs/>
      <w:i/>
      <w:iCs/>
    </w:rPr>
  </w:style>
  <w:style w:type="character" w:customStyle="1" w:styleId="BodyTextIndent2Char">
    <w:name w:val="Body Text Indent 2 Char"/>
    <w:basedOn w:val="DefaultParagraphFont"/>
    <w:link w:val="BodyTextIndent2"/>
    <w:semiHidden/>
    <w:locked/>
    <w:rsid w:val="00AD7214"/>
    <w:rPr>
      <w:rFonts w:cs="Times New Roman"/>
      <w:sz w:val="24"/>
      <w:szCs w:val="24"/>
    </w:rPr>
  </w:style>
  <w:style w:type="paragraph" w:styleId="Header">
    <w:name w:val="header"/>
    <w:basedOn w:val="Normal"/>
    <w:link w:val="HeaderChar"/>
    <w:uiPriority w:val="99"/>
    <w:rsid w:val="005027FD"/>
    <w:pPr>
      <w:tabs>
        <w:tab w:val="center" w:pos="4320"/>
        <w:tab w:val="right" w:pos="8640"/>
      </w:tabs>
    </w:pPr>
  </w:style>
  <w:style w:type="character" w:customStyle="1" w:styleId="HeaderChar">
    <w:name w:val="Header Char"/>
    <w:basedOn w:val="DefaultParagraphFont"/>
    <w:link w:val="Header"/>
    <w:uiPriority w:val="99"/>
    <w:locked/>
    <w:rsid w:val="00AD7214"/>
    <w:rPr>
      <w:rFonts w:cs="Times New Roman"/>
      <w:sz w:val="24"/>
      <w:szCs w:val="24"/>
    </w:rPr>
  </w:style>
  <w:style w:type="character" w:styleId="FootnoteReference">
    <w:name w:val="footnote reference"/>
    <w:basedOn w:val="DefaultParagraphFont"/>
    <w:uiPriority w:val="99"/>
    <w:semiHidden/>
    <w:rsid w:val="005027FD"/>
    <w:rPr>
      <w:rFonts w:cs="Times New Roman"/>
      <w:vertAlign w:val="superscript"/>
    </w:rPr>
  </w:style>
  <w:style w:type="paragraph" w:styleId="FootnoteText">
    <w:name w:val="footnote text"/>
    <w:basedOn w:val="Normal"/>
    <w:link w:val="FootnoteTextChar"/>
    <w:uiPriority w:val="99"/>
    <w:semiHidden/>
    <w:rsid w:val="005027FD"/>
    <w:rPr>
      <w:rFonts w:ascii="CG Times (W1)" w:hAnsi="CG Times (W1)"/>
      <w:sz w:val="20"/>
      <w:szCs w:val="20"/>
    </w:rPr>
  </w:style>
  <w:style w:type="character" w:customStyle="1" w:styleId="FootnoteTextChar">
    <w:name w:val="Footnote Text Char"/>
    <w:basedOn w:val="DefaultParagraphFont"/>
    <w:link w:val="FootnoteText"/>
    <w:uiPriority w:val="99"/>
    <w:semiHidden/>
    <w:locked/>
    <w:rsid w:val="00AD7214"/>
    <w:rPr>
      <w:rFonts w:cs="Times New Roman"/>
      <w:sz w:val="20"/>
      <w:szCs w:val="20"/>
    </w:rPr>
  </w:style>
  <w:style w:type="paragraph" w:styleId="Footer">
    <w:name w:val="footer"/>
    <w:basedOn w:val="Normal"/>
    <w:link w:val="FooterChar"/>
    <w:uiPriority w:val="99"/>
    <w:rsid w:val="005027FD"/>
    <w:pPr>
      <w:tabs>
        <w:tab w:val="center" w:pos="4320"/>
        <w:tab w:val="right" w:pos="8640"/>
      </w:tabs>
    </w:pPr>
  </w:style>
  <w:style w:type="character" w:customStyle="1" w:styleId="FooterChar">
    <w:name w:val="Footer Char"/>
    <w:basedOn w:val="DefaultParagraphFont"/>
    <w:link w:val="Footer"/>
    <w:uiPriority w:val="99"/>
    <w:locked/>
    <w:rsid w:val="00AD7214"/>
    <w:rPr>
      <w:rFonts w:cs="Times New Roman"/>
      <w:sz w:val="24"/>
      <w:szCs w:val="24"/>
    </w:rPr>
  </w:style>
  <w:style w:type="character" w:styleId="PageNumber">
    <w:name w:val="page number"/>
    <w:basedOn w:val="DefaultParagraphFont"/>
    <w:rsid w:val="005027FD"/>
    <w:rPr>
      <w:rFonts w:cs="Times New Roman"/>
    </w:rPr>
  </w:style>
  <w:style w:type="character" w:customStyle="1" w:styleId="BalloonTextChar">
    <w:name w:val="Balloon Text Char"/>
    <w:basedOn w:val="DefaultParagraphFont"/>
    <w:link w:val="BalloonText"/>
    <w:semiHidden/>
    <w:locked/>
    <w:rsid w:val="00AD7214"/>
    <w:rPr>
      <w:rFonts w:cs="Times New Roman"/>
      <w:sz w:val="2"/>
    </w:rPr>
  </w:style>
  <w:style w:type="character" w:styleId="CommentReference">
    <w:name w:val="annotation reference"/>
    <w:basedOn w:val="DefaultParagraphFont"/>
    <w:uiPriority w:val="99"/>
    <w:rsid w:val="005027FD"/>
    <w:rPr>
      <w:rFonts w:cs="Times New Roman"/>
      <w:sz w:val="16"/>
      <w:szCs w:val="16"/>
    </w:rPr>
  </w:style>
  <w:style w:type="paragraph" w:styleId="CommentText">
    <w:name w:val="annotation text"/>
    <w:basedOn w:val="Normal"/>
    <w:link w:val="CommentTextChar"/>
    <w:rsid w:val="005027FD"/>
    <w:rPr>
      <w:sz w:val="20"/>
      <w:szCs w:val="20"/>
    </w:rPr>
  </w:style>
  <w:style w:type="character" w:customStyle="1" w:styleId="CommentTextChar">
    <w:name w:val="Comment Text Char"/>
    <w:basedOn w:val="DefaultParagraphFont"/>
    <w:link w:val="CommentText"/>
    <w:semiHidden/>
    <w:locked/>
    <w:rsid w:val="00AD7214"/>
    <w:rPr>
      <w:rFonts w:cs="Times New Roman"/>
      <w:sz w:val="20"/>
      <w:szCs w:val="20"/>
    </w:rPr>
  </w:style>
  <w:style w:type="paragraph" w:styleId="CommentSubject">
    <w:name w:val="annotation subject"/>
    <w:basedOn w:val="CommentText"/>
    <w:next w:val="CommentText"/>
    <w:link w:val="CommentSubjectChar"/>
    <w:semiHidden/>
    <w:rsid w:val="005027FD"/>
    <w:rPr>
      <w:b/>
      <w:bCs/>
    </w:rPr>
  </w:style>
  <w:style w:type="character" w:customStyle="1" w:styleId="CommentSubjectChar">
    <w:name w:val="Comment Subject Char"/>
    <w:basedOn w:val="CommentTextChar"/>
    <w:link w:val="CommentSubject"/>
    <w:semiHidden/>
    <w:locked/>
    <w:rsid w:val="00AD7214"/>
    <w:rPr>
      <w:rFonts w:cs="Times New Roman"/>
      <w:b/>
      <w:bCs/>
      <w:sz w:val="20"/>
      <w:szCs w:val="20"/>
    </w:rPr>
  </w:style>
  <w:style w:type="paragraph" w:customStyle="1" w:styleId="BodyTextKeep">
    <w:name w:val="Body Text Keep"/>
    <w:basedOn w:val="BodyText"/>
    <w:rsid w:val="005027FD"/>
    <w:pPr>
      <w:keepNext/>
      <w:spacing w:after="160"/>
    </w:pPr>
    <w:rPr>
      <w:sz w:val="20"/>
    </w:rPr>
  </w:style>
  <w:style w:type="character" w:customStyle="1" w:styleId="arial91">
    <w:name w:val="arial91"/>
    <w:basedOn w:val="DefaultParagraphFont"/>
    <w:rsid w:val="005027FD"/>
    <w:rPr>
      <w:rFonts w:ascii="Arial" w:hAnsi="Arial" w:cs="Arial"/>
      <w:sz w:val="18"/>
      <w:szCs w:val="18"/>
    </w:rPr>
  </w:style>
  <w:style w:type="character" w:customStyle="1" w:styleId="EmailStyle54">
    <w:name w:val="EmailStyle54"/>
    <w:basedOn w:val="DefaultParagraphFont"/>
    <w:rsid w:val="005027FD"/>
    <w:rPr>
      <w:rFonts w:ascii="Arial" w:hAnsi="Arial" w:cs="Arial"/>
      <w:color w:val="000000"/>
      <w:sz w:val="20"/>
      <w:szCs w:val="20"/>
    </w:rPr>
  </w:style>
  <w:style w:type="paragraph" w:customStyle="1" w:styleId="xl24">
    <w:name w:val="xl24"/>
    <w:basedOn w:val="Normal"/>
    <w:rsid w:val="005027FD"/>
    <w:pPr>
      <w:shd w:val="clear" w:color="auto" w:fill="FFFFFF"/>
      <w:spacing w:before="100" w:beforeAutospacing="1" w:after="100" w:afterAutospacing="1"/>
      <w:textAlignment w:val="center"/>
    </w:pPr>
    <w:rPr>
      <w:rFonts w:eastAsia="Arial Unicode MS"/>
    </w:rPr>
  </w:style>
  <w:style w:type="paragraph" w:customStyle="1" w:styleId="xl25">
    <w:name w:val="xl25"/>
    <w:basedOn w:val="Normal"/>
    <w:rsid w:val="005027FD"/>
    <w:pPr>
      <w:shd w:val="clear" w:color="auto" w:fill="FFFFFF"/>
      <w:spacing w:before="100" w:beforeAutospacing="1" w:after="100" w:afterAutospacing="1"/>
    </w:pPr>
    <w:rPr>
      <w:rFonts w:eastAsia="Arial Unicode MS"/>
    </w:rPr>
  </w:style>
  <w:style w:type="paragraph" w:customStyle="1" w:styleId="xl26">
    <w:name w:val="xl26"/>
    <w:basedOn w:val="Normal"/>
    <w:rsid w:val="005027FD"/>
    <w:pPr>
      <w:shd w:val="clear" w:color="auto" w:fill="FFFFFF"/>
      <w:spacing w:before="100" w:beforeAutospacing="1" w:after="100" w:afterAutospacing="1"/>
      <w:textAlignment w:val="center"/>
    </w:pPr>
    <w:rPr>
      <w:rFonts w:eastAsia="Arial Unicode MS"/>
    </w:rPr>
  </w:style>
  <w:style w:type="paragraph" w:customStyle="1" w:styleId="xl28">
    <w:name w:val="xl28"/>
    <w:basedOn w:val="Normal"/>
    <w:rsid w:val="005027FD"/>
    <w:pPr>
      <w:shd w:val="clear" w:color="auto" w:fill="FFFFFF"/>
      <w:spacing w:before="100" w:beforeAutospacing="1" w:after="100" w:afterAutospacing="1"/>
      <w:textAlignment w:val="center"/>
    </w:pPr>
    <w:rPr>
      <w:rFonts w:eastAsia="Arial Unicode MS"/>
    </w:rPr>
  </w:style>
  <w:style w:type="paragraph" w:customStyle="1" w:styleId="xl29">
    <w:name w:val="xl29"/>
    <w:basedOn w:val="Normal"/>
    <w:rsid w:val="005027FD"/>
    <w:pPr>
      <w:shd w:val="clear" w:color="auto" w:fill="FFFFFF"/>
      <w:spacing w:before="100" w:beforeAutospacing="1" w:after="100" w:afterAutospacing="1"/>
      <w:jc w:val="right"/>
      <w:textAlignment w:val="center"/>
    </w:pPr>
    <w:rPr>
      <w:rFonts w:eastAsia="Arial Unicode MS"/>
    </w:rPr>
  </w:style>
  <w:style w:type="paragraph" w:customStyle="1" w:styleId="xl30">
    <w:name w:val="xl30"/>
    <w:basedOn w:val="Normal"/>
    <w:rsid w:val="005027FD"/>
    <w:pPr>
      <w:shd w:val="clear" w:color="auto" w:fill="FFFFFF"/>
      <w:spacing w:before="100" w:beforeAutospacing="1" w:after="100" w:afterAutospacing="1"/>
    </w:pPr>
    <w:rPr>
      <w:rFonts w:eastAsia="Arial Unicode MS"/>
    </w:rPr>
  </w:style>
  <w:style w:type="paragraph" w:customStyle="1" w:styleId="xl31">
    <w:name w:val="xl31"/>
    <w:basedOn w:val="Normal"/>
    <w:rsid w:val="005027FD"/>
    <w:pPr>
      <w:shd w:val="clear" w:color="auto" w:fill="FFFFFF"/>
      <w:spacing w:before="100" w:beforeAutospacing="1" w:after="100" w:afterAutospacing="1"/>
      <w:jc w:val="center"/>
      <w:textAlignment w:val="center"/>
    </w:pPr>
    <w:rPr>
      <w:rFonts w:eastAsia="Arial Unicode MS"/>
    </w:rPr>
  </w:style>
  <w:style w:type="paragraph" w:customStyle="1" w:styleId="xl32">
    <w:name w:val="xl32"/>
    <w:basedOn w:val="Normal"/>
    <w:rsid w:val="005027FD"/>
    <w:pPr>
      <w:shd w:val="clear" w:color="auto" w:fill="FFFFFF"/>
      <w:spacing w:before="100" w:beforeAutospacing="1" w:after="100" w:afterAutospacing="1"/>
    </w:pPr>
    <w:rPr>
      <w:rFonts w:eastAsia="Arial Unicode MS"/>
    </w:rPr>
  </w:style>
  <w:style w:type="paragraph" w:customStyle="1" w:styleId="xl34">
    <w:name w:val="xl34"/>
    <w:basedOn w:val="Normal"/>
    <w:rsid w:val="005027FD"/>
    <w:pPr>
      <w:shd w:val="clear" w:color="auto" w:fill="FFFFFF"/>
      <w:spacing w:before="100" w:beforeAutospacing="1" w:after="100" w:afterAutospacing="1"/>
      <w:jc w:val="right"/>
    </w:pPr>
    <w:rPr>
      <w:rFonts w:eastAsia="Arial Unicode MS"/>
    </w:rPr>
  </w:style>
  <w:style w:type="paragraph" w:customStyle="1" w:styleId="xl35">
    <w:name w:val="xl35"/>
    <w:basedOn w:val="Normal"/>
    <w:rsid w:val="005027FD"/>
    <w:pPr>
      <w:shd w:val="clear" w:color="auto" w:fill="FFFFFF"/>
      <w:spacing w:before="100" w:beforeAutospacing="1" w:after="100" w:afterAutospacing="1"/>
    </w:pPr>
    <w:rPr>
      <w:rFonts w:eastAsia="Arial Unicode MS"/>
      <w:b/>
      <w:bCs/>
    </w:rPr>
  </w:style>
  <w:style w:type="paragraph" w:customStyle="1" w:styleId="xl36">
    <w:name w:val="xl36"/>
    <w:basedOn w:val="Normal"/>
    <w:rsid w:val="005027FD"/>
    <w:pPr>
      <w:shd w:val="clear" w:color="auto" w:fill="FFFFFF"/>
      <w:spacing w:before="100" w:beforeAutospacing="1" w:after="100" w:afterAutospacing="1"/>
      <w:textAlignment w:val="center"/>
    </w:pPr>
    <w:rPr>
      <w:rFonts w:eastAsia="Arial Unicode MS"/>
    </w:rPr>
  </w:style>
  <w:style w:type="paragraph" w:customStyle="1" w:styleId="font6">
    <w:name w:val="font6"/>
    <w:basedOn w:val="Normal"/>
    <w:rsid w:val="005027FD"/>
    <w:pPr>
      <w:spacing w:before="100" w:beforeAutospacing="1" w:after="100" w:afterAutospacing="1"/>
    </w:pPr>
    <w:rPr>
      <w:rFonts w:ascii="Arial" w:eastAsia="Arial Unicode MS" w:hAnsi="Arial" w:cs="Arial"/>
      <w:sz w:val="16"/>
      <w:szCs w:val="16"/>
    </w:rPr>
  </w:style>
  <w:style w:type="paragraph" w:styleId="BodyText3">
    <w:name w:val="Body Text 3"/>
    <w:basedOn w:val="Normal"/>
    <w:link w:val="BodyText3Char"/>
    <w:rsid w:val="005027FD"/>
    <w:rPr>
      <w:color w:val="000000"/>
      <w:szCs w:val="20"/>
    </w:rPr>
  </w:style>
  <w:style w:type="character" w:customStyle="1" w:styleId="BodyText3Char">
    <w:name w:val="Body Text 3 Char"/>
    <w:basedOn w:val="DefaultParagraphFont"/>
    <w:link w:val="BodyText3"/>
    <w:semiHidden/>
    <w:locked/>
    <w:rsid w:val="00AD7214"/>
    <w:rPr>
      <w:rFonts w:cs="Times New Roman"/>
      <w:sz w:val="16"/>
      <w:szCs w:val="16"/>
    </w:rPr>
  </w:style>
  <w:style w:type="paragraph" w:styleId="PlainText">
    <w:name w:val="Plain Text"/>
    <w:basedOn w:val="Normal"/>
    <w:link w:val="PlainTextChar"/>
    <w:uiPriority w:val="99"/>
    <w:rsid w:val="005027FD"/>
    <w:rPr>
      <w:rFonts w:ascii="Courier New" w:hAnsi="Courier New"/>
      <w:sz w:val="20"/>
      <w:szCs w:val="20"/>
    </w:rPr>
  </w:style>
  <w:style w:type="character" w:customStyle="1" w:styleId="PlainTextChar">
    <w:name w:val="Plain Text Char"/>
    <w:basedOn w:val="DefaultParagraphFont"/>
    <w:link w:val="PlainText"/>
    <w:uiPriority w:val="99"/>
    <w:locked/>
    <w:rsid w:val="00AD7214"/>
    <w:rPr>
      <w:rFonts w:ascii="Courier New" w:hAnsi="Courier New" w:cs="Courier New"/>
      <w:sz w:val="20"/>
      <w:szCs w:val="20"/>
    </w:rPr>
  </w:style>
  <w:style w:type="paragraph" w:styleId="BodyTextIndent3">
    <w:name w:val="Body Text Indent 3"/>
    <w:basedOn w:val="Normal"/>
    <w:link w:val="BodyTextIndent3Char"/>
    <w:rsid w:val="005027FD"/>
    <w:pPr>
      <w:ind w:left="4320"/>
    </w:pPr>
    <w:rPr>
      <w:rFonts w:ascii="Arial" w:hAnsi="Arial" w:cs="Arial"/>
    </w:rPr>
  </w:style>
  <w:style w:type="character" w:customStyle="1" w:styleId="BodyTextIndent3Char">
    <w:name w:val="Body Text Indent 3 Char"/>
    <w:basedOn w:val="DefaultParagraphFont"/>
    <w:link w:val="BodyTextIndent3"/>
    <w:semiHidden/>
    <w:locked/>
    <w:rsid w:val="00AD7214"/>
    <w:rPr>
      <w:rFonts w:cs="Times New Roman"/>
      <w:sz w:val="16"/>
      <w:szCs w:val="16"/>
    </w:rPr>
  </w:style>
  <w:style w:type="paragraph" w:styleId="NormalWeb">
    <w:name w:val="Normal (Web)"/>
    <w:basedOn w:val="Normal"/>
    <w:link w:val="NormalWebChar"/>
    <w:uiPriority w:val="99"/>
    <w:rsid w:val="005027FD"/>
    <w:pPr>
      <w:spacing w:before="100" w:after="100"/>
    </w:pPr>
    <w:rPr>
      <w:rFonts w:ascii="Arial Unicode MS" w:eastAsia="Arial Unicode MS" w:hAnsi="Arial Unicode MS"/>
      <w:szCs w:val="20"/>
    </w:rPr>
  </w:style>
  <w:style w:type="character" w:customStyle="1" w:styleId="NormalWebChar">
    <w:name w:val="Normal (Web) Char"/>
    <w:basedOn w:val="DefaultParagraphFont"/>
    <w:link w:val="NormalWeb"/>
    <w:uiPriority w:val="99"/>
    <w:locked/>
    <w:rsid w:val="005027FD"/>
    <w:rPr>
      <w:rFonts w:ascii="Arial Unicode MS" w:eastAsia="Arial Unicode MS" w:hAnsi="Arial Unicode MS" w:cs="Times New Roman"/>
      <w:sz w:val="24"/>
      <w:lang w:val="en-US" w:eastAsia="en-US" w:bidi="ar-SA"/>
    </w:rPr>
  </w:style>
  <w:style w:type="paragraph" w:customStyle="1" w:styleId="font5">
    <w:name w:val="font5"/>
    <w:basedOn w:val="Normal"/>
    <w:rsid w:val="005027FD"/>
    <w:pPr>
      <w:spacing w:before="100" w:beforeAutospacing="1" w:after="100" w:afterAutospacing="1"/>
    </w:pPr>
    <w:rPr>
      <w:rFonts w:ascii="Arial" w:eastAsia="Arial Unicode MS" w:hAnsi="Arial" w:cs="Arial"/>
      <w:b/>
      <w:bCs/>
      <w:sz w:val="20"/>
      <w:szCs w:val="20"/>
    </w:rPr>
  </w:style>
  <w:style w:type="paragraph" w:customStyle="1" w:styleId="font7">
    <w:name w:val="font7"/>
    <w:basedOn w:val="Normal"/>
    <w:rsid w:val="005027FD"/>
    <w:pPr>
      <w:spacing w:before="100" w:beforeAutospacing="1" w:after="100" w:afterAutospacing="1"/>
    </w:pPr>
    <w:rPr>
      <w:rFonts w:ascii="Arial" w:eastAsia="Arial Unicode MS" w:hAnsi="Arial" w:cs="Arial"/>
      <w:sz w:val="16"/>
      <w:szCs w:val="16"/>
    </w:rPr>
  </w:style>
  <w:style w:type="paragraph" w:customStyle="1" w:styleId="xl37">
    <w:name w:val="xl37"/>
    <w:basedOn w:val="Normal"/>
    <w:rsid w:val="005027F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8">
    <w:name w:val="xl38"/>
    <w:basedOn w:val="Normal"/>
    <w:rsid w:val="005027FD"/>
    <w:pPr>
      <w:pBdr>
        <w:top w:val="single" w:sz="8" w:space="0" w:color="auto"/>
        <w:left w:val="single" w:sz="4" w:space="0" w:color="auto"/>
        <w:right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39">
    <w:name w:val="xl39"/>
    <w:basedOn w:val="Normal"/>
    <w:rsid w:val="005027FD"/>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w:eastAsia="Arial Unicode MS" w:hAnsi="Arial" w:cs="Arial"/>
      <w:b/>
      <w:bCs/>
    </w:rPr>
  </w:style>
  <w:style w:type="paragraph" w:customStyle="1" w:styleId="xl40">
    <w:name w:val="xl40"/>
    <w:basedOn w:val="Normal"/>
    <w:rsid w:val="005027F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1">
    <w:name w:val="xl41"/>
    <w:basedOn w:val="Normal"/>
    <w:rsid w:val="005027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2">
    <w:name w:val="xl42"/>
    <w:basedOn w:val="Normal"/>
    <w:rsid w:val="005027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3">
    <w:name w:val="xl43"/>
    <w:basedOn w:val="Normal"/>
    <w:rsid w:val="005027FD"/>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44">
    <w:name w:val="xl44"/>
    <w:basedOn w:val="Normal"/>
    <w:rsid w:val="005027FD"/>
    <w:pPr>
      <w:pBdr>
        <w:top w:val="single" w:sz="4" w:space="0" w:color="auto"/>
        <w:left w:val="single" w:sz="8" w:space="0" w:color="auto"/>
        <w:bottom w:val="double" w:sz="6" w:space="0" w:color="auto"/>
        <w:right w:val="single" w:sz="8" w:space="0" w:color="auto"/>
      </w:pBdr>
      <w:shd w:val="clear" w:color="auto" w:fill="FFFFFF"/>
      <w:spacing w:before="100" w:beforeAutospacing="1" w:after="100" w:afterAutospacing="1"/>
    </w:pPr>
    <w:rPr>
      <w:rFonts w:ascii="Arial" w:eastAsia="Arial Unicode MS" w:hAnsi="Arial" w:cs="Arial"/>
      <w:b/>
      <w:bCs/>
    </w:rPr>
  </w:style>
  <w:style w:type="paragraph" w:customStyle="1" w:styleId="xl45">
    <w:name w:val="xl45"/>
    <w:basedOn w:val="Normal"/>
    <w:rsid w:val="005027FD"/>
    <w:pPr>
      <w:pBdr>
        <w:top w:val="single" w:sz="4" w:space="0" w:color="auto"/>
        <w:left w:val="single" w:sz="8" w:space="0" w:color="auto"/>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6">
    <w:name w:val="xl46"/>
    <w:basedOn w:val="Normal"/>
    <w:rsid w:val="005027FD"/>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7">
    <w:name w:val="xl47"/>
    <w:basedOn w:val="Normal"/>
    <w:rsid w:val="005027FD"/>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8">
    <w:name w:val="xl48"/>
    <w:basedOn w:val="Normal"/>
    <w:rsid w:val="005027FD"/>
    <w:pPr>
      <w:pBdr>
        <w:top w:val="single" w:sz="4" w:space="0" w:color="auto"/>
        <w:left w:val="single" w:sz="4" w:space="0" w:color="auto"/>
        <w:bottom w:val="double" w:sz="6" w:space="0" w:color="auto"/>
        <w:right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49">
    <w:name w:val="xl49"/>
    <w:basedOn w:val="Normal"/>
    <w:rsid w:val="005027FD"/>
    <w:pPr>
      <w:pBdr>
        <w:left w:val="single" w:sz="8" w:space="0" w:color="auto"/>
        <w:bottom w:val="single" w:sz="8" w:space="0" w:color="auto"/>
        <w:right w:val="single" w:sz="8" w:space="0" w:color="auto"/>
      </w:pBdr>
      <w:shd w:val="clear" w:color="auto" w:fill="FFFFFF"/>
      <w:spacing w:before="100" w:beforeAutospacing="1" w:after="100" w:afterAutospacing="1"/>
    </w:pPr>
    <w:rPr>
      <w:rFonts w:ascii="Arial" w:eastAsia="Arial Unicode MS" w:hAnsi="Arial" w:cs="Arial"/>
      <w:b/>
      <w:bCs/>
    </w:rPr>
  </w:style>
  <w:style w:type="paragraph" w:customStyle="1" w:styleId="xl51">
    <w:name w:val="xl51"/>
    <w:basedOn w:val="Normal"/>
    <w:rsid w:val="005027FD"/>
    <w:pPr>
      <w:spacing w:before="100" w:beforeAutospacing="1" w:after="100" w:afterAutospacing="1"/>
    </w:pPr>
    <w:rPr>
      <w:rFonts w:ascii="Arial" w:eastAsia="Arial Unicode MS" w:hAnsi="Arial" w:cs="Arial"/>
    </w:rPr>
  </w:style>
  <w:style w:type="paragraph" w:customStyle="1" w:styleId="xl52">
    <w:name w:val="xl52"/>
    <w:basedOn w:val="Normal"/>
    <w:rsid w:val="005027FD"/>
    <w:pPr>
      <w:pBdr>
        <w:left w:val="single" w:sz="8"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3">
    <w:name w:val="xl53"/>
    <w:basedOn w:val="Normal"/>
    <w:rsid w:val="005027FD"/>
    <w:pPr>
      <w:pBdr>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4">
    <w:name w:val="xl54"/>
    <w:basedOn w:val="Normal"/>
    <w:rsid w:val="005027FD"/>
    <w:pPr>
      <w:pBdr>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5">
    <w:name w:val="xl55"/>
    <w:basedOn w:val="Normal"/>
    <w:rsid w:val="005027F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56">
    <w:name w:val="xl56"/>
    <w:basedOn w:val="Normal"/>
    <w:rsid w:val="005027FD"/>
    <w:pPr>
      <w:pBdr>
        <w:top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57">
    <w:name w:val="xl57"/>
    <w:basedOn w:val="Normal"/>
    <w:rsid w:val="005027FD"/>
    <w:pPr>
      <w:pBdr>
        <w:top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58">
    <w:name w:val="xl58"/>
    <w:basedOn w:val="Normal"/>
    <w:rsid w:val="005027F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59">
    <w:name w:val="xl59"/>
    <w:basedOn w:val="Normal"/>
    <w:rsid w:val="005027FD"/>
    <w:pPr>
      <w:pBdr>
        <w:left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60">
    <w:name w:val="xl60"/>
    <w:basedOn w:val="Normal"/>
    <w:rsid w:val="005027FD"/>
    <w:pPr>
      <w:shd w:val="clear" w:color="auto" w:fill="FFFFFF"/>
      <w:spacing w:before="100" w:beforeAutospacing="1" w:after="100" w:afterAutospacing="1"/>
    </w:pPr>
    <w:rPr>
      <w:rFonts w:ascii="Arial" w:eastAsia="Arial Unicode MS" w:hAnsi="Arial" w:cs="Arial"/>
      <w:b/>
      <w:bCs/>
      <w:sz w:val="28"/>
      <w:szCs w:val="28"/>
    </w:rPr>
  </w:style>
  <w:style w:type="paragraph" w:customStyle="1" w:styleId="xl61">
    <w:name w:val="xl61"/>
    <w:basedOn w:val="Normal"/>
    <w:rsid w:val="005027FD"/>
    <w:pPr>
      <w:shd w:val="clear" w:color="auto" w:fill="FFFFFF"/>
      <w:spacing w:before="100" w:beforeAutospacing="1" w:after="100" w:afterAutospacing="1"/>
    </w:pPr>
    <w:rPr>
      <w:rFonts w:ascii="Arial" w:eastAsia="Arial Unicode MS" w:hAnsi="Arial" w:cs="Arial"/>
      <w:sz w:val="28"/>
      <w:szCs w:val="28"/>
    </w:rPr>
  </w:style>
  <w:style w:type="paragraph" w:customStyle="1" w:styleId="xl62">
    <w:name w:val="xl62"/>
    <w:basedOn w:val="Normal"/>
    <w:rsid w:val="005027FD"/>
    <w:pPr>
      <w:pBdr>
        <w:right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63">
    <w:name w:val="xl63"/>
    <w:basedOn w:val="Normal"/>
    <w:rsid w:val="005027FD"/>
    <w:pPr>
      <w:pBdr>
        <w:lef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4">
    <w:name w:val="xl64"/>
    <w:basedOn w:val="Normal"/>
    <w:rsid w:val="005027FD"/>
    <w:pPr>
      <w:pBdr>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5">
    <w:name w:val="xl65"/>
    <w:basedOn w:val="Normal"/>
    <w:rsid w:val="005027FD"/>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66">
    <w:name w:val="xl66"/>
    <w:basedOn w:val="Normal"/>
    <w:rsid w:val="005027FD"/>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67">
    <w:name w:val="xl67"/>
    <w:basedOn w:val="Normal"/>
    <w:rsid w:val="005027FD"/>
    <w:pPr>
      <w:pBdr>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68">
    <w:name w:val="xl68"/>
    <w:basedOn w:val="Normal"/>
    <w:rsid w:val="005027FD"/>
    <w:pPr>
      <w:pBdr>
        <w:left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69">
    <w:name w:val="xl69"/>
    <w:basedOn w:val="Normal"/>
    <w:rsid w:val="005027FD"/>
    <w:pPr>
      <w:shd w:val="clear" w:color="auto" w:fill="FFFFFF"/>
      <w:spacing w:before="100" w:beforeAutospacing="1" w:after="100" w:afterAutospacing="1"/>
    </w:pPr>
    <w:rPr>
      <w:rFonts w:ascii="Arial" w:eastAsia="Arial Unicode MS" w:hAnsi="Arial" w:cs="Arial"/>
      <w:b/>
      <w:bCs/>
      <w:sz w:val="16"/>
      <w:szCs w:val="16"/>
    </w:rPr>
  </w:style>
  <w:style w:type="paragraph" w:customStyle="1" w:styleId="xl70">
    <w:name w:val="xl70"/>
    <w:basedOn w:val="Normal"/>
    <w:rsid w:val="005027FD"/>
    <w:pPr>
      <w:shd w:val="clear" w:color="auto" w:fill="FFFFFF"/>
      <w:spacing w:before="100" w:beforeAutospacing="1" w:after="100" w:afterAutospacing="1"/>
    </w:pPr>
    <w:rPr>
      <w:rFonts w:ascii="Arial" w:eastAsia="Arial Unicode MS" w:hAnsi="Arial" w:cs="Arial"/>
      <w:sz w:val="16"/>
      <w:szCs w:val="16"/>
    </w:rPr>
  </w:style>
  <w:style w:type="paragraph" w:customStyle="1" w:styleId="xl71">
    <w:name w:val="xl71"/>
    <w:basedOn w:val="Normal"/>
    <w:rsid w:val="005027FD"/>
    <w:pPr>
      <w:pBdr>
        <w:right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2">
    <w:name w:val="xl72"/>
    <w:basedOn w:val="Normal"/>
    <w:rsid w:val="005027F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73">
    <w:name w:val="xl73"/>
    <w:basedOn w:val="Normal"/>
    <w:rsid w:val="005027FD"/>
    <w:pPr>
      <w:pBdr>
        <w:bottom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74">
    <w:name w:val="xl74"/>
    <w:basedOn w:val="Normal"/>
    <w:rsid w:val="005027FD"/>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75">
    <w:name w:val="xl75"/>
    <w:basedOn w:val="Normal"/>
    <w:rsid w:val="005027F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6">
    <w:name w:val="xl76"/>
    <w:basedOn w:val="Normal"/>
    <w:rsid w:val="005027F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7">
    <w:name w:val="xl77"/>
    <w:basedOn w:val="Normal"/>
    <w:rsid w:val="005027FD"/>
    <w:pPr>
      <w:pBdr>
        <w:top w:val="single" w:sz="4" w:space="0" w:color="auto"/>
      </w:pBdr>
      <w:shd w:val="clear" w:color="auto" w:fill="FFFFFF"/>
      <w:spacing w:before="100" w:beforeAutospacing="1" w:after="100" w:afterAutospacing="1"/>
      <w:textAlignment w:val="top"/>
    </w:pPr>
    <w:rPr>
      <w:rFonts w:ascii="Arial" w:eastAsia="Arial Unicode MS" w:hAnsi="Arial" w:cs="Arial"/>
      <w:b/>
      <w:bCs/>
      <w:sz w:val="16"/>
      <w:szCs w:val="16"/>
    </w:rPr>
  </w:style>
  <w:style w:type="paragraph" w:customStyle="1" w:styleId="xl78">
    <w:name w:val="xl78"/>
    <w:basedOn w:val="Normal"/>
    <w:rsid w:val="005027FD"/>
    <w:pPr>
      <w:pBdr>
        <w:top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79">
    <w:name w:val="xl79"/>
    <w:basedOn w:val="Normal"/>
    <w:rsid w:val="005027FD"/>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0">
    <w:name w:val="xl80"/>
    <w:basedOn w:val="Normal"/>
    <w:rsid w:val="005027FD"/>
    <w:pPr>
      <w:shd w:val="clear" w:color="auto" w:fill="FFFFFF"/>
      <w:spacing w:before="100" w:beforeAutospacing="1" w:after="100" w:afterAutospacing="1"/>
      <w:textAlignment w:val="top"/>
    </w:pPr>
    <w:rPr>
      <w:rFonts w:ascii="Arial" w:eastAsia="Arial Unicode MS" w:hAnsi="Arial" w:cs="Arial"/>
      <w:b/>
      <w:bCs/>
      <w:sz w:val="16"/>
      <w:szCs w:val="16"/>
    </w:rPr>
  </w:style>
  <w:style w:type="paragraph" w:customStyle="1" w:styleId="xl81">
    <w:name w:val="xl81"/>
    <w:basedOn w:val="Normal"/>
    <w:rsid w:val="005027FD"/>
    <w:pPr>
      <w:spacing w:before="100" w:beforeAutospacing="1" w:after="100" w:afterAutospacing="1"/>
      <w:textAlignment w:val="top"/>
    </w:pPr>
    <w:rPr>
      <w:rFonts w:ascii="Arial Unicode MS" w:eastAsia="Arial Unicode MS" w:hAnsi="Arial Unicode MS" w:cs="Arial Unicode MS"/>
    </w:rPr>
  </w:style>
  <w:style w:type="paragraph" w:customStyle="1" w:styleId="xl82">
    <w:name w:val="xl82"/>
    <w:basedOn w:val="Normal"/>
    <w:rsid w:val="005027FD"/>
    <w:pPr>
      <w:pBdr>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3">
    <w:name w:val="xl83"/>
    <w:basedOn w:val="Normal"/>
    <w:rsid w:val="005027FD"/>
    <w:pPr>
      <w:pBdr>
        <w:bottom w:val="single" w:sz="4" w:space="0" w:color="auto"/>
      </w:pBdr>
      <w:shd w:val="clear" w:color="auto" w:fill="FFFFFF"/>
      <w:spacing w:before="100" w:beforeAutospacing="1" w:after="100" w:afterAutospacing="1"/>
      <w:textAlignment w:val="top"/>
    </w:pPr>
    <w:rPr>
      <w:rFonts w:ascii="Arial" w:eastAsia="Arial Unicode MS" w:hAnsi="Arial" w:cs="Arial"/>
      <w:b/>
      <w:bCs/>
      <w:sz w:val="16"/>
      <w:szCs w:val="16"/>
    </w:rPr>
  </w:style>
  <w:style w:type="paragraph" w:customStyle="1" w:styleId="xl84">
    <w:name w:val="xl84"/>
    <w:basedOn w:val="Normal"/>
    <w:rsid w:val="005027FD"/>
    <w:pPr>
      <w:pBdr>
        <w:bottom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5">
    <w:name w:val="xl85"/>
    <w:basedOn w:val="Normal"/>
    <w:rsid w:val="005027FD"/>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6">
    <w:name w:val="xl86"/>
    <w:basedOn w:val="Normal"/>
    <w:rsid w:val="005027FD"/>
    <w:pPr>
      <w:pBdr>
        <w:top w:val="single" w:sz="8"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5027FD"/>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88">
    <w:name w:val="xl88"/>
    <w:basedOn w:val="Normal"/>
    <w:rsid w:val="005027FD"/>
    <w:pPr>
      <w:pBdr>
        <w:top w:val="single" w:sz="8" w:space="0" w:color="auto"/>
        <w:left w:val="single" w:sz="8"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89">
    <w:name w:val="xl89"/>
    <w:basedOn w:val="Normal"/>
    <w:rsid w:val="005027FD"/>
    <w:pPr>
      <w:pBdr>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5027FD"/>
    <w:pPr>
      <w:pBdr>
        <w:top w:val="single" w:sz="8" w:space="0" w:color="auto"/>
        <w:left w:val="single" w:sz="4" w:space="0" w:color="auto"/>
        <w:right w:val="single" w:sz="8"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91">
    <w:name w:val="xl91"/>
    <w:basedOn w:val="Normal"/>
    <w:rsid w:val="005027FD"/>
    <w:pPr>
      <w:pBdr>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92">
    <w:name w:val="xl92"/>
    <w:basedOn w:val="Normal"/>
    <w:rsid w:val="005027FD"/>
    <w:pPr>
      <w:shd w:val="clear" w:color="auto" w:fill="FFFFFF"/>
      <w:spacing w:before="100" w:beforeAutospacing="1" w:after="100" w:afterAutospacing="1"/>
      <w:jc w:val="center"/>
    </w:pPr>
    <w:rPr>
      <w:rFonts w:ascii="Arial" w:eastAsia="Arial Unicode MS" w:hAnsi="Arial" w:cs="Arial"/>
      <w:b/>
      <w:bCs/>
    </w:rPr>
  </w:style>
  <w:style w:type="paragraph" w:customStyle="1" w:styleId="xl93">
    <w:name w:val="xl93"/>
    <w:basedOn w:val="Normal"/>
    <w:rsid w:val="005027FD"/>
    <w:pPr>
      <w:spacing w:before="100" w:beforeAutospacing="1" w:after="100" w:afterAutospacing="1"/>
      <w:jc w:val="center"/>
    </w:pPr>
    <w:rPr>
      <w:rFonts w:ascii="Arial Unicode MS" w:eastAsia="Arial Unicode MS" w:hAnsi="Arial Unicode MS" w:cs="Arial Unicode MS"/>
    </w:rPr>
  </w:style>
  <w:style w:type="paragraph" w:customStyle="1" w:styleId="xl94">
    <w:name w:val="xl94"/>
    <w:basedOn w:val="Normal"/>
    <w:rsid w:val="005027FD"/>
    <w:pPr>
      <w:pBdr>
        <w:top w:val="single" w:sz="8" w:space="0" w:color="auto"/>
        <w:left w:val="single" w:sz="8" w:space="0" w:color="auto"/>
        <w:right w:val="single" w:sz="8" w:space="0" w:color="auto"/>
      </w:pBdr>
      <w:shd w:val="clear" w:color="auto" w:fill="CCFFFF"/>
      <w:spacing w:before="100" w:beforeAutospacing="1" w:after="100" w:afterAutospacing="1"/>
      <w:textAlignment w:val="center"/>
    </w:pPr>
    <w:rPr>
      <w:rFonts w:ascii="Arial" w:eastAsia="Arial Unicode MS" w:hAnsi="Arial" w:cs="Arial"/>
      <w:b/>
      <w:bCs/>
      <w:sz w:val="28"/>
      <w:szCs w:val="28"/>
    </w:rPr>
  </w:style>
  <w:style w:type="paragraph" w:customStyle="1" w:styleId="xl95">
    <w:name w:val="xl95"/>
    <w:basedOn w:val="Normal"/>
    <w:rsid w:val="005027FD"/>
    <w:pPr>
      <w:pBdr>
        <w:left w:val="single" w:sz="8" w:space="0" w:color="auto"/>
        <w:bottom w:val="single" w:sz="8" w:space="0" w:color="auto"/>
        <w:right w:val="single" w:sz="8" w:space="0" w:color="auto"/>
      </w:pBdr>
      <w:shd w:val="clear" w:color="auto" w:fill="CCFFFF"/>
      <w:spacing w:before="100" w:beforeAutospacing="1" w:after="100" w:afterAutospacing="1"/>
      <w:textAlignment w:val="center"/>
    </w:pPr>
    <w:rPr>
      <w:rFonts w:ascii="Arial" w:eastAsia="Arial Unicode MS" w:hAnsi="Arial" w:cs="Arial"/>
      <w:b/>
      <w:bCs/>
      <w:sz w:val="28"/>
      <w:szCs w:val="28"/>
    </w:rPr>
  </w:style>
  <w:style w:type="paragraph" w:customStyle="1" w:styleId="Body">
    <w:name w:val="Body"/>
    <w:rsid w:val="005027FD"/>
    <w:pPr>
      <w:keepLines/>
      <w:overflowPunct w:val="0"/>
      <w:autoSpaceDE w:val="0"/>
      <w:autoSpaceDN w:val="0"/>
      <w:adjustRightInd w:val="0"/>
      <w:spacing w:line="280" w:lineRule="exact"/>
      <w:ind w:firstLine="360"/>
      <w:textAlignment w:val="baseline"/>
    </w:pPr>
    <w:rPr>
      <w:noProof/>
    </w:rPr>
  </w:style>
  <w:style w:type="table" w:styleId="TableGrid">
    <w:name w:val="Table Grid"/>
    <w:basedOn w:val="TableNormal"/>
    <w:rsid w:val="00502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5027FD"/>
    <w:pPr>
      <w:jc w:val="center"/>
    </w:pPr>
    <w:rPr>
      <w:rFonts w:ascii="CG Times (W1)" w:hAnsi="CG Times (W1)"/>
      <w:sz w:val="52"/>
    </w:rPr>
  </w:style>
  <w:style w:type="character" w:customStyle="1" w:styleId="TitleChar">
    <w:name w:val="Title Char"/>
    <w:basedOn w:val="DefaultParagraphFont"/>
    <w:link w:val="Title"/>
    <w:locked/>
    <w:rsid w:val="00AD7214"/>
    <w:rPr>
      <w:rFonts w:ascii="Cambria" w:hAnsi="Cambria" w:cs="Times New Roman"/>
      <w:b/>
      <w:bCs/>
      <w:kern w:val="28"/>
      <w:sz w:val="32"/>
      <w:szCs w:val="32"/>
    </w:rPr>
  </w:style>
  <w:style w:type="paragraph" w:styleId="Subtitle">
    <w:name w:val="Subtitle"/>
    <w:basedOn w:val="Normal"/>
    <w:link w:val="SubtitleChar"/>
    <w:qFormat/>
    <w:rsid w:val="005027FD"/>
    <w:pPr>
      <w:jc w:val="center"/>
    </w:pPr>
    <w:rPr>
      <w:rFonts w:ascii="CG Times (W1)" w:hAnsi="CG Times (W1)"/>
      <w:sz w:val="40"/>
    </w:rPr>
  </w:style>
  <w:style w:type="character" w:customStyle="1" w:styleId="SubtitleChar">
    <w:name w:val="Subtitle Char"/>
    <w:basedOn w:val="DefaultParagraphFont"/>
    <w:link w:val="Subtitle"/>
    <w:locked/>
    <w:rsid w:val="00AD7214"/>
    <w:rPr>
      <w:rFonts w:ascii="Cambria" w:hAnsi="Cambria" w:cs="Times New Roman"/>
      <w:sz w:val="24"/>
      <w:szCs w:val="24"/>
    </w:rPr>
  </w:style>
  <w:style w:type="paragraph" w:customStyle="1" w:styleId="ChapTitleChapNumber">
    <w:name w:val="ChapTitle_ChapNumber"/>
    <w:rsid w:val="005027FD"/>
    <w:pPr>
      <w:tabs>
        <w:tab w:val="center" w:pos="6299"/>
      </w:tabs>
      <w:overflowPunct w:val="0"/>
      <w:autoSpaceDE w:val="0"/>
      <w:autoSpaceDN w:val="0"/>
      <w:adjustRightInd w:val="0"/>
      <w:spacing w:line="780" w:lineRule="exact"/>
      <w:textAlignment w:val="baseline"/>
    </w:pPr>
    <w:rPr>
      <w:b/>
      <w:noProof/>
      <w:sz w:val="56"/>
    </w:rPr>
  </w:style>
  <w:style w:type="paragraph" w:customStyle="1" w:styleId="HeadB">
    <w:name w:val="HeadB"/>
    <w:rsid w:val="005027FD"/>
    <w:pPr>
      <w:keepNext/>
      <w:keepLines/>
      <w:overflowPunct w:val="0"/>
      <w:autoSpaceDE w:val="0"/>
      <w:autoSpaceDN w:val="0"/>
      <w:adjustRightInd w:val="0"/>
      <w:spacing w:before="280" w:after="120" w:line="340" w:lineRule="exact"/>
      <w:textAlignment w:val="baseline"/>
    </w:pPr>
    <w:rPr>
      <w:b/>
      <w:noProof/>
      <w:sz w:val="32"/>
    </w:rPr>
  </w:style>
  <w:style w:type="paragraph" w:customStyle="1" w:styleId="HeadC">
    <w:name w:val="HeadC"/>
    <w:rsid w:val="005027FD"/>
    <w:pPr>
      <w:keepLines/>
      <w:overflowPunct w:val="0"/>
      <w:autoSpaceDE w:val="0"/>
      <w:autoSpaceDN w:val="0"/>
      <w:adjustRightInd w:val="0"/>
      <w:spacing w:before="143" w:line="280" w:lineRule="exact"/>
      <w:textAlignment w:val="baseline"/>
    </w:pPr>
    <w:rPr>
      <w:b/>
      <w:i/>
      <w:noProof/>
      <w:sz w:val="26"/>
    </w:rPr>
  </w:style>
  <w:style w:type="character" w:styleId="Strong">
    <w:name w:val="Strong"/>
    <w:basedOn w:val="DefaultParagraphFont"/>
    <w:qFormat/>
    <w:rsid w:val="005027FD"/>
    <w:rPr>
      <w:rFonts w:cs="Times New Roman"/>
      <w:b/>
      <w:bCs/>
    </w:rPr>
  </w:style>
  <w:style w:type="character" w:styleId="Hyperlink">
    <w:name w:val="Hyperlink"/>
    <w:basedOn w:val="DefaultParagraphFont"/>
    <w:uiPriority w:val="99"/>
    <w:rsid w:val="005027FD"/>
    <w:rPr>
      <w:rFonts w:cs="Times New Roman"/>
      <w:color w:val="0000FF"/>
      <w:u w:val="single"/>
    </w:rPr>
  </w:style>
  <w:style w:type="paragraph" w:customStyle="1" w:styleId="Pa0">
    <w:name w:val="Pa0"/>
    <w:basedOn w:val="Normal"/>
    <w:next w:val="Normal"/>
    <w:rsid w:val="005027FD"/>
    <w:pPr>
      <w:autoSpaceDE w:val="0"/>
      <w:autoSpaceDN w:val="0"/>
      <w:adjustRightInd w:val="0"/>
      <w:spacing w:line="240" w:lineRule="atLeast"/>
    </w:pPr>
    <w:rPr>
      <w:rFonts w:ascii="Times" w:hAnsi="Times"/>
    </w:rPr>
  </w:style>
  <w:style w:type="paragraph" w:customStyle="1" w:styleId="style">
    <w:name w:val="style"/>
    <w:basedOn w:val="Normal"/>
    <w:rsid w:val="005027FD"/>
    <w:pPr>
      <w:autoSpaceDE w:val="0"/>
      <w:autoSpaceDN w:val="0"/>
    </w:pPr>
  </w:style>
  <w:style w:type="paragraph" w:customStyle="1" w:styleId="Default">
    <w:name w:val="Default"/>
    <w:rsid w:val="005027FD"/>
    <w:pPr>
      <w:autoSpaceDE w:val="0"/>
      <w:autoSpaceDN w:val="0"/>
      <w:adjustRightInd w:val="0"/>
    </w:pPr>
    <w:rPr>
      <w:rFonts w:ascii="Helvetica" w:hAnsi="Helvetica" w:cs="Helvetica"/>
      <w:color w:val="000000"/>
      <w:sz w:val="24"/>
      <w:szCs w:val="24"/>
    </w:rPr>
  </w:style>
  <w:style w:type="character" w:customStyle="1" w:styleId="A0">
    <w:name w:val="A0"/>
    <w:rsid w:val="005027FD"/>
    <w:rPr>
      <w:b/>
      <w:color w:val="000000"/>
      <w:sz w:val="28"/>
    </w:rPr>
  </w:style>
  <w:style w:type="character" w:customStyle="1" w:styleId="explanation">
    <w:name w:val="explanation"/>
    <w:basedOn w:val="DefaultParagraphFont"/>
    <w:rsid w:val="005027FD"/>
    <w:rPr>
      <w:rFonts w:cs="Times New Roman"/>
    </w:rPr>
  </w:style>
  <w:style w:type="character" w:customStyle="1" w:styleId="a">
    <w:name w:val="_"/>
    <w:basedOn w:val="DefaultParagraphFont"/>
    <w:rsid w:val="005027FD"/>
    <w:rPr>
      <w:rFonts w:cs="Times New Roman"/>
    </w:rPr>
  </w:style>
  <w:style w:type="paragraph" w:customStyle="1" w:styleId="WPFooter">
    <w:name w:val="WP_Footer"/>
    <w:basedOn w:val="Normal"/>
    <w:rsid w:val="005027FD"/>
    <w:pPr>
      <w:widowControl w:val="0"/>
      <w:tabs>
        <w:tab w:val="left" w:pos="0"/>
        <w:tab w:val="center" w:pos="4320"/>
        <w:tab w:val="right" w:pos="8640"/>
      </w:tabs>
    </w:pPr>
    <w:rPr>
      <w:szCs w:val="20"/>
    </w:rPr>
  </w:style>
  <w:style w:type="character" w:styleId="Emphasis">
    <w:name w:val="Emphasis"/>
    <w:basedOn w:val="DefaultParagraphFont"/>
    <w:uiPriority w:val="20"/>
    <w:qFormat/>
    <w:rsid w:val="007B341A"/>
    <w:rPr>
      <w:rFonts w:cs="Times New Roman"/>
      <w:i/>
      <w:iCs/>
    </w:rPr>
  </w:style>
  <w:style w:type="paragraph" w:styleId="Revision">
    <w:name w:val="Revision"/>
    <w:hidden/>
    <w:semiHidden/>
    <w:rsid w:val="00A965F5"/>
    <w:rPr>
      <w:sz w:val="24"/>
      <w:szCs w:val="24"/>
    </w:rPr>
  </w:style>
  <w:style w:type="paragraph" w:customStyle="1" w:styleId="style34">
    <w:name w:val="style34"/>
    <w:basedOn w:val="Normal"/>
    <w:rsid w:val="00F92506"/>
    <w:pPr>
      <w:spacing w:before="100" w:beforeAutospacing="1" w:after="100" w:afterAutospacing="1"/>
    </w:pPr>
    <w:rPr>
      <w:rFonts w:ascii="Verdana" w:hAnsi="Verdana"/>
      <w:color w:val="000000"/>
      <w:sz w:val="15"/>
      <w:szCs w:val="15"/>
    </w:rPr>
  </w:style>
  <w:style w:type="character" w:customStyle="1" w:styleId="a1">
    <w:name w:val="a"/>
    <w:basedOn w:val="DefaultParagraphFont"/>
    <w:rsid w:val="00F92506"/>
    <w:rPr>
      <w:rFonts w:cs="Times New Roman"/>
    </w:rPr>
  </w:style>
  <w:style w:type="paragraph" w:styleId="Caption">
    <w:name w:val="caption"/>
    <w:basedOn w:val="Normal"/>
    <w:next w:val="Normal"/>
    <w:qFormat/>
    <w:locked/>
    <w:rsid w:val="00F92506"/>
    <w:rPr>
      <w:b/>
      <w:bCs/>
      <w:sz w:val="20"/>
      <w:szCs w:val="20"/>
    </w:rPr>
  </w:style>
  <w:style w:type="paragraph" w:customStyle="1" w:styleId="ATFParagraph">
    <w:name w:val="ATF Paragraph"/>
    <w:basedOn w:val="Normal"/>
    <w:rsid w:val="00F92506"/>
    <w:pPr>
      <w:spacing w:after="240"/>
    </w:pPr>
  </w:style>
  <w:style w:type="paragraph" w:styleId="DocumentMap">
    <w:name w:val="Document Map"/>
    <w:basedOn w:val="Normal"/>
    <w:link w:val="DocumentMapChar"/>
    <w:semiHidden/>
    <w:locked/>
    <w:rsid w:val="00F9250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F92506"/>
    <w:rPr>
      <w:rFonts w:ascii="Tahoma" w:hAnsi="Tahoma" w:cs="Tahoma"/>
      <w:shd w:val="clear" w:color="auto" w:fill="000080"/>
    </w:rPr>
  </w:style>
  <w:style w:type="paragraph" w:customStyle="1" w:styleId="style10">
    <w:name w:val="style10"/>
    <w:basedOn w:val="Normal"/>
    <w:rsid w:val="00F92506"/>
    <w:pPr>
      <w:spacing w:before="100" w:beforeAutospacing="1" w:after="100" w:afterAutospacing="1"/>
    </w:pPr>
    <w:rPr>
      <w:sz w:val="20"/>
      <w:szCs w:val="20"/>
    </w:rPr>
  </w:style>
  <w:style w:type="character" w:styleId="FollowedHyperlink">
    <w:name w:val="FollowedHyperlink"/>
    <w:basedOn w:val="DefaultParagraphFont"/>
    <w:locked/>
    <w:rsid w:val="00D50841"/>
    <w:rPr>
      <w:rFonts w:cs="Times New Roman"/>
      <w:color w:val="800080"/>
      <w:u w:val="single"/>
    </w:rPr>
  </w:style>
  <w:style w:type="paragraph" w:customStyle="1" w:styleId="CM40">
    <w:name w:val="CM40"/>
    <w:basedOn w:val="Default"/>
    <w:next w:val="Default"/>
    <w:rsid w:val="00D50841"/>
    <w:pPr>
      <w:spacing w:after="248"/>
    </w:pPr>
    <w:rPr>
      <w:rFonts w:ascii="Times New Roman" w:hAnsi="Times New Roman" w:cs="Times New Roman"/>
      <w:color w:val="auto"/>
    </w:rPr>
  </w:style>
  <w:style w:type="paragraph" w:customStyle="1" w:styleId="Bullet1">
    <w:name w:val="Bullet 1"/>
    <w:basedOn w:val="Normal"/>
    <w:rsid w:val="00D50841"/>
    <w:pPr>
      <w:tabs>
        <w:tab w:val="num" w:pos="720"/>
      </w:tabs>
      <w:ind w:left="720" w:hanging="360"/>
    </w:pPr>
    <w:rPr>
      <w:rFonts w:ascii="Verdana" w:hAnsi="Verdana"/>
      <w:sz w:val="20"/>
      <w:szCs w:val="20"/>
    </w:rPr>
  </w:style>
  <w:style w:type="paragraph" w:customStyle="1" w:styleId="Pa4">
    <w:name w:val="Pa4"/>
    <w:basedOn w:val="Default"/>
    <w:next w:val="Default"/>
    <w:rsid w:val="00D50841"/>
    <w:pPr>
      <w:spacing w:after="120" w:line="217" w:lineRule="atLeast"/>
    </w:pPr>
    <w:rPr>
      <w:rFonts w:ascii="Times New Roman PS" w:hAnsi="Times New Roman PS" w:cs="Times New Roman"/>
      <w:color w:val="auto"/>
    </w:rPr>
  </w:style>
  <w:style w:type="paragraph" w:styleId="HTMLPreformatted">
    <w:name w:val="HTML Preformatted"/>
    <w:basedOn w:val="Normal"/>
    <w:link w:val="HTMLPreformattedChar"/>
    <w:locked/>
    <w:rsid w:val="005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54024D"/>
    <w:rPr>
      <w:rFonts w:ascii="Courier New" w:hAnsi="Courier New" w:cs="Courier New"/>
    </w:rPr>
  </w:style>
  <w:style w:type="paragraph" w:customStyle="1" w:styleId="bullet10">
    <w:name w:val="bullet10"/>
    <w:basedOn w:val="Normal"/>
    <w:rsid w:val="0054024D"/>
    <w:pPr>
      <w:tabs>
        <w:tab w:val="num" w:pos="1080"/>
      </w:tabs>
      <w:ind w:left="1080" w:hanging="360"/>
    </w:pPr>
    <w:rPr>
      <w:rFonts w:ascii="Verdana" w:hAnsi="Verdana"/>
      <w:sz w:val="20"/>
      <w:szCs w:val="20"/>
    </w:rPr>
  </w:style>
  <w:style w:type="paragraph" w:styleId="ListParagraph">
    <w:name w:val="List Paragraph"/>
    <w:basedOn w:val="Normal"/>
    <w:link w:val="ListParagraphChar"/>
    <w:uiPriority w:val="34"/>
    <w:qFormat/>
    <w:rsid w:val="000E54A1"/>
    <w:pPr>
      <w:ind w:left="720"/>
      <w:contextualSpacing/>
    </w:pPr>
  </w:style>
  <w:style w:type="character" w:customStyle="1" w:styleId="t110">
    <w:name w:val="t110"/>
    <w:basedOn w:val="DefaultParagraphFont"/>
    <w:rsid w:val="00F72B72"/>
    <w:rPr>
      <w:color w:val="000000"/>
    </w:rPr>
  </w:style>
  <w:style w:type="paragraph" w:customStyle="1" w:styleId="BudgetHeading1">
    <w:name w:val="Budget Heading 1"/>
    <w:basedOn w:val="Normal"/>
    <w:qFormat/>
    <w:rsid w:val="002C47CF"/>
    <w:pPr>
      <w:numPr>
        <w:numId w:val="4"/>
      </w:numPr>
    </w:pPr>
    <w:rPr>
      <w:rFonts w:eastAsia="Calibri"/>
      <w:b/>
      <w:bCs/>
      <w:color w:val="000000"/>
    </w:rPr>
  </w:style>
  <w:style w:type="paragraph" w:customStyle="1" w:styleId="BudgetHeading2">
    <w:name w:val="Budget Heading 2"/>
    <w:basedOn w:val="Normal"/>
    <w:link w:val="BudgetHeading2Char"/>
    <w:qFormat/>
    <w:rsid w:val="002C47CF"/>
    <w:pPr>
      <w:numPr>
        <w:ilvl w:val="1"/>
        <w:numId w:val="4"/>
      </w:numPr>
    </w:pPr>
    <w:rPr>
      <w:rFonts w:eastAsia="Calibri"/>
      <w:b/>
      <w:bCs/>
      <w:color w:val="000000"/>
    </w:rPr>
  </w:style>
  <w:style w:type="character" w:customStyle="1" w:styleId="BudgetHeading2Char">
    <w:name w:val="Budget Heading 2 Char"/>
    <w:basedOn w:val="DefaultParagraphFont"/>
    <w:link w:val="BudgetHeading2"/>
    <w:rsid w:val="002C47CF"/>
    <w:rPr>
      <w:rFonts w:eastAsia="Calibri"/>
      <w:b/>
      <w:bCs/>
      <w:color w:val="000000"/>
      <w:sz w:val="24"/>
      <w:szCs w:val="24"/>
    </w:rPr>
  </w:style>
  <w:style w:type="character" w:customStyle="1" w:styleId="fedli">
    <w:name w:val="fed_li"/>
    <w:basedOn w:val="DefaultParagraphFont"/>
    <w:rsid w:val="00762E8C"/>
  </w:style>
  <w:style w:type="paragraph" w:customStyle="1" w:styleId="Level1">
    <w:name w:val="Level 1"/>
    <w:basedOn w:val="Normal"/>
    <w:uiPriority w:val="99"/>
    <w:rsid w:val="00186E18"/>
    <w:pPr>
      <w:widowControl w:val="0"/>
      <w:ind w:left="1440" w:hanging="720"/>
    </w:pPr>
    <w:rPr>
      <w:snapToGrid w:val="0"/>
      <w:szCs w:val="20"/>
    </w:rPr>
  </w:style>
  <w:style w:type="paragraph" w:styleId="TOCHeading">
    <w:name w:val="TOC Heading"/>
    <w:basedOn w:val="Heading1"/>
    <w:next w:val="Normal"/>
    <w:uiPriority w:val="39"/>
    <w:semiHidden/>
    <w:unhideWhenUsed/>
    <w:qFormat/>
    <w:rsid w:val="00EE5D13"/>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rsid w:val="00EE5D13"/>
    <w:pPr>
      <w:spacing w:after="100"/>
    </w:pPr>
  </w:style>
  <w:style w:type="paragraph" w:styleId="TOC2">
    <w:name w:val="toc 2"/>
    <w:basedOn w:val="Normal"/>
    <w:next w:val="Normal"/>
    <w:autoRedefine/>
    <w:uiPriority w:val="39"/>
    <w:rsid w:val="00EE5D13"/>
    <w:pPr>
      <w:spacing w:after="100"/>
      <w:ind w:left="240"/>
    </w:pPr>
  </w:style>
  <w:style w:type="paragraph" w:styleId="TOC3">
    <w:name w:val="toc 3"/>
    <w:basedOn w:val="Normal"/>
    <w:next w:val="Normal"/>
    <w:autoRedefine/>
    <w:uiPriority w:val="39"/>
    <w:rsid w:val="00EE5D13"/>
    <w:pPr>
      <w:spacing w:after="100"/>
      <w:ind w:left="480"/>
    </w:pPr>
  </w:style>
  <w:style w:type="character" w:customStyle="1" w:styleId="ListParagraphChar">
    <w:name w:val="List Paragraph Char"/>
    <w:basedOn w:val="DefaultParagraphFont"/>
    <w:link w:val="ListParagraph"/>
    <w:uiPriority w:val="34"/>
    <w:locked/>
    <w:rsid w:val="006145F6"/>
    <w:rPr>
      <w:sz w:val="24"/>
      <w:szCs w:val="24"/>
    </w:rPr>
  </w:style>
  <w:style w:type="paragraph" w:customStyle="1" w:styleId="p">
    <w:name w:val="p"/>
    <w:basedOn w:val="Normal"/>
    <w:rsid w:val="002F130F"/>
    <w:pPr>
      <w:spacing w:before="100" w:beforeAutospacing="1" w:after="100" w:afterAutospacing="1"/>
    </w:pPr>
  </w:style>
  <w:style w:type="character" w:customStyle="1" w:styleId="blackgraphtx">
    <w:name w:val="blackgraphtx"/>
    <w:basedOn w:val="DefaultParagraphFont"/>
    <w:rsid w:val="00557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7603206">
      <w:bodyDiv w:val="1"/>
      <w:marLeft w:val="0"/>
      <w:marRight w:val="0"/>
      <w:marTop w:val="0"/>
      <w:marBottom w:val="0"/>
      <w:divBdr>
        <w:top w:val="none" w:sz="0" w:space="0" w:color="auto"/>
        <w:left w:val="none" w:sz="0" w:space="0" w:color="auto"/>
        <w:bottom w:val="none" w:sz="0" w:space="0" w:color="auto"/>
        <w:right w:val="none" w:sz="0" w:space="0" w:color="auto"/>
      </w:divBdr>
    </w:div>
    <w:div w:id="213154723">
      <w:bodyDiv w:val="1"/>
      <w:marLeft w:val="0"/>
      <w:marRight w:val="0"/>
      <w:marTop w:val="0"/>
      <w:marBottom w:val="0"/>
      <w:divBdr>
        <w:top w:val="none" w:sz="0" w:space="0" w:color="auto"/>
        <w:left w:val="none" w:sz="0" w:space="0" w:color="auto"/>
        <w:bottom w:val="none" w:sz="0" w:space="0" w:color="auto"/>
        <w:right w:val="none" w:sz="0" w:space="0" w:color="auto"/>
      </w:divBdr>
    </w:div>
    <w:div w:id="213278695">
      <w:bodyDiv w:val="1"/>
      <w:marLeft w:val="0"/>
      <w:marRight w:val="0"/>
      <w:marTop w:val="0"/>
      <w:marBottom w:val="0"/>
      <w:divBdr>
        <w:top w:val="none" w:sz="0" w:space="0" w:color="auto"/>
        <w:left w:val="none" w:sz="0" w:space="0" w:color="auto"/>
        <w:bottom w:val="none" w:sz="0" w:space="0" w:color="auto"/>
        <w:right w:val="none" w:sz="0" w:space="0" w:color="auto"/>
      </w:divBdr>
    </w:div>
    <w:div w:id="252905160">
      <w:bodyDiv w:val="1"/>
      <w:marLeft w:val="0"/>
      <w:marRight w:val="0"/>
      <w:marTop w:val="0"/>
      <w:marBottom w:val="0"/>
      <w:divBdr>
        <w:top w:val="none" w:sz="0" w:space="0" w:color="auto"/>
        <w:left w:val="none" w:sz="0" w:space="0" w:color="auto"/>
        <w:bottom w:val="none" w:sz="0" w:space="0" w:color="auto"/>
        <w:right w:val="none" w:sz="0" w:space="0" w:color="auto"/>
      </w:divBdr>
    </w:div>
    <w:div w:id="279917176">
      <w:bodyDiv w:val="1"/>
      <w:marLeft w:val="0"/>
      <w:marRight w:val="0"/>
      <w:marTop w:val="0"/>
      <w:marBottom w:val="0"/>
      <w:divBdr>
        <w:top w:val="none" w:sz="0" w:space="0" w:color="auto"/>
        <w:left w:val="none" w:sz="0" w:space="0" w:color="auto"/>
        <w:bottom w:val="none" w:sz="0" w:space="0" w:color="auto"/>
        <w:right w:val="none" w:sz="0" w:space="0" w:color="auto"/>
      </w:divBdr>
    </w:div>
    <w:div w:id="293294748">
      <w:bodyDiv w:val="1"/>
      <w:marLeft w:val="0"/>
      <w:marRight w:val="0"/>
      <w:marTop w:val="0"/>
      <w:marBottom w:val="0"/>
      <w:divBdr>
        <w:top w:val="none" w:sz="0" w:space="0" w:color="auto"/>
        <w:left w:val="none" w:sz="0" w:space="0" w:color="auto"/>
        <w:bottom w:val="none" w:sz="0" w:space="0" w:color="auto"/>
        <w:right w:val="none" w:sz="0" w:space="0" w:color="auto"/>
      </w:divBdr>
    </w:div>
    <w:div w:id="348072318">
      <w:bodyDiv w:val="1"/>
      <w:marLeft w:val="0"/>
      <w:marRight w:val="0"/>
      <w:marTop w:val="0"/>
      <w:marBottom w:val="0"/>
      <w:divBdr>
        <w:top w:val="none" w:sz="0" w:space="0" w:color="auto"/>
        <w:left w:val="none" w:sz="0" w:space="0" w:color="auto"/>
        <w:bottom w:val="none" w:sz="0" w:space="0" w:color="auto"/>
        <w:right w:val="none" w:sz="0" w:space="0" w:color="auto"/>
      </w:divBdr>
    </w:div>
    <w:div w:id="411006926">
      <w:bodyDiv w:val="1"/>
      <w:marLeft w:val="0"/>
      <w:marRight w:val="0"/>
      <w:marTop w:val="0"/>
      <w:marBottom w:val="0"/>
      <w:divBdr>
        <w:top w:val="none" w:sz="0" w:space="0" w:color="auto"/>
        <w:left w:val="none" w:sz="0" w:space="0" w:color="auto"/>
        <w:bottom w:val="none" w:sz="0" w:space="0" w:color="auto"/>
        <w:right w:val="none" w:sz="0" w:space="0" w:color="auto"/>
      </w:divBdr>
    </w:div>
    <w:div w:id="432676075">
      <w:bodyDiv w:val="1"/>
      <w:marLeft w:val="0"/>
      <w:marRight w:val="0"/>
      <w:marTop w:val="0"/>
      <w:marBottom w:val="0"/>
      <w:divBdr>
        <w:top w:val="none" w:sz="0" w:space="0" w:color="auto"/>
        <w:left w:val="none" w:sz="0" w:space="0" w:color="auto"/>
        <w:bottom w:val="none" w:sz="0" w:space="0" w:color="auto"/>
        <w:right w:val="none" w:sz="0" w:space="0" w:color="auto"/>
      </w:divBdr>
    </w:div>
    <w:div w:id="502823355">
      <w:bodyDiv w:val="1"/>
      <w:marLeft w:val="0"/>
      <w:marRight w:val="0"/>
      <w:marTop w:val="0"/>
      <w:marBottom w:val="0"/>
      <w:divBdr>
        <w:top w:val="none" w:sz="0" w:space="0" w:color="auto"/>
        <w:left w:val="none" w:sz="0" w:space="0" w:color="auto"/>
        <w:bottom w:val="none" w:sz="0" w:space="0" w:color="auto"/>
        <w:right w:val="none" w:sz="0" w:space="0" w:color="auto"/>
      </w:divBdr>
    </w:div>
    <w:div w:id="866261548">
      <w:bodyDiv w:val="1"/>
      <w:marLeft w:val="0"/>
      <w:marRight w:val="0"/>
      <w:marTop w:val="0"/>
      <w:marBottom w:val="0"/>
      <w:divBdr>
        <w:top w:val="none" w:sz="0" w:space="0" w:color="auto"/>
        <w:left w:val="none" w:sz="0" w:space="0" w:color="auto"/>
        <w:bottom w:val="none" w:sz="0" w:space="0" w:color="auto"/>
        <w:right w:val="none" w:sz="0" w:space="0" w:color="auto"/>
      </w:divBdr>
    </w:div>
    <w:div w:id="893739132">
      <w:bodyDiv w:val="1"/>
      <w:marLeft w:val="0"/>
      <w:marRight w:val="0"/>
      <w:marTop w:val="0"/>
      <w:marBottom w:val="0"/>
      <w:divBdr>
        <w:top w:val="none" w:sz="0" w:space="0" w:color="auto"/>
        <w:left w:val="none" w:sz="0" w:space="0" w:color="auto"/>
        <w:bottom w:val="none" w:sz="0" w:space="0" w:color="auto"/>
        <w:right w:val="none" w:sz="0" w:space="0" w:color="auto"/>
      </w:divBdr>
    </w:div>
    <w:div w:id="922646151">
      <w:bodyDiv w:val="1"/>
      <w:marLeft w:val="0"/>
      <w:marRight w:val="0"/>
      <w:marTop w:val="0"/>
      <w:marBottom w:val="0"/>
      <w:divBdr>
        <w:top w:val="none" w:sz="0" w:space="0" w:color="auto"/>
        <w:left w:val="none" w:sz="0" w:space="0" w:color="auto"/>
        <w:bottom w:val="none" w:sz="0" w:space="0" w:color="auto"/>
        <w:right w:val="none" w:sz="0" w:space="0" w:color="auto"/>
      </w:divBdr>
    </w:div>
    <w:div w:id="925842171">
      <w:bodyDiv w:val="1"/>
      <w:marLeft w:val="0"/>
      <w:marRight w:val="0"/>
      <w:marTop w:val="121"/>
      <w:marBottom w:val="0"/>
      <w:divBdr>
        <w:top w:val="none" w:sz="0" w:space="0" w:color="auto"/>
        <w:left w:val="none" w:sz="0" w:space="0" w:color="auto"/>
        <w:bottom w:val="none" w:sz="0" w:space="0" w:color="auto"/>
        <w:right w:val="none" w:sz="0" w:space="0" w:color="auto"/>
      </w:divBdr>
      <w:divsChild>
        <w:div w:id="2032563366">
          <w:marLeft w:val="0"/>
          <w:marRight w:val="0"/>
          <w:marTop w:val="0"/>
          <w:marBottom w:val="0"/>
          <w:divBdr>
            <w:top w:val="none" w:sz="0" w:space="0" w:color="auto"/>
            <w:left w:val="none" w:sz="0" w:space="0" w:color="auto"/>
            <w:bottom w:val="none" w:sz="0" w:space="0" w:color="auto"/>
            <w:right w:val="none" w:sz="0" w:space="0" w:color="auto"/>
          </w:divBdr>
          <w:divsChild>
            <w:div w:id="1335913483">
              <w:marLeft w:val="0"/>
              <w:marRight w:val="0"/>
              <w:marTop w:val="0"/>
              <w:marBottom w:val="0"/>
              <w:divBdr>
                <w:top w:val="none" w:sz="0" w:space="0" w:color="auto"/>
                <w:left w:val="none" w:sz="0" w:space="0" w:color="auto"/>
                <w:bottom w:val="none" w:sz="0" w:space="0" w:color="auto"/>
                <w:right w:val="none" w:sz="0" w:space="0" w:color="auto"/>
              </w:divBdr>
              <w:divsChild>
                <w:div w:id="2052538284">
                  <w:marLeft w:val="0"/>
                  <w:marRight w:val="0"/>
                  <w:marTop w:val="0"/>
                  <w:marBottom w:val="0"/>
                  <w:divBdr>
                    <w:top w:val="none" w:sz="0" w:space="0" w:color="auto"/>
                    <w:left w:val="none" w:sz="0" w:space="0" w:color="auto"/>
                    <w:bottom w:val="none" w:sz="0" w:space="0" w:color="auto"/>
                    <w:right w:val="none" w:sz="0" w:space="0" w:color="auto"/>
                  </w:divBdr>
                  <w:divsChild>
                    <w:div w:id="1647054342">
                      <w:marLeft w:val="0"/>
                      <w:marRight w:val="0"/>
                      <w:marTop w:val="0"/>
                      <w:marBottom w:val="0"/>
                      <w:divBdr>
                        <w:top w:val="none" w:sz="0" w:space="0" w:color="auto"/>
                        <w:left w:val="none" w:sz="0" w:space="0" w:color="auto"/>
                        <w:bottom w:val="none" w:sz="0" w:space="0" w:color="auto"/>
                        <w:right w:val="none" w:sz="0" w:space="0" w:color="auto"/>
                      </w:divBdr>
                      <w:divsChild>
                        <w:div w:id="1236209981">
                          <w:marLeft w:val="0"/>
                          <w:marRight w:val="0"/>
                          <w:marTop w:val="0"/>
                          <w:marBottom w:val="0"/>
                          <w:divBdr>
                            <w:top w:val="single" w:sz="6" w:space="0" w:color="C0C0C0"/>
                            <w:left w:val="single" w:sz="6" w:space="0" w:color="C0C0C0"/>
                            <w:bottom w:val="single" w:sz="6" w:space="0" w:color="C0C0C0"/>
                            <w:right w:val="single" w:sz="6" w:space="0" w:color="C0C0C0"/>
                          </w:divBdr>
                          <w:divsChild>
                            <w:div w:id="1536961634">
                              <w:marLeft w:val="0"/>
                              <w:marRight w:val="0"/>
                              <w:marTop w:val="0"/>
                              <w:marBottom w:val="0"/>
                              <w:divBdr>
                                <w:top w:val="none" w:sz="0" w:space="0" w:color="auto"/>
                                <w:left w:val="none" w:sz="0" w:space="0" w:color="auto"/>
                                <w:bottom w:val="none" w:sz="0" w:space="0" w:color="auto"/>
                                <w:right w:val="none" w:sz="0" w:space="0" w:color="auto"/>
                              </w:divBdr>
                              <w:divsChild>
                                <w:div w:id="2130780138">
                                  <w:marLeft w:val="0"/>
                                  <w:marRight w:val="0"/>
                                  <w:marTop w:val="0"/>
                                  <w:marBottom w:val="0"/>
                                  <w:divBdr>
                                    <w:top w:val="none" w:sz="0" w:space="0" w:color="auto"/>
                                    <w:left w:val="none" w:sz="0" w:space="0" w:color="auto"/>
                                    <w:bottom w:val="none" w:sz="0" w:space="0" w:color="auto"/>
                                    <w:right w:val="none" w:sz="0" w:space="0" w:color="auto"/>
                                  </w:divBdr>
                                  <w:divsChild>
                                    <w:div w:id="342896970">
                                      <w:marLeft w:val="0"/>
                                      <w:marRight w:val="0"/>
                                      <w:marTop w:val="0"/>
                                      <w:marBottom w:val="0"/>
                                      <w:divBdr>
                                        <w:top w:val="none" w:sz="0" w:space="0" w:color="auto"/>
                                        <w:left w:val="none" w:sz="0" w:space="0" w:color="auto"/>
                                        <w:bottom w:val="none" w:sz="0" w:space="0" w:color="auto"/>
                                        <w:right w:val="none" w:sz="0" w:space="0" w:color="auto"/>
                                      </w:divBdr>
                                      <w:divsChild>
                                        <w:div w:id="1244071626">
                                          <w:marLeft w:val="0"/>
                                          <w:marRight w:val="0"/>
                                          <w:marTop w:val="0"/>
                                          <w:marBottom w:val="0"/>
                                          <w:divBdr>
                                            <w:top w:val="none" w:sz="0" w:space="0" w:color="auto"/>
                                            <w:left w:val="none" w:sz="0" w:space="0" w:color="auto"/>
                                            <w:bottom w:val="none" w:sz="0" w:space="0" w:color="auto"/>
                                            <w:right w:val="none" w:sz="0" w:space="0" w:color="auto"/>
                                          </w:divBdr>
                                          <w:divsChild>
                                            <w:div w:id="631133579">
                                              <w:marLeft w:val="0"/>
                                              <w:marRight w:val="0"/>
                                              <w:marTop w:val="0"/>
                                              <w:marBottom w:val="0"/>
                                              <w:divBdr>
                                                <w:top w:val="none" w:sz="0" w:space="0" w:color="auto"/>
                                                <w:left w:val="none" w:sz="0" w:space="0" w:color="auto"/>
                                                <w:bottom w:val="none" w:sz="0" w:space="0" w:color="auto"/>
                                                <w:right w:val="none" w:sz="0" w:space="0" w:color="auto"/>
                                              </w:divBdr>
                                              <w:divsChild>
                                                <w:div w:id="1226642121">
                                                  <w:marLeft w:val="0"/>
                                                  <w:marRight w:val="0"/>
                                                  <w:marTop w:val="0"/>
                                                  <w:marBottom w:val="0"/>
                                                  <w:divBdr>
                                                    <w:top w:val="none" w:sz="0" w:space="0" w:color="auto"/>
                                                    <w:left w:val="none" w:sz="0" w:space="0" w:color="auto"/>
                                                    <w:bottom w:val="none" w:sz="0" w:space="0" w:color="auto"/>
                                                    <w:right w:val="none" w:sz="0" w:space="0" w:color="auto"/>
                                                  </w:divBdr>
                                                  <w:divsChild>
                                                    <w:div w:id="1974603638">
                                                      <w:marLeft w:val="0"/>
                                                      <w:marRight w:val="0"/>
                                                      <w:marTop w:val="0"/>
                                                      <w:marBottom w:val="0"/>
                                                      <w:divBdr>
                                                        <w:top w:val="none" w:sz="0" w:space="0" w:color="auto"/>
                                                        <w:left w:val="none" w:sz="0" w:space="0" w:color="auto"/>
                                                        <w:bottom w:val="none" w:sz="0" w:space="0" w:color="auto"/>
                                                        <w:right w:val="none" w:sz="0" w:space="0" w:color="auto"/>
                                                      </w:divBdr>
                                                      <w:divsChild>
                                                        <w:div w:id="1877421899">
                                                          <w:marLeft w:val="0"/>
                                                          <w:marRight w:val="0"/>
                                                          <w:marTop w:val="0"/>
                                                          <w:marBottom w:val="0"/>
                                                          <w:divBdr>
                                                            <w:top w:val="none" w:sz="0" w:space="0" w:color="auto"/>
                                                            <w:left w:val="none" w:sz="0" w:space="0" w:color="auto"/>
                                                            <w:bottom w:val="none" w:sz="0" w:space="0" w:color="auto"/>
                                                            <w:right w:val="none" w:sz="0" w:space="0" w:color="auto"/>
                                                          </w:divBdr>
                                                        </w:div>
                                                      </w:divsChild>
                                                    </w:div>
                                                    <w:div w:id="912858293">
                                                      <w:marLeft w:val="0"/>
                                                      <w:marRight w:val="0"/>
                                                      <w:marTop w:val="0"/>
                                                      <w:marBottom w:val="0"/>
                                                      <w:divBdr>
                                                        <w:top w:val="none" w:sz="0" w:space="0" w:color="auto"/>
                                                        <w:left w:val="none" w:sz="0" w:space="0" w:color="auto"/>
                                                        <w:bottom w:val="none" w:sz="0" w:space="0" w:color="auto"/>
                                                        <w:right w:val="none" w:sz="0" w:space="0" w:color="auto"/>
                                                      </w:divBdr>
                                                    </w:div>
                                                    <w:div w:id="1118066508">
                                                      <w:marLeft w:val="0"/>
                                                      <w:marRight w:val="0"/>
                                                      <w:marTop w:val="0"/>
                                                      <w:marBottom w:val="0"/>
                                                      <w:divBdr>
                                                        <w:top w:val="none" w:sz="0" w:space="0" w:color="auto"/>
                                                        <w:left w:val="none" w:sz="0" w:space="0" w:color="auto"/>
                                                        <w:bottom w:val="none" w:sz="0" w:space="0" w:color="auto"/>
                                                        <w:right w:val="none" w:sz="0" w:space="0" w:color="auto"/>
                                                      </w:divBdr>
                                                      <w:divsChild>
                                                        <w:div w:id="919486909">
                                                          <w:marLeft w:val="0"/>
                                                          <w:marRight w:val="0"/>
                                                          <w:marTop w:val="0"/>
                                                          <w:marBottom w:val="0"/>
                                                          <w:divBdr>
                                                            <w:top w:val="none" w:sz="0" w:space="0" w:color="auto"/>
                                                            <w:left w:val="none" w:sz="0" w:space="0" w:color="auto"/>
                                                            <w:bottom w:val="none" w:sz="0" w:space="0" w:color="auto"/>
                                                            <w:right w:val="none" w:sz="0" w:space="0" w:color="auto"/>
                                                          </w:divBdr>
                                                          <w:divsChild>
                                                            <w:div w:id="981891015">
                                                              <w:marLeft w:val="0"/>
                                                              <w:marRight w:val="0"/>
                                                              <w:marTop w:val="0"/>
                                                              <w:marBottom w:val="0"/>
                                                              <w:divBdr>
                                                                <w:top w:val="none" w:sz="0" w:space="0" w:color="auto"/>
                                                                <w:left w:val="none" w:sz="0" w:space="0" w:color="auto"/>
                                                                <w:bottom w:val="none" w:sz="0" w:space="0" w:color="auto"/>
                                                                <w:right w:val="none" w:sz="0" w:space="0" w:color="auto"/>
                                                              </w:divBdr>
                                                              <w:divsChild>
                                                                <w:div w:id="1035351455">
                                                                  <w:marLeft w:val="0"/>
                                                                  <w:marRight w:val="0"/>
                                                                  <w:marTop w:val="0"/>
                                                                  <w:marBottom w:val="0"/>
                                                                  <w:divBdr>
                                                                    <w:top w:val="none" w:sz="0" w:space="0" w:color="auto"/>
                                                                    <w:left w:val="none" w:sz="0" w:space="0" w:color="auto"/>
                                                                    <w:bottom w:val="none" w:sz="0" w:space="0" w:color="auto"/>
                                                                    <w:right w:val="none" w:sz="0" w:space="0" w:color="auto"/>
                                                                  </w:divBdr>
                                                                  <w:divsChild>
                                                                    <w:div w:id="1623925467">
                                                                      <w:marLeft w:val="0"/>
                                                                      <w:marRight w:val="0"/>
                                                                      <w:marTop w:val="0"/>
                                                                      <w:marBottom w:val="0"/>
                                                                      <w:divBdr>
                                                                        <w:top w:val="none" w:sz="0" w:space="0" w:color="auto"/>
                                                                        <w:left w:val="none" w:sz="0" w:space="0" w:color="auto"/>
                                                                        <w:bottom w:val="none" w:sz="0" w:space="0" w:color="auto"/>
                                                                        <w:right w:val="none" w:sz="0" w:space="0" w:color="auto"/>
                                                                      </w:divBdr>
                                                                    </w:div>
                                                                    <w:div w:id="84197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19908">
                                                          <w:marLeft w:val="0"/>
                                                          <w:marRight w:val="0"/>
                                                          <w:marTop w:val="0"/>
                                                          <w:marBottom w:val="0"/>
                                                          <w:divBdr>
                                                            <w:top w:val="none" w:sz="0" w:space="0" w:color="auto"/>
                                                            <w:left w:val="none" w:sz="0" w:space="0" w:color="auto"/>
                                                            <w:bottom w:val="none" w:sz="0" w:space="0" w:color="auto"/>
                                                            <w:right w:val="none" w:sz="0" w:space="0" w:color="auto"/>
                                                          </w:divBdr>
                                                          <w:divsChild>
                                                            <w:div w:id="1591232420">
                                                              <w:marLeft w:val="0"/>
                                                              <w:marRight w:val="0"/>
                                                              <w:marTop w:val="0"/>
                                                              <w:marBottom w:val="0"/>
                                                              <w:divBdr>
                                                                <w:top w:val="none" w:sz="0" w:space="0" w:color="auto"/>
                                                                <w:left w:val="none" w:sz="0" w:space="0" w:color="auto"/>
                                                                <w:bottom w:val="none" w:sz="0" w:space="0" w:color="auto"/>
                                                                <w:right w:val="none" w:sz="0" w:space="0" w:color="auto"/>
                                                              </w:divBdr>
                                                              <w:divsChild>
                                                                <w:div w:id="550923024">
                                                                  <w:marLeft w:val="0"/>
                                                                  <w:marRight w:val="0"/>
                                                                  <w:marTop w:val="0"/>
                                                                  <w:marBottom w:val="0"/>
                                                                  <w:divBdr>
                                                                    <w:top w:val="none" w:sz="0" w:space="0" w:color="auto"/>
                                                                    <w:left w:val="none" w:sz="0" w:space="0" w:color="auto"/>
                                                                    <w:bottom w:val="none" w:sz="0" w:space="0" w:color="auto"/>
                                                                    <w:right w:val="none" w:sz="0" w:space="0" w:color="auto"/>
                                                                  </w:divBdr>
                                                                  <w:divsChild>
                                                                    <w:div w:id="741874133">
                                                                      <w:marLeft w:val="0"/>
                                                                      <w:marRight w:val="0"/>
                                                                      <w:marTop w:val="0"/>
                                                                      <w:marBottom w:val="0"/>
                                                                      <w:divBdr>
                                                                        <w:top w:val="none" w:sz="0" w:space="0" w:color="auto"/>
                                                                        <w:left w:val="none" w:sz="0" w:space="0" w:color="auto"/>
                                                                        <w:bottom w:val="none" w:sz="0" w:space="0" w:color="auto"/>
                                                                        <w:right w:val="none" w:sz="0" w:space="0" w:color="auto"/>
                                                                      </w:divBdr>
                                                                      <w:divsChild>
                                                                        <w:div w:id="106522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88121">
                                                      <w:marLeft w:val="0"/>
                                                      <w:marRight w:val="0"/>
                                                      <w:marTop w:val="0"/>
                                                      <w:marBottom w:val="0"/>
                                                      <w:divBdr>
                                                        <w:top w:val="none" w:sz="0" w:space="0" w:color="auto"/>
                                                        <w:left w:val="none" w:sz="0" w:space="0" w:color="auto"/>
                                                        <w:bottom w:val="none" w:sz="0" w:space="0" w:color="auto"/>
                                                        <w:right w:val="none" w:sz="0" w:space="0" w:color="auto"/>
                                                      </w:divBdr>
                                                      <w:divsChild>
                                                        <w:div w:id="1832863671">
                                                          <w:marLeft w:val="0"/>
                                                          <w:marRight w:val="0"/>
                                                          <w:marTop w:val="0"/>
                                                          <w:marBottom w:val="0"/>
                                                          <w:divBdr>
                                                            <w:top w:val="none" w:sz="0" w:space="0" w:color="auto"/>
                                                            <w:left w:val="none" w:sz="0" w:space="0" w:color="auto"/>
                                                            <w:bottom w:val="none" w:sz="0" w:space="0" w:color="auto"/>
                                                            <w:right w:val="none" w:sz="0" w:space="0" w:color="auto"/>
                                                          </w:divBdr>
                                                          <w:divsChild>
                                                            <w:div w:id="744259302">
                                                              <w:marLeft w:val="0"/>
                                                              <w:marRight w:val="0"/>
                                                              <w:marTop w:val="0"/>
                                                              <w:marBottom w:val="0"/>
                                                              <w:divBdr>
                                                                <w:top w:val="none" w:sz="0" w:space="0" w:color="auto"/>
                                                                <w:left w:val="none" w:sz="0" w:space="0" w:color="auto"/>
                                                                <w:bottom w:val="none" w:sz="0" w:space="0" w:color="auto"/>
                                                                <w:right w:val="none" w:sz="0" w:space="0" w:color="auto"/>
                                                              </w:divBdr>
                                                              <w:divsChild>
                                                                <w:div w:id="359824844">
                                                                  <w:marLeft w:val="0"/>
                                                                  <w:marRight w:val="0"/>
                                                                  <w:marTop w:val="0"/>
                                                                  <w:marBottom w:val="0"/>
                                                                  <w:divBdr>
                                                                    <w:top w:val="none" w:sz="0" w:space="0" w:color="auto"/>
                                                                    <w:left w:val="none" w:sz="0" w:space="0" w:color="auto"/>
                                                                    <w:bottom w:val="none" w:sz="0" w:space="0" w:color="auto"/>
                                                                    <w:right w:val="none" w:sz="0" w:space="0" w:color="auto"/>
                                                                  </w:divBdr>
                                                                  <w:divsChild>
                                                                    <w:div w:id="506604792">
                                                                      <w:marLeft w:val="0"/>
                                                                      <w:marRight w:val="0"/>
                                                                      <w:marTop w:val="0"/>
                                                                      <w:marBottom w:val="0"/>
                                                                      <w:divBdr>
                                                                        <w:top w:val="none" w:sz="0" w:space="0" w:color="auto"/>
                                                                        <w:left w:val="none" w:sz="0" w:space="0" w:color="auto"/>
                                                                        <w:bottom w:val="none" w:sz="0" w:space="0" w:color="auto"/>
                                                                        <w:right w:val="none" w:sz="0" w:space="0" w:color="auto"/>
                                                                      </w:divBdr>
                                                                    </w:div>
                                                                    <w:div w:id="8025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5989">
                                                          <w:marLeft w:val="0"/>
                                                          <w:marRight w:val="0"/>
                                                          <w:marTop w:val="0"/>
                                                          <w:marBottom w:val="0"/>
                                                          <w:divBdr>
                                                            <w:top w:val="none" w:sz="0" w:space="0" w:color="auto"/>
                                                            <w:left w:val="none" w:sz="0" w:space="0" w:color="auto"/>
                                                            <w:bottom w:val="none" w:sz="0" w:space="0" w:color="auto"/>
                                                            <w:right w:val="none" w:sz="0" w:space="0" w:color="auto"/>
                                                          </w:divBdr>
                                                          <w:divsChild>
                                                            <w:div w:id="1938055407">
                                                              <w:marLeft w:val="0"/>
                                                              <w:marRight w:val="0"/>
                                                              <w:marTop w:val="0"/>
                                                              <w:marBottom w:val="0"/>
                                                              <w:divBdr>
                                                                <w:top w:val="none" w:sz="0" w:space="0" w:color="auto"/>
                                                                <w:left w:val="none" w:sz="0" w:space="0" w:color="auto"/>
                                                                <w:bottom w:val="none" w:sz="0" w:space="0" w:color="auto"/>
                                                                <w:right w:val="none" w:sz="0" w:space="0" w:color="auto"/>
                                                              </w:divBdr>
                                                              <w:divsChild>
                                                                <w:div w:id="296183117">
                                                                  <w:marLeft w:val="0"/>
                                                                  <w:marRight w:val="0"/>
                                                                  <w:marTop w:val="0"/>
                                                                  <w:marBottom w:val="0"/>
                                                                  <w:divBdr>
                                                                    <w:top w:val="none" w:sz="0" w:space="0" w:color="auto"/>
                                                                    <w:left w:val="none" w:sz="0" w:space="0" w:color="auto"/>
                                                                    <w:bottom w:val="none" w:sz="0" w:space="0" w:color="auto"/>
                                                                    <w:right w:val="none" w:sz="0" w:space="0" w:color="auto"/>
                                                                  </w:divBdr>
                                                                  <w:divsChild>
                                                                    <w:div w:id="1671833350">
                                                                      <w:marLeft w:val="0"/>
                                                                      <w:marRight w:val="0"/>
                                                                      <w:marTop w:val="0"/>
                                                                      <w:marBottom w:val="0"/>
                                                                      <w:divBdr>
                                                                        <w:top w:val="none" w:sz="0" w:space="0" w:color="auto"/>
                                                                        <w:left w:val="none" w:sz="0" w:space="0" w:color="auto"/>
                                                                        <w:bottom w:val="none" w:sz="0" w:space="0" w:color="auto"/>
                                                                        <w:right w:val="none" w:sz="0" w:space="0" w:color="auto"/>
                                                                      </w:divBdr>
                                                                      <w:divsChild>
                                                                        <w:div w:id="1715696686">
                                                                          <w:marLeft w:val="0"/>
                                                                          <w:marRight w:val="0"/>
                                                                          <w:marTop w:val="0"/>
                                                                          <w:marBottom w:val="0"/>
                                                                          <w:divBdr>
                                                                            <w:top w:val="none" w:sz="0" w:space="0" w:color="auto"/>
                                                                            <w:left w:val="none" w:sz="0" w:space="0" w:color="auto"/>
                                                                            <w:bottom w:val="none" w:sz="0" w:space="0" w:color="auto"/>
                                                                            <w:right w:val="none" w:sz="0" w:space="0" w:color="auto"/>
                                                                          </w:divBdr>
                                                                        </w:div>
                                                                        <w:div w:id="1047603752">
                                                                          <w:marLeft w:val="0"/>
                                                                          <w:marRight w:val="0"/>
                                                                          <w:marTop w:val="0"/>
                                                                          <w:marBottom w:val="0"/>
                                                                          <w:divBdr>
                                                                            <w:top w:val="none" w:sz="0" w:space="0" w:color="auto"/>
                                                                            <w:left w:val="none" w:sz="0" w:space="0" w:color="auto"/>
                                                                            <w:bottom w:val="none" w:sz="0" w:space="0" w:color="auto"/>
                                                                            <w:right w:val="none" w:sz="0" w:space="0" w:color="auto"/>
                                                                          </w:divBdr>
                                                                        </w:div>
                                                                        <w:div w:id="212081000">
                                                                          <w:marLeft w:val="0"/>
                                                                          <w:marRight w:val="0"/>
                                                                          <w:marTop w:val="0"/>
                                                                          <w:marBottom w:val="0"/>
                                                                          <w:divBdr>
                                                                            <w:top w:val="none" w:sz="0" w:space="0" w:color="auto"/>
                                                                            <w:left w:val="none" w:sz="0" w:space="0" w:color="auto"/>
                                                                            <w:bottom w:val="none" w:sz="0" w:space="0" w:color="auto"/>
                                                                            <w:right w:val="none" w:sz="0" w:space="0" w:color="auto"/>
                                                                          </w:divBdr>
                                                                          <w:divsChild>
                                                                            <w:div w:id="1749299998">
                                                                              <w:marLeft w:val="0"/>
                                                                              <w:marRight w:val="0"/>
                                                                              <w:marTop w:val="0"/>
                                                                              <w:marBottom w:val="0"/>
                                                                              <w:divBdr>
                                                                                <w:top w:val="none" w:sz="0" w:space="0" w:color="auto"/>
                                                                                <w:left w:val="none" w:sz="0" w:space="0" w:color="auto"/>
                                                                                <w:bottom w:val="none" w:sz="0" w:space="0" w:color="auto"/>
                                                                                <w:right w:val="none" w:sz="0" w:space="0" w:color="auto"/>
                                                                              </w:divBdr>
                                                                              <w:divsChild>
                                                                                <w:div w:id="1306663931">
                                                                                  <w:marLeft w:val="0"/>
                                                                                  <w:marRight w:val="0"/>
                                                                                  <w:marTop w:val="0"/>
                                                                                  <w:marBottom w:val="0"/>
                                                                                  <w:divBdr>
                                                                                    <w:top w:val="none" w:sz="0" w:space="0" w:color="auto"/>
                                                                                    <w:left w:val="none" w:sz="0" w:space="0" w:color="auto"/>
                                                                                    <w:bottom w:val="none" w:sz="0" w:space="0" w:color="auto"/>
                                                                                    <w:right w:val="none" w:sz="0" w:space="0" w:color="auto"/>
                                                                                  </w:divBdr>
                                                                                </w:div>
                                                                                <w:div w:id="20574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2299">
                                                                          <w:marLeft w:val="0"/>
                                                                          <w:marRight w:val="0"/>
                                                                          <w:marTop w:val="0"/>
                                                                          <w:marBottom w:val="0"/>
                                                                          <w:divBdr>
                                                                            <w:top w:val="none" w:sz="0" w:space="0" w:color="auto"/>
                                                                            <w:left w:val="none" w:sz="0" w:space="0" w:color="auto"/>
                                                                            <w:bottom w:val="none" w:sz="0" w:space="0" w:color="auto"/>
                                                                            <w:right w:val="none" w:sz="0" w:space="0" w:color="auto"/>
                                                                          </w:divBdr>
                                                                        </w:div>
                                                                        <w:div w:id="937951359">
                                                                          <w:marLeft w:val="0"/>
                                                                          <w:marRight w:val="0"/>
                                                                          <w:marTop w:val="0"/>
                                                                          <w:marBottom w:val="0"/>
                                                                          <w:divBdr>
                                                                            <w:top w:val="none" w:sz="0" w:space="0" w:color="auto"/>
                                                                            <w:left w:val="none" w:sz="0" w:space="0" w:color="auto"/>
                                                                            <w:bottom w:val="none" w:sz="0" w:space="0" w:color="auto"/>
                                                                            <w:right w:val="none" w:sz="0" w:space="0" w:color="auto"/>
                                                                          </w:divBdr>
                                                                        </w:div>
                                                                        <w:div w:id="120154531">
                                                                          <w:marLeft w:val="0"/>
                                                                          <w:marRight w:val="0"/>
                                                                          <w:marTop w:val="0"/>
                                                                          <w:marBottom w:val="0"/>
                                                                          <w:divBdr>
                                                                            <w:top w:val="none" w:sz="0" w:space="0" w:color="auto"/>
                                                                            <w:left w:val="none" w:sz="0" w:space="0" w:color="auto"/>
                                                                            <w:bottom w:val="none" w:sz="0" w:space="0" w:color="auto"/>
                                                                            <w:right w:val="none" w:sz="0" w:space="0" w:color="auto"/>
                                                                          </w:divBdr>
                                                                          <w:divsChild>
                                                                            <w:div w:id="653605051">
                                                                              <w:marLeft w:val="0"/>
                                                                              <w:marRight w:val="0"/>
                                                                              <w:marTop w:val="0"/>
                                                                              <w:marBottom w:val="0"/>
                                                                              <w:divBdr>
                                                                                <w:top w:val="none" w:sz="0" w:space="0" w:color="auto"/>
                                                                                <w:left w:val="none" w:sz="0" w:space="0" w:color="auto"/>
                                                                                <w:bottom w:val="none" w:sz="0" w:space="0" w:color="auto"/>
                                                                                <w:right w:val="none" w:sz="0" w:space="0" w:color="auto"/>
                                                                              </w:divBdr>
                                                                              <w:divsChild>
                                                                                <w:div w:id="546648312">
                                                                                  <w:marLeft w:val="0"/>
                                                                                  <w:marRight w:val="0"/>
                                                                                  <w:marTop w:val="0"/>
                                                                                  <w:marBottom w:val="0"/>
                                                                                  <w:divBdr>
                                                                                    <w:top w:val="none" w:sz="0" w:space="0" w:color="auto"/>
                                                                                    <w:left w:val="none" w:sz="0" w:space="0" w:color="auto"/>
                                                                                    <w:bottom w:val="none" w:sz="0" w:space="0" w:color="auto"/>
                                                                                    <w:right w:val="none" w:sz="0" w:space="0" w:color="auto"/>
                                                                                  </w:divBdr>
                                                                                </w:div>
                                                                                <w:div w:id="6223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11334">
                                                                          <w:marLeft w:val="0"/>
                                                                          <w:marRight w:val="0"/>
                                                                          <w:marTop w:val="0"/>
                                                                          <w:marBottom w:val="0"/>
                                                                          <w:divBdr>
                                                                            <w:top w:val="none" w:sz="0" w:space="0" w:color="auto"/>
                                                                            <w:left w:val="none" w:sz="0" w:space="0" w:color="auto"/>
                                                                            <w:bottom w:val="none" w:sz="0" w:space="0" w:color="auto"/>
                                                                            <w:right w:val="none" w:sz="0" w:space="0" w:color="auto"/>
                                                                          </w:divBdr>
                                                                        </w:div>
                                                                        <w:div w:id="1738935888">
                                                                          <w:marLeft w:val="0"/>
                                                                          <w:marRight w:val="0"/>
                                                                          <w:marTop w:val="0"/>
                                                                          <w:marBottom w:val="0"/>
                                                                          <w:divBdr>
                                                                            <w:top w:val="none" w:sz="0" w:space="0" w:color="auto"/>
                                                                            <w:left w:val="none" w:sz="0" w:space="0" w:color="auto"/>
                                                                            <w:bottom w:val="none" w:sz="0" w:space="0" w:color="auto"/>
                                                                            <w:right w:val="none" w:sz="0" w:space="0" w:color="auto"/>
                                                                          </w:divBdr>
                                                                        </w:div>
                                                                        <w:div w:id="2024819069">
                                                                          <w:marLeft w:val="0"/>
                                                                          <w:marRight w:val="0"/>
                                                                          <w:marTop w:val="0"/>
                                                                          <w:marBottom w:val="0"/>
                                                                          <w:divBdr>
                                                                            <w:top w:val="none" w:sz="0" w:space="0" w:color="auto"/>
                                                                            <w:left w:val="none" w:sz="0" w:space="0" w:color="auto"/>
                                                                            <w:bottom w:val="none" w:sz="0" w:space="0" w:color="auto"/>
                                                                            <w:right w:val="none" w:sz="0" w:space="0" w:color="auto"/>
                                                                          </w:divBdr>
                                                                          <w:divsChild>
                                                                            <w:div w:id="811336283">
                                                                              <w:marLeft w:val="0"/>
                                                                              <w:marRight w:val="0"/>
                                                                              <w:marTop w:val="0"/>
                                                                              <w:marBottom w:val="0"/>
                                                                              <w:divBdr>
                                                                                <w:top w:val="none" w:sz="0" w:space="0" w:color="auto"/>
                                                                                <w:left w:val="none" w:sz="0" w:space="0" w:color="auto"/>
                                                                                <w:bottom w:val="none" w:sz="0" w:space="0" w:color="auto"/>
                                                                                <w:right w:val="none" w:sz="0" w:space="0" w:color="auto"/>
                                                                              </w:divBdr>
                                                                              <w:divsChild>
                                                                                <w:div w:id="590627883">
                                                                                  <w:marLeft w:val="0"/>
                                                                                  <w:marRight w:val="0"/>
                                                                                  <w:marTop w:val="0"/>
                                                                                  <w:marBottom w:val="0"/>
                                                                                  <w:divBdr>
                                                                                    <w:top w:val="none" w:sz="0" w:space="0" w:color="auto"/>
                                                                                    <w:left w:val="none" w:sz="0" w:space="0" w:color="auto"/>
                                                                                    <w:bottom w:val="none" w:sz="0" w:space="0" w:color="auto"/>
                                                                                    <w:right w:val="none" w:sz="0" w:space="0" w:color="auto"/>
                                                                                  </w:divBdr>
                                                                                </w:div>
                                                                                <w:div w:id="9581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89061">
                                                      <w:marLeft w:val="0"/>
                                                      <w:marRight w:val="0"/>
                                                      <w:marTop w:val="0"/>
                                                      <w:marBottom w:val="0"/>
                                                      <w:divBdr>
                                                        <w:top w:val="none" w:sz="0" w:space="0" w:color="auto"/>
                                                        <w:left w:val="none" w:sz="0" w:space="0" w:color="auto"/>
                                                        <w:bottom w:val="none" w:sz="0" w:space="0" w:color="auto"/>
                                                        <w:right w:val="none" w:sz="0" w:space="0" w:color="auto"/>
                                                      </w:divBdr>
                                                    </w:div>
                                                    <w:div w:id="10015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53558">
                                          <w:marLeft w:val="0"/>
                                          <w:marRight w:val="0"/>
                                          <w:marTop w:val="0"/>
                                          <w:marBottom w:val="0"/>
                                          <w:divBdr>
                                            <w:top w:val="none" w:sz="0" w:space="0" w:color="auto"/>
                                            <w:left w:val="none" w:sz="0" w:space="0" w:color="auto"/>
                                            <w:bottom w:val="none" w:sz="0" w:space="0" w:color="auto"/>
                                            <w:right w:val="none" w:sz="0" w:space="0" w:color="auto"/>
                                          </w:divBdr>
                                          <w:divsChild>
                                            <w:div w:id="305357966">
                                              <w:marLeft w:val="0"/>
                                              <w:marRight w:val="0"/>
                                              <w:marTop w:val="0"/>
                                              <w:marBottom w:val="0"/>
                                              <w:divBdr>
                                                <w:top w:val="none" w:sz="0" w:space="0" w:color="auto"/>
                                                <w:left w:val="none" w:sz="0" w:space="0" w:color="auto"/>
                                                <w:bottom w:val="none" w:sz="0" w:space="0" w:color="auto"/>
                                                <w:right w:val="none" w:sz="0" w:space="0" w:color="auto"/>
                                              </w:divBdr>
                                              <w:divsChild>
                                                <w:div w:id="552933094">
                                                  <w:marLeft w:val="0"/>
                                                  <w:marRight w:val="0"/>
                                                  <w:marTop w:val="0"/>
                                                  <w:marBottom w:val="0"/>
                                                  <w:divBdr>
                                                    <w:top w:val="none" w:sz="0" w:space="0" w:color="auto"/>
                                                    <w:left w:val="none" w:sz="0" w:space="0" w:color="auto"/>
                                                    <w:bottom w:val="none" w:sz="0" w:space="0" w:color="auto"/>
                                                    <w:right w:val="none" w:sz="0" w:space="0" w:color="auto"/>
                                                  </w:divBdr>
                                                  <w:divsChild>
                                                    <w:div w:id="455635606">
                                                      <w:marLeft w:val="0"/>
                                                      <w:marRight w:val="0"/>
                                                      <w:marTop w:val="0"/>
                                                      <w:marBottom w:val="0"/>
                                                      <w:divBdr>
                                                        <w:top w:val="none" w:sz="0" w:space="0" w:color="auto"/>
                                                        <w:left w:val="none" w:sz="0" w:space="0" w:color="auto"/>
                                                        <w:bottom w:val="none" w:sz="0" w:space="0" w:color="auto"/>
                                                        <w:right w:val="none" w:sz="0" w:space="0" w:color="auto"/>
                                                      </w:divBdr>
                                                      <w:divsChild>
                                                        <w:div w:id="237373688">
                                                          <w:marLeft w:val="0"/>
                                                          <w:marRight w:val="0"/>
                                                          <w:marTop w:val="0"/>
                                                          <w:marBottom w:val="0"/>
                                                          <w:divBdr>
                                                            <w:top w:val="none" w:sz="0" w:space="0" w:color="auto"/>
                                                            <w:left w:val="none" w:sz="0" w:space="0" w:color="auto"/>
                                                            <w:bottom w:val="none" w:sz="0" w:space="0" w:color="auto"/>
                                                            <w:right w:val="none" w:sz="0" w:space="0" w:color="auto"/>
                                                          </w:divBdr>
                                                          <w:divsChild>
                                                            <w:div w:id="1882477317">
                                                              <w:marLeft w:val="0"/>
                                                              <w:marRight w:val="0"/>
                                                              <w:marTop w:val="0"/>
                                                              <w:marBottom w:val="0"/>
                                                              <w:divBdr>
                                                                <w:top w:val="none" w:sz="0" w:space="0" w:color="auto"/>
                                                                <w:left w:val="none" w:sz="0" w:space="0" w:color="auto"/>
                                                                <w:bottom w:val="none" w:sz="0" w:space="0" w:color="auto"/>
                                                                <w:right w:val="none" w:sz="0" w:space="0" w:color="auto"/>
                                                              </w:divBdr>
                                                            </w:div>
                                                            <w:div w:id="484787412">
                                                              <w:marLeft w:val="0"/>
                                                              <w:marRight w:val="0"/>
                                                              <w:marTop w:val="0"/>
                                                              <w:marBottom w:val="0"/>
                                                              <w:divBdr>
                                                                <w:top w:val="none" w:sz="0" w:space="0" w:color="auto"/>
                                                                <w:left w:val="none" w:sz="0" w:space="0" w:color="auto"/>
                                                                <w:bottom w:val="none" w:sz="0" w:space="0" w:color="auto"/>
                                                                <w:right w:val="none" w:sz="0" w:space="0" w:color="auto"/>
                                                              </w:divBdr>
                                                              <w:divsChild>
                                                                <w:div w:id="1827361128">
                                                                  <w:marLeft w:val="0"/>
                                                                  <w:marRight w:val="0"/>
                                                                  <w:marTop w:val="0"/>
                                                                  <w:marBottom w:val="0"/>
                                                                  <w:divBdr>
                                                                    <w:top w:val="none" w:sz="0" w:space="0" w:color="auto"/>
                                                                    <w:left w:val="none" w:sz="0" w:space="0" w:color="auto"/>
                                                                    <w:bottom w:val="none" w:sz="0" w:space="0" w:color="auto"/>
                                                                    <w:right w:val="none" w:sz="0" w:space="0" w:color="auto"/>
                                                                  </w:divBdr>
                                                                  <w:divsChild>
                                                                    <w:div w:id="807362910">
                                                                      <w:marLeft w:val="0"/>
                                                                      <w:marRight w:val="0"/>
                                                                      <w:marTop w:val="0"/>
                                                                      <w:marBottom w:val="0"/>
                                                                      <w:divBdr>
                                                                        <w:top w:val="none" w:sz="0" w:space="0" w:color="auto"/>
                                                                        <w:left w:val="none" w:sz="0" w:space="0" w:color="auto"/>
                                                                        <w:bottom w:val="none" w:sz="0" w:space="0" w:color="auto"/>
                                                                        <w:right w:val="none" w:sz="0" w:space="0" w:color="auto"/>
                                                                      </w:divBdr>
                                                                      <w:divsChild>
                                                                        <w:div w:id="1930040376">
                                                                          <w:marLeft w:val="0"/>
                                                                          <w:marRight w:val="0"/>
                                                                          <w:marTop w:val="0"/>
                                                                          <w:marBottom w:val="0"/>
                                                                          <w:divBdr>
                                                                            <w:top w:val="none" w:sz="0" w:space="0" w:color="auto"/>
                                                                            <w:left w:val="none" w:sz="0" w:space="0" w:color="auto"/>
                                                                            <w:bottom w:val="none" w:sz="0" w:space="0" w:color="auto"/>
                                                                            <w:right w:val="none" w:sz="0" w:space="0" w:color="auto"/>
                                                                          </w:divBdr>
                                                                          <w:divsChild>
                                                                            <w:div w:id="1174340614">
                                                                              <w:marLeft w:val="0"/>
                                                                              <w:marRight w:val="0"/>
                                                                              <w:marTop w:val="0"/>
                                                                              <w:marBottom w:val="0"/>
                                                                              <w:divBdr>
                                                                                <w:top w:val="none" w:sz="0" w:space="0" w:color="auto"/>
                                                                                <w:left w:val="none" w:sz="0" w:space="0" w:color="auto"/>
                                                                                <w:bottom w:val="none" w:sz="0" w:space="0" w:color="auto"/>
                                                                                <w:right w:val="none" w:sz="0" w:space="0" w:color="auto"/>
                                                                              </w:divBdr>
                                                                              <w:divsChild>
                                                                                <w:div w:id="20281324">
                                                                                  <w:marLeft w:val="0"/>
                                                                                  <w:marRight w:val="0"/>
                                                                                  <w:marTop w:val="0"/>
                                                                                  <w:marBottom w:val="0"/>
                                                                                  <w:divBdr>
                                                                                    <w:top w:val="none" w:sz="0" w:space="0" w:color="auto"/>
                                                                                    <w:left w:val="none" w:sz="0" w:space="0" w:color="auto"/>
                                                                                    <w:bottom w:val="none" w:sz="0" w:space="0" w:color="auto"/>
                                                                                    <w:right w:val="none" w:sz="0" w:space="0" w:color="auto"/>
                                                                                  </w:divBdr>
                                                                                  <w:divsChild>
                                                                                    <w:div w:id="332296186">
                                                                                      <w:marLeft w:val="0"/>
                                                                                      <w:marRight w:val="0"/>
                                                                                      <w:marTop w:val="0"/>
                                                                                      <w:marBottom w:val="0"/>
                                                                                      <w:divBdr>
                                                                                        <w:top w:val="none" w:sz="0" w:space="0" w:color="auto"/>
                                                                                        <w:left w:val="none" w:sz="0" w:space="0" w:color="auto"/>
                                                                                        <w:bottom w:val="none" w:sz="0" w:space="0" w:color="auto"/>
                                                                                        <w:right w:val="none" w:sz="0" w:space="0" w:color="auto"/>
                                                                                      </w:divBdr>
                                                                                    </w:div>
                                                                                    <w:div w:id="16365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488608">
      <w:bodyDiv w:val="1"/>
      <w:marLeft w:val="0"/>
      <w:marRight w:val="0"/>
      <w:marTop w:val="0"/>
      <w:marBottom w:val="0"/>
      <w:divBdr>
        <w:top w:val="none" w:sz="0" w:space="0" w:color="auto"/>
        <w:left w:val="none" w:sz="0" w:space="0" w:color="auto"/>
        <w:bottom w:val="none" w:sz="0" w:space="0" w:color="auto"/>
        <w:right w:val="none" w:sz="0" w:space="0" w:color="auto"/>
      </w:divBdr>
    </w:div>
    <w:div w:id="1047142522">
      <w:bodyDiv w:val="1"/>
      <w:marLeft w:val="0"/>
      <w:marRight w:val="0"/>
      <w:marTop w:val="0"/>
      <w:marBottom w:val="0"/>
      <w:divBdr>
        <w:top w:val="none" w:sz="0" w:space="0" w:color="auto"/>
        <w:left w:val="none" w:sz="0" w:space="0" w:color="auto"/>
        <w:bottom w:val="none" w:sz="0" w:space="0" w:color="auto"/>
        <w:right w:val="none" w:sz="0" w:space="0" w:color="auto"/>
      </w:divBdr>
    </w:div>
    <w:div w:id="1077825308">
      <w:bodyDiv w:val="1"/>
      <w:marLeft w:val="0"/>
      <w:marRight w:val="0"/>
      <w:marTop w:val="0"/>
      <w:marBottom w:val="0"/>
      <w:divBdr>
        <w:top w:val="none" w:sz="0" w:space="0" w:color="auto"/>
        <w:left w:val="none" w:sz="0" w:space="0" w:color="auto"/>
        <w:bottom w:val="none" w:sz="0" w:space="0" w:color="auto"/>
        <w:right w:val="none" w:sz="0" w:space="0" w:color="auto"/>
      </w:divBdr>
    </w:div>
    <w:div w:id="1090274910">
      <w:bodyDiv w:val="1"/>
      <w:marLeft w:val="0"/>
      <w:marRight w:val="0"/>
      <w:marTop w:val="0"/>
      <w:marBottom w:val="0"/>
      <w:divBdr>
        <w:top w:val="none" w:sz="0" w:space="0" w:color="auto"/>
        <w:left w:val="none" w:sz="0" w:space="0" w:color="auto"/>
        <w:bottom w:val="none" w:sz="0" w:space="0" w:color="auto"/>
        <w:right w:val="none" w:sz="0" w:space="0" w:color="auto"/>
      </w:divBdr>
    </w:div>
    <w:div w:id="1124421149">
      <w:bodyDiv w:val="1"/>
      <w:marLeft w:val="0"/>
      <w:marRight w:val="0"/>
      <w:marTop w:val="0"/>
      <w:marBottom w:val="0"/>
      <w:divBdr>
        <w:top w:val="none" w:sz="0" w:space="0" w:color="auto"/>
        <w:left w:val="none" w:sz="0" w:space="0" w:color="auto"/>
        <w:bottom w:val="none" w:sz="0" w:space="0" w:color="auto"/>
        <w:right w:val="none" w:sz="0" w:space="0" w:color="auto"/>
      </w:divBdr>
    </w:div>
    <w:div w:id="1310280264">
      <w:bodyDiv w:val="1"/>
      <w:marLeft w:val="0"/>
      <w:marRight w:val="0"/>
      <w:marTop w:val="0"/>
      <w:marBottom w:val="0"/>
      <w:divBdr>
        <w:top w:val="none" w:sz="0" w:space="0" w:color="auto"/>
        <w:left w:val="none" w:sz="0" w:space="0" w:color="auto"/>
        <w:bottom w:val="none" w:sz="0" w:space="0" w:color="auto"/>
        <w:right w:val="none" w:sz="0" w:space="0" w:color="auto"/>
      </w:divBdr>
    </w:div>
    <w:div w:id="1310405849">
      <w:bodyDiv w:val="1"/>
      <w:marLeft w:val="0"/>
      <w:marRight w:val="0"/>
      <w:marTop w:val="0"/>
      <w:marBottom w:val="0"/>
      <w:divBdr>
        <w:top w:val="none" w:sz="0" w:space="0" w:color="auto"/>
        <w:left w:val="none" w:sz="0" w:space="0" w:color="auto"/>
        <w:bottom w:val="none" w:sz="0" w:space="0" w:color="auto"/>
        <w:right w:val="none" w:sz="0" w:space="0" w:color="auto"/>
      </w:divBdr>
    </w:div>
    <w:div w:id="1395468023">
      <w:bodyDiv w:val="1"/>
      <w:marLeft w:val="0"/>
      <w:marRight w:val="0"/>
      <w:marTop w:val="0"/>
      <w:marBottom w:val="0"/>
      <w:divBdr>
        <w:top w:val="none" w:sz="0" w:space="0" w:color="auto"/>
        <w:left w:val="none" w:sz="0" w:space="0" w:color="auto"/>
        <w:bottom w:val="none" w:sz="0" w:space="0" w:color="auto"/>
        <w:right w:val="none" w:sz="0" w:space="0" w:color="auto"/>
      </w:divBdr>
    </w:div>
    <w:div w:id="1483617315">
      <w:bodyDiv w:val="1"/>
      <w:marLeft w:val="0"/>
      <w:marRight w:val="0"/>
      <w:marTop w:val="0"/>
      <w:marBottom w:val="0"/>
      <w:divBdr>
        <w:top w:val="none" w:sz="0" w:space="0" w:color="auto"/>
        <w:left w:val="none" w:sz="0" w:space="0" w:color="auto"/>
        <w:bottom w:val="none" w:sz="0" w:space="0" w:color="auto"/>
        <w:right w:val="none" w:sz="0" w:space="0" w:color="auto"/>
      </w:divBdr>
    </w:div>
    <w:div w:id="1658920628">
      <w:bodyDiv w:val="1"/>
      <w:marLeft w:val="0"/>
      <w:marRight w:val="0"/>
      <w:marTop w:val="0"/>
      <w:marBottom w:val="0"/>
      <w:divBdr>
        <w:top w:val="none" w:sz="0" w:space="0" w:color="auto"/>
        <w:left w:val="none" w:sz="0" w:space="0" w:color="auto"/>
        <w:bottom w:val="none" w:sz="0" w:space="0" w:color="auto"/>
        <w:right w:val="none" w:sz="0" w:space="0" w:color="auto"/>
      </w:divBdr>
    </w:div>
    <w:div w:id="1659074102">
      <w:bodyDiv w:val="1"/>
      <w:marLeft w:val="0"/>
      <w:marRight w:val="0"/>
      <w:marTop w:val="0"/>
      <w:marBottom w:val="0"/>
      <w:divBdr>
        <w:top w:val="none" w:sz="0" w:space="0" w:color="auto"/>
        <w:left w:val="none" w:sz="0" w:space="0" w:color="auto"/>
        <w:bottom w:val="none" w:sz="0" w:space="0" w:color="auto"/>
        <w:right w:val="none" w:sz="0" w:space="0" w:color="auto"/>
      </w:divBdr>
    </w:div>
    <w:div w:id="1676371837">
      <w:bodyDiv w:val="1"/>
      <w:marLeft w:val="0"/>
      <w:marRight w:val="0"/>
      <w:marTop w:val="0"/>
      <w:marBottom w:val="0"/>
      <w:divBdr>
        <w:top w:val="none" w:sz="0" w:space="0" w:color="auto"/>
        <w:left w:val="none" w:sz="0" w:space="0" w:color="auto"/>
        <w:bottom w:val="none" w:sz="0" w:space="0" w:color="auto"/>
        <w:right w:val="none" w:sz="0" w:space="0" w:color="auto"/>
      </w:divBdr>
    </w:div>
    <w:div w:id="1686054925">
      <w:bodyDiv w:val="1"/>
      <w:marLeft w:val="0"/>
      <w:marRight w:val="0"/>
      <w:marTop w:val="0"/>
      <w:marBottom w:val="0"/>
      <w:divBdr>
        <w:top w:val="none" w:sz="0" w:space="0" w:color="auto"/>
        <w:left w:val="none" w:sz="0" w:space="0" w:color="auto"/>
        <w:bottom w:val="none" w:sz="0" w:space="0" w:color="auto"/>
        <w:right w:val="none" w:sz="0" w:space="0" w:color="auto"/>
      </w:divBdr>
    </w:div>
    <w:div w:id="1777944841">
      <w:bodyDiv w:val="1"/>
      <w:marLeft w:val="0"/>
      <w:marRight w:val="0"/>
      <w:marTop w:val="0"/>
      <w:marBottom w:val="0"/>
      <w:divBdr>
        <w:top w:val="none" w:sz="0" w:space="0" w:color="auto"/>
        <w:left w:val="none" w:sz="0" w:space="0" w:color="auto"/>
        <w:bottom w:val="none" w:sz="0" w:space="0" w:color="auto"/>
        <w:right w:val="none" w:sz="0" w:space="0" w:color="auto"/>
      </w:divBdr>
    </w:div>
    <w:div w:id="1783261216">
      <w:bodyDiv w:val="1"/>
      <w:marLeft w:val="0"/>
      <w:marRight w:val="0"/>
      <w:marTop w:val="0"/>
      <w:marBottom w:val="0"/>
      <w:divBdr>
        <w:top w:val="none" w:sz="0" w:space="0" w:color="auto"/>
        <w:left w:val="none" w:sz="0" w:space="0" w:color="auto"/>
        <w:bottom w:val="none" w:sz="0" w:space="0" w:color="auto"/>
        <w:right w:val="none" w:sz="0" w:space="0" w:color="auto"/>
      </w:divBdr>
    </w:div>
    <w:div w:id="1936860359">
      <w:bodyDiv w:val="1"/>
      <w:marLeft w:val="0"/>
      <w:marRight w:val="0"/>
      <w:marTop w:val="0"/>
      <w:marBottom w:val="0"/>
      <w:divBdr>
        <w:top w:val="none" w:sz="0" w:space="0" w:color="auto"/>
        <w:left w:val="none" w:sz="0" w:space="0" w:color="auto"/>
        <w:bottom w:val="none" w:sz="0" w:space="0" w:color="auto"/>
        <w:right w:val="none" w:sz="0" w:space="0" w:color="auto"/>
      </w:divBdr>
    </w:div>
    <w:div w:id="1969897965">
      <w:bodyDiv w:val="1"/>
      <w:marLeft w:val="0"/>
      <w:marRight w:val="0"/>
      <w:marTop w:val="0"/>
      <w:marBottom w:val="0"/>
      <w:divBdr>
        <w:top w:val="none" w:sz="0" w:space="0" w:color="auto"/>
        <w:left w:val="none" w:sz="0" w:space="0" w:color="auto"/>
        <w:bottom w:val="none" w:sz="0" w:space="0" w:color="auto"/>
        <w:right w:val="none" w:sz="0" w:space="0" w:color="auto"/>
      </w:divBdr>
    </w:div>
    <w:div w:id="2039626722">
      <w:bodyDiv w:val="1"/>
      <w:marLeft w:val="0"/>
      <w:marRight w:val="0"/>
      <w:marTop w:val="0"/>
      <w:marBottom w:val="0"/>
      <w:divBdr>
        <w:top w:val="none" w:sz="0" w:space="0" w:color="auto"/>
        <w:left w:val="none" w:sz="0" w:space="0" w:color="auto"/>
        <w:bottom w:val="none" w:sz="0" w:space="0" w:color="auto"/>
        <w:right w:val="none" w:sz="0" w:space="0" w:color="auto"/>
      </w:divBdr>
    </w:div>
    <w:div w:id="2073233494">
      <w:bodyDiv w:val="1"/>
      <w:marLeft w:val="0"/>
      <w:marRight w:val="0"/>
      <w:marTop w:val="0"/>
      <w:marBottom w:val="0"/>
      <w:divBdr>
        <w:top w:val="none" w:sz="0" w:space="0" w:color="auto"/>
        <w:left w:val="none" w:sz="0" w:space="0" w:color="auto"/>
        <w:bottom w:val="none" w:sz="0" w:space="0" w:color="auto"/>
        <w:right w:val="none" w:sz="0" w:space="0" w:color="auto"/>
      </w:divBdr>
    </w:div>
    <w:div w:id="21096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gov/02organizations/bpp.htm" TargetMode="External"/><Relationship Id="rId18" Type="http://schemas.openxmlformats.org/officeDocument/2006/relationships/image" Target="media/image5.png"/><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0.wmf"/><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usdoj.gov\jmd\ep" TargetMode="External"/><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emf"/><Relationship Id="rId32" Type="http://schemas.openxmlformats.org/officeDocument/2006/relationships/header" Target="header4.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atf.gov/publications/general/strategic-plan" TargetMode="Externa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7.emf"/><Relationship Id="rId27" Type="http://schemas.openxmlformats.org/officeDocument/2006/relationships/image" Target="media/image12.wmf"/><Relationship Id="rId30" Type="http://schemas.openxmlformats.org/officeDocument/2006/relationships/image" Target="media/image15.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C71A8-B6A4-440F-AA75-9FF756DD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20769</Words>
  <Characters>118388</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FY14 Spring Call Budget Submission</vt:lpstr>
    </vt:vector>
  </TitlesOfParts>
  <Company>EOP</Company>
  <LinksUpToDate>false</LinksUpToDate>
  <CharactersWithSpaces>138880</CharactersWithSpaces>
  <SharedDoc>false</SharedDoc>
  <HLinks>
    <vt:vector size="12" baseType="variant">
      <vt:variant>
        <vt:i4>4521994</vt:i4>
      </vt:variant>
      <vt:variant>
        <vt:i4>3</vt:i4>
      </vt:variant>
      <vt:variant>
        <vt:i4>0</vt:i4>
      </vt:variant>
      <vt:variant>
        <vt:i4>5</vt:i4>
      </vt:variant>
      <vt:variant>
        <vt:lpwstr>http://www.epeat.net/</vt:lpwstr>
      </vt:variant>
      <vt:variant>
        <vt:lpwstr/>
      </vt:variant>
      <vt:variant>
        <vt:i4>3342462</vt:i4>
      </vt:variant>
      <vt:variant>
        <vt:i4>0</vt:i4>
      </vt:variant>
      <vt:variant>
        <vt:i4>0</vt:i4>
      </vt:variant>
      <vt:variant>
        <vt:i4>5</vt:i4>
      </vt:variant>
      <vt:variant>
        <vt:lpwstr>http://www.usdoj.gov/jmd/2011justification/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FY14 Spring Call Budget Submission</dc:title>
  <dc:creator>ATF</dc:creator>
  <cp:lastModifiedBy>ATF</cp:lastModifiedBy>
  <cp:revision>2</cp:revision>
  <cp:lastPrinted>2013-04-04T20:52:00Z</cp:lastPrinted>
  <dcterms:created xsi:type="dcterms:W3CDTF">2013-07-03T19:13:00Z</dcterms:created>
  <dcterms:modified xsi:type="dcterms:W3CDTF">2013-07-03T19:13:00Z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869481234</vt:i4>
  </property>
</Properties>
</file>